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2491d6k.htm"/>
        <w:bookmarkStart w:id="1" w:name="ksd122491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22491_1a">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75"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122491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22491_1a"/>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Geoffrey Davis</w:t>
            </w:r>
          </w:p>
        </w:tc>
      </w:tr>
    </w:tbl>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Geoffrey Davis, CFA</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4"/>
        <w:gridCol w:w="322"/>
        <w:gridCol w:w="8679"/>
      </w:tblGrid>
      <w:tr>
        <w:trPr/>
        <w:tc>
          <w:tcPr>
            <w:tcW w:w="120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679" w:type="dxa"/>
            <w:tcBorders/>
            <w:vAlign w:val="center"/>
          </w:tcPr>
          <w:p>
            <w:pPr>
              <w:pStyle w:val="TableContents"/>
              <w:bidi w:val="0"/>
              <w:spacing w:before="0" w:after="283"/>
              <w:jc w:val="left"/>
              <w:rPr>
                <w:sz w:val="4"/>
                <w:szCs w:val="4"/>
              </w:rPr>
            </w:pPr>
            <w:r>
              <w:rPr>
                <w:sz w:val="4"/>
                <w:szCs w:val="4"/>
              </w:rPr>
            </w:r>
          </w:p>
        </w:tc>
      </w:tr>
      <w:tr>
        <w:trPr/>
        <w:tc>
          <w:tcPr>
            <w:tcW w:w="1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2" w:type="dxa"/>
            <w:tcBorders/>
            <w:vAlign w:val="bottom"/>
          </w:tcPr>
          <w:p>
            <w:pPr>
              <w:pStyle w:val="TableContents"/>
              <w:bidi w:val="0"/>
              <w:spacing w:before="0" w:after="283"/>
              <w:jc w:val="left"/>
              <w:rPr/>
            </w:pPr>
            <w:r>
              <w:rPr/>
              <w:t>  </w:t>
            </w:r>
          </w:p>
        </w:tc>
        <w:tc>
          <w:tcPr>
            <w:tcW w:w="86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1204" w:type="dxa"/>
            <w:tcBorders/>
          </w:tcPr>
          <w:p>
            <w:pPr>
              <w:pStyle w:val="TableContents"/>
              <w:bidi w:val="0"/>
              <w:spacing w:before="0" w:after="283"/>
              <w:jc w:val="left"/>
              <w:rPr/>
            </w:pPr>
            <w:r>
              <w:rPr/>
              <w:t>Exhibit 99.1</w:t>
            </w:r>
          </w:p>
        </w:tc>
        <w:tc>
          <w:tcPr>
            <w:tcW w:w="322" w:type="dxa"/>
            <w:tcBorders/>
            <w:vAlign w:val="bottom"/>
          </w:tcPr>
          <w:p>
            <w:pPr>
              <w:pStyle w:val="TableContents"/>
              <w:bidi w:val="0"/>
              <w:spacing w:before="0" w:after="283"/>
              <w:jc w:val="left"/>
              <w:rPr/>
            </w:pPr>
            <w:r>
              <w:rPr/>
              <w:t>  </w:t>
            </w:r>
          </w:p>
        </w:tc>
        <w:tc>
          <w:tcPr>
            <w:tcW w:w="8679" w:type="dxa"/>
            <w:tcBorders/>
          </w:tcPr>
          <w:p>
            <w:pPr>
              <w:pStyle w:val="TableContents"/>
              <w:bidi w:val="0"/>
              <w:spacing w:before="0" w:after="283"/>
              <w:jc w:val="left"/>
              <w:rPr/>
            </w:pPr>
            <w:r>
              <w:rPr/>
              <w:t>Press Release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22491dex991.htm"/>
      <w:bookmarkStart w:id="5" w:name="ksd122491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7335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571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120" w:after="0"/>
        <w:jc w:val="left"/>
        <w:rPr>
          <w:rFonts w:ascii="Times New Roman" w:hAnsi="Times New Roman"/>
          <w:b/>
          <w:sz w:val="20"/>
        </w:rPr>
      </w:pPr>
      <w:r>
        <w:rPr>
          <w:rFonts w:ascii="Times New Roman" w:hAnsi="Times New Roman"/>
          <w:b/>
          <w:sz w:val="20"/>
        </w:rPr>
        <w:t xml:space="preserve">Studio City Company Limited Announces Satisfaction of Financing Condition for its Tender Offer for Any and All of Its 7.00% senior secured notes due 2027 </w:t>
      </w:r>
    </w:p>
    <w:p>
      <w:pPr>
        <w:pStyle w:val="TextBody"/>
        <w:bidi w:val="0"/>
        <w:spacing w:before="120" w:after="0"/>
        <w:jc w:val="left"/>
        <w:rPr>
          <w:rFonts w:ascii="Times New Roman" w:hAnsi="Times New Roman"/>
          <w:sz w:val="20"/>
        </w:rPr>
      </w:pPr>
      <w:r>
        <w:rPr>
          <w:rFonts w:ascii="Times New Roman" w:hAnsi="Times New Roman"/>
          <w:b/>
          <w:sz w:val="20"/>
        </w:rPr>
        <w:t>MACAU, Friday, May</w:t>
      </w:r>
      <w:r>
        <w:rPr>
          <w:rFonts w:ascii="Times New Roman" w:hAnsi="Times New Roman"/>
          <w:sz w:val="20"/>
        </w:rPr>
        <w:t> </w:t>
      </w:r>
      <w:r>
        <w:rPr>
          <w:rFonts w:ascii="Times New Roman" w:hAnsi="Times New Roman"/>
          <w:b/>
          <w:sz w:val="20"/>
        </w:rPr>
        <w:t>15, 2026</w:t>
      </w:r>
      <w:r>
        <w:rPr>
          <w:rFonts w:ascii="Times New Roman" w:hAnsi="Times New Roman"/>
          <w:sz w:val="20"/>
        </w:rPr>
        <w:t xml:space="preserve"> – Studio City Company Limited (“</w:t>
      </w:r>
      <w:r>
        <w:rPr>
          <w:rFonts w:ascii="Times New Roman" w:hAnsi="Times New Roman"/>
          <w:b/>
          <w:sz w:val="20"/>
        </w:rPr>
        <w:t>Studio City Company</w:t>
      </w:r>
      <w:r>
        <w:rPr>
          <w:rFonts w:ascii="Times New Roman" w:hAnsi="Times New Roman"/>
          <w:sz w:val="20"/>
        </w:rPr>
        <w:t>”) today announces that, in relation to its previously announced conditional cash tender offer for any and all of its outstanding 7.00% senior secured notes due 2027 (CUSIP Numbers G8539E AC9 and 86400G AC3; ISIN USG8539EAC96 and US86400GAC33) (the “</w:t>
      </w:r>
      <w:r>
        <w:rPr>
          <w:rFonts w:ascii="Times New Roman" w:hAnsi="Times New Roman"/>
          <w:b/>
          <w:sz w:val="20"/>
        </w:rPr>
        <w:t>2027 SCC Senior Secured Notes</w:t>
      </w:r>
      <w:r>
        <w:rPr>
          <w:rFonts w:ascii="Times New Roman" w:hAnsi="Times New Roman"/>
          <w:sz w:val="20"/>
        </w:rPr>
        <w:t>” and such conditional tender offer, the “</w:t>
      </w:r>
      <w:r>
        <w:rPr>
          <w:rFonts w:ascii="Times New Roman" w:hAnsi="Times New Roman"/>
          <w:b/>
          <w:sz w:val="20"/>
        </w:rPr>
        <w:t>Conditional Tender Offer</w:t>
      </w:r>
      <w:r>
        <w:rPr>
          <w:rFonts w:ascii="Times New Roman" w:hAnsi="Times New Roman"/>
          <w:sz w:val="20"/>
        </w:rPr>
        <w:t>”) as further described in the Offer to Purchase dated May 6, 2026 (the “</w:t>
      </w:r>
      <w:r>
        <w:rPr>
          <w:rFonts w:ascii="Times New Roman" w:hAnsi="Times New Roman"/>
          <w:b/>
          <w:sz w:val="20"/>
        </w:rPr>
        <w:t>Offer to Purchase</w:t>
      </w:r>
      <w:r>
        <w:rPr>
          <w:rFonts w:ascii="Times New Roman" w:hAnsi="Times New Roman"/>
          <w:sz w:val="20"/>
        </w:rPr>
        <w:t xml:space="preserve">”) and the related Notice of Guaranteed Delivery, the Financing Condition set out in “Terms of the Offer—Conditions to the Offer” in the Offer to Purchase has been satisfied. The Conditional Tender Offer remains subject to certain other conditions set out in “Terms of the Offer—Conditions to the Offer” in the Offer to Purchase. Capitalized terms used in this announcement but not defined herein have the meanings given to them in the Offer to Purchase. </w:t>
      </w:r>
    </w:p>
    <w:p>
      <w:pPr>
        <w:pStyle w:val="TextBody"/>
        <w:bidi w:val="0"/>
        <w:spacing w:before="240" w:after="0"/>
        <w:jc w:val="left"/>
        <w:rPr>
          <w:rFonts w:ascii="Times New Roman" w:hAnsi="Times New Roman"/>
          <w:sz w:val="20"/>
        </w:rPr>
      </w:pPr>
      <w:r>
        <w:rPr>
          <w:rFonts w:ascii="Times New Roman" w:hAnsi="Times New Roman"/>
          <w:sz w:val="20"/>
        </w:rPr>
        <w:t>The Conditional Tender Offer expired at 5:00 p.m., New York City time, on May 12, 2026 (the “</w:t>
      </w:r>
      <w:r>
        <w:rPr>
          <w:rFonts w:ascii="Times New Roman" w:hAnsi="Times New Roman"/>
          <w:b/>
          <w:sz w:val="20"/>
        </w:rPr>
        <w:t>Expiration Time</w:t>
      </w:r>
      <w:r>
        <w:rPr>
          <w:rFonts w:ascii="Times New Roman" w:hAnsi="Times New Roman"/>
          <w:sz w:val="20"/>
        </w:rPr>
        <w:t xml:space="preserve">”). The deadline for delivery of Notes tendered pursuant to the guaranteed delivery procedures described in the Offer to Purchase expired at 5:00 p.m., New York City time, on May 14, 2026 and no additional tenders were made pursuant to such procedures. At or prior to the Expiration Time, US$196,421,000 aggregate principal amount of the Notes were validly tendered (and not validly withdrawn). </w:t>
      </w:r>
    </w:p>
    <w:p>
      <w:pPr>
        <w:pStyle w:val="TextBody"/>
        <w:bidi w:val="0"/>
        <w:spacing w:before="240" w:after="0"/>
        <w:jc w:val="left"/>
        <w:rPr>
          <w:rFonts w:ascii="Times New Roman" w:hAnsi="Times New Roman"/>
          <w:sz w:val="20"/>
        </w:rPr>
      </w:pPr>
      <w:r>
        <w:rPr>
          <w:rFonts w:ascii="Times New Roman" w:hAnsi="Times New Roman"/>
          <w:sz w:val="20"/>
        </w:rPr>
        <w:t>The settlement date for the 2027 SCC Senior Secured Notes validly tendered (and not validly withdrawn) and accepted for purchase pursuant to the Conditional Tender Offer was May 15, 2026 (the “</w:t>
      </w:r>
      <w:r>
        <w:rPr>
          <w:rFonts w:ascii="Times New Roman" w:hAnsi="Times New Roman"/>
          <w:b/>
          <w:sz w:val="20"/>
        </w:rPr>
        <w:t>Settlement Date</w:t>
      </w:r>
      <w:r>
        <w:rPr>
          <w:rFonts w:ascii="Times New Roman" w:hAnsi="Times New Roman"/>
          <w:sz w:val="20"/>
        </w:rPr>
        <w:t xml:space="preserve">”). The previously announced Notes Consideration was US$1,001.25 for each US$1,000 principal amount of consideration for the 2027 SCC Senior Secured Notes validly tendered and accepted for purchase, plus accrued and unpaid interest up to, but not including,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Studio City Company will arrange for cancellation of all the 2027 SCC Senior Secured Notes validly tendered and accepted for purchase following purchase by Studio City Company, and any 2027 SCC Senior Secured Notes not validly tendered will remain outstanding and accrue interest in accordance with their terms. Following the cancellation of validly tendered Notes, US$153,579,000 aggregate principal amount of the 2027 SCC Senior Secured Notes will remain outstanding. In accordance with the previously issued notice of conditional redemption, all of the 2027 SCC Senior Secured Notes that will remain outstanding will be redeemed on June 5, 2026 for the redemption price of US$1,000 per US$1,000 principal amount of the 2027 SCC Senior Secured Notes, plus accrued and unpaid interest to the date of the redemption and additional amounts, if any.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9250"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29250" cy="1238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73355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33550" cy="571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Conditional Tender Offer was made solely pursuant to the Offer to Purchase, which sets forth the complete terms of the Conditional Tender Offer. Copies of the Offer to Purchase are available from the Tender and Information Agent at the following website: https://deals.is.kroll.com/studiocity. Studio City Company has engaged Deutsche Bank AG, Singapore Branch to act as the dealer manager for the Conditional Tender Offer. Questions regarding the terms of the Conditional Tender Offer should be directed to Deutsche Bank AG, Singapore Branch at One Raffles Quay, #17-00 South Tower, Singapore 048583, Attention: Global Risk Syndicate (Tel: +65 6423-4229), with a copy to Deutsche Bank AG, London Branch at 21 Moorfields, London EC2Y 9DB, United Kingdom, Attention: Liability Management Group (Tel: +44 20-7545-8011) and Deutsche Bank Securities Inc. at 1 Columbus Circle, New York, New York 10019, United States of America, Attention: Liability Management Group (Tel: +1 212-250-7527) with a copy at the same address to Attention of the General Counsel, 19th Floor at the email of dbcapmarkets.gcnotices@list.db.com. Studio City Company has appointed Kroll Issuer Services Limited to serve as the Tender and Information Agent for the Conditional Tender Offer. Questions regarding the Conditional Tender Offer or requests for additional copies of the Offer to Purchase should be directed to Kroll Issuer Services Limited, Attention: Kevin Wong / Alison Lee (Tel: +852 2281 0114 / +44 20 7704 0880, Email: studiocity@is.kroll.com).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not an offer to sell, a solicitation to buy or an offer to purchase or sell any securities. The Conditional Tender Offer was made solely by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announcement in certain jurisdictions may be restricted by law. Persons into whose possession this press release comes are required to inform themselves about, and to observe, any such restrictions. </w:t>
      </w:r>
    </w:p>
    <w:p>
      <w:pPr>
        <w:pStyle w:val="TextBody"/>
        <w:bidi w:val="0"/>
        <w:spacing w:before="360" w:after="0"/>
        <w:jc w:val="left"/>
        <w:rPr>
          <w:rFonts w:ascii="Times New Roman" w:hAnsi="Times New Roman"/>
          <w:i/>
          <w:sz w:val="20"/>
        </w:rPr>
      </w:pPr>
      <w:r>
        <w:rPr>
          <w:rFonts w:ascii="Times New Roman" w:hAnsi="Times New Roman"/>
          <w:i/>
          <w:sz w:val="20"/>
        </w:rPr>
        <w:t xml:space="preserve">This press release is for information purposes only and does not constitute an invitation or offer to acquire, purchase or subscribe for the securities referred to herein. Nothing in this press release constitutes an offer to buy, or a solicitation of an offer to sell, securities in the United States or any other jurisdiction in which such offer or solicitation would be unlawful prior to registration or qualification under the securities laws of any such jurisdiction. </w:t>
      </w:r>
    </w:p>
    <w:p>
      <w:pPr>
        <w:pStyle w:val="TextBody"/>
        <w:bidi w:val="0"/>
        <w:spacing w:before="240" w:after="0"/>
        <w:jc w:val="center"/>
        <w:rPr>
          <w:rFonts w:ascii="Times New Roman" w:hAnsi="Times New Roman"/>
          <w:i/>
          <w:sz w:val="20"/>
        </w:rPr>
      </w:pP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9250"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29250" cy="1238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733550"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33550" cy="571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Safe Harbor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forward-looking statements. Without limiting the generality of the foregoing, forward-looking statements contained in this press release specifically include statements regarding Studio City Company’s plans and expected timing with respect to the Conditional Tender Offer and the redemption. Studio City International Holdings Limited may also make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the Studio City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Offer to Purchase. All information provided in this press release is as of the date of this press release, and Studio City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 xml:space="preserve">chimmyleung@melco-resorts.com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9250"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29250" cy="12382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1357</Words>
  <Characters>7589</Characters>
  <CharactersWithSpaces>8974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