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35"/>
          <w:szCs w:val="35"/>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261620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9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3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40"/>
          </w:cols>
          <w:pgMar w:left="320" w:top="225" w:right="1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99.2</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320" w:top="455"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Quarterly Report of Studio City Finance Limited</w:t>
      </w:r>
    </w:p>
    <w:p>
      <w:pPr>
        <w:spacing w:after="0" w:line="97"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color w:val="auto"/>
        </w:rPr>
        <w:t>Quarterly Report of Studio City Investments Limited</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Finance Limited’s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This quarterly report provides Studio City Finance Limited’s (“Studio City Finance”) unaudited condensed consolidated financial statements, comprising condensed consolidated balance sheets, condensed consolidated statements of operations and condensed consolidated statements of cash flows, for the three months ended March 31, 2026, together with the related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8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Studio City Finance Limited</w:t>
            </w:r>
          </w:p>
        </w:tc>
        <w:tc>
          <w:tcPr>
            <w:tcW w:w="2160" w:type="dxa"/>
            <w:vAlign w:val="bottom"/>
          </w:tcPr>
          <w:p>
            <w:pPr>
              <w:spacing w:after="0"/>
              <w:rPr>
                <w:sz w:val="20"/>
                <w:szCs w:val="20"/>
                <w:color w:val="auto"/>
              </w:rPr>
            </w:pPr>
          </w:p>
        </w:tc>
      </w:tr>
      <w:tr>
        <w:trPr>
          <w:trHeight w:val="432"/>
        </w:trPr>
        <w:tc>
          <w:tcPr>
            <w:tcW w:w="88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Report for the First Quarter of 2026</w:t>
            </w:r>
          </w:p>
        </w:tc>
        <w:tc>
          <w:tcPr>
            <w:tcW w:w="2160" w:type="dxa"/>
            <w:vAlign w:val="bottom"/>
          </w:tcPr>
          <w:p>
            <w:pPr>
              <w:spacing w:after="0"/>
              <w:rPr>
                <w:sz w:val="24"/>
                <w:szCs w:val="24"/>
                <w:color w:val="auto"/>
              </w:rPr>
            </w:pPr>
          </w:p>
        </w:tc>
      </w:tr>
      <w:tr>
        <w:trPr>
          <w:trHeight w:val="432"/>
        </w:trPr>
        <w:tc>
          <w:tcPr>
            <w:tcW w:w="880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60" w:type="dxa"/>
            <w:vAlign w:val="bottom"/>
          </w:tcPr>
          <w:p>
            <w:pPr>
              <w:spacing w:after="0"/>
              <w:rPr>
                <w:sz w:val="24"/>
                <w:szCs w:val="24"/>
                <w:color w:val="auto"/>
              </w:rPr>
            </w:pPr>
          </w:p>
        </w:tc>
      </w:tr>
      <w:tr>
        <w:trPr>
          <w:trHeight w:val="441"/>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GLOSSARY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INDEX TO UNAUDITED CONDENSED 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65"/>
        </w:trPr>
        <w:tc>
          <w:tcPr>
            <w:tcW w:w="880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w w:val="88"/>
              </w:rPr>
              <w:t>2</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this quarterly report, unless otherwise indicated:</w:t>
      </w:r>
    </w:p>
    <w:p>
      <w:pPr>
        <w:spacing w:after="0" w:line="131" w:lineRule="exact"/>
        <w:rPr>
          <w:sz w:val="20"/>
          <w:szCs w:val="20"/>
          <w:color w:val="auto"/>
        </w:rPr>
      </w:pPr>
    </w:p>
    <w:p>
      <w:pPr>
        <w:ind w:left="54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Tender Offer” refers to the conditional tender offer by Studio City Company to which it purchased for cash an aggregate principal amount of US$196,421,000 of the outstanding 2027 SCC Senior Secured Notes in May 2026;</w:t>
      </w:r>
    </w:p>
    <w:p>
      <w:pPr>
        <w:spacing w:after="0" w:line="67"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SCF Senior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540" w:right="300" w:hanging="532"/>
        <w:spacing w:after="0" w:line="266"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SCF Senior Notes” refers to the 5.00% senior notes due 2029 in an aggregate principal amount of US$1,100,000,000 issued by Studio City Finance, of which US$750,000,000 in aggregate principal amount was issued on January 14, 2021 and US$350,000,000 in aggregate principal amount was issued on May 20, 2021;</w:t>
      </w:r>
    </w:p>
    <w:p>
      <w:pPr>
        <w:spacing w:after="0" w:line="81"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“2031 SCC Senior Secured Notes” refers to the 6.125% senior notes due 2031 in an aggregate principal amount of US$300,000,000 issued by Studio City Company on May 15, 2026;</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540" w:right="120" w:hanging="532"/>
        <w:spacing w:after="0" w:line="258"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540" w:right="600" w:hanging="532"/>
        <w:spacing w:after="0" w:line="282"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 and food and beverage offers;</w:t>
      </w:r>
    </w:p>
    <w:p>
      <w:pPr>
        <w:spacing w:after="0" w:line="67" w:lineRule="exact"/>
        <w:rPr>
          <w:rFonts w:ascii="Times New Roman" w:cs="Times New Roman" w:eastAsia="Times New Roman" w:hAnsi="Times New Roman"/>
          <w:sz w:val="18"/>
          <w:szCs w:val="18"/>
          <w:color w:val="auto"/>
        </w:rPr>
      </w:pPr>
    </w:p>
    <w:p>
      <w:pPr>
        <w:jc w:val="both"/>
        <w:ind w:left="540" w:right="320" w:hanging="532"/>
        <w:spacing w:after="0" w:line="266"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as amended on February 10, 2026, that provides for the terms and conditions of the concession granted to the Gaming Operator, from January 1, 2023 to December 31, 2032;</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540" w:right="140" w:hanging="532"/>
        <w:spacing w:after="0" w:line="256"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Services Agreements” refers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are collectively referred to as “Management and Shared Services Arrangements,” have been extended to December 31, 2032;</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a subsidiary of Melco Resorts and a shareholder of SCI;</w:t>
      </w:r>
    </w:p>
    <w:p>
      <w:pPr>
        <w:spacing w:after="0" w:line="130" w:lineRule="exact"/>
        <w:rPr>
          <w:rFonts w:ascii="Times New Roman" w:cs="Times New Roman" w:eastAsia="Times New Roman" w:hAnsi="Times New Roman"/>
          <w:sz w:val="18"/>
          <w:szCs w:val="18"/>
          <w:color w:val="auto"/>
        </w:rPr>
      </w:pPr>
    </w:p>
    <w:p>
      <w:pPr>
        <w:ind w:left="540" w:right="260" w:hanging="532"/>
        <w:spacing w:after="0" w:line="266"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Affiliates” refers to the subsidiaries of Melco Resorts other than SCI and its subsidiaries;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66" w:right="479" w:bottom="1440" w:gutter="0" w:footer="0" w:header="0"/>
        </w:sectPr>
      </w:pPr>
    </w:p>
    <w:bookmarkStart w:id="7" w:name="page8"/>
    <w:bookmarkEnd w:id="7"/>
    <w:p>
      <w:pPr>
        <w:ind w:left="540" w:right="140" w:hanging="532"/>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w:t>
      </w:r>
    </w:p>
    <w:p>
      <w:pPr>
        <w:spacing w:after="0" w:line="85" w:lineRule="exact"/>
        <w:rPr>
          <w:rFonts w:ascii="Times New Roman" w:cs="Times New Roman" w:eastAsia="Times New Roman" w:hAnsi="Times New Roman"/>
          <w:sz w:val="18"/>
          <w:szCs w:val="18"/>
          <w:color w:val="auto"/>
        </w:rPr>
      </w:pPr>
    </w:p>
    <w:p>
      <w:pPr>
        <w:ind w:left="540" w:right="260" w:hanging="532"/>
        <w:spacing w:after="0" w:line="258"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w:t>
      </w:r>
    </w:p>
    <w:p>
      <w:pPr>
        <w:spacing w:after="0" w:line="8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88"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88"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refers to an indirect parent of our company, Studio City International Holdings Limited, an exempted company registered by way of continuation in the Cayman Islands, the American depositary shares of which are listed on the New York Stock Exchange;</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540" w:right="180" w:hanging="532"/>
        <w:spacing w:after="0" w:line="26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refers to our subsidiary, Studio City Investments Limited, a company incorporated in the British Virgin Islands and the parent guarantor of the 2027 SCC Senior Secured Notes and the 2031 SCC Senior Secured Notes;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8" w:name="page9"/>
    <w:bookmarkEnd w:id="8"/>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Studio City Finance Limited and, as the context requires, its predecessor entities and its consolidated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quarterly report includes our unaudited condensed consolidated financial statements for the three months ended March 31, 2026.</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440" w:top="270" w:right="7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performances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10" w:name="page11"/>
    <w:bookmarkEnd w:id="10"/>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ind w:right="360"/>
        <w:spacing w:after="0" w:line="421"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8"/>
          <w:szCs w:val="18"/>
          <w:color w:val="auto"/>
        </w:rPr>
        <w:t>“mass market patron” “mass market operations” “mass market table games drop”</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7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“mass market table games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-210820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secure room within a casino or gaming area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gaming machine win (calculated before other incentives as administered by the Gaming Operator and allocating casino revenues related to goods and services provided to gaming patrons on a complimentary basis) expressed as a percentage of gaming machine handle</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6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a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1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3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340" w:space="420"/>
            <w:col w:w="8180"/>
          </w:cols>
          <w:pgMar w:left="440" w:top="266"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“premium direct player”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“rolling chip” or “VIP rolling chip”</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patron”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333" w:lineRule="exact"/>
        <w:rPr>
          <w:sz w:val="20"/>
          <w:szCs w:val="20"/>
          <w:color w:val="auto"/>
        </w:rPr>
      </w:pPr>
    </w:p>
    <w:p>
      <w:pPr>
        <w:jc w:val="both"/>
        <w:ind w:right="500"/>
        <w:spacing w:after="0" w:line="445" w:lineRule="auto"/>
        <w:rPr>
          <w:sz w:val="20"/>
          <w:szCs w:val="20"/>
          <w:color w:val="auto"/>
        </w:rPr>
      </w:pPr>
      <w:r>
        <w:rPr>
          <w:rFonts w:ascii="Times New Roman" w:cs="Times New Roman" w:eastAsia="Times New Roman" w:hAnsi="Times New Roman"/>
          <w:sz w:val="17"/>
          <w:szCs w:val="17"/>
          <w:color w:val="auto"/>
        </w:rPr>
        <w:t>“rolling chip volume” “rolling chip win rate”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games win”</w:t>
      </w:r>
    </w:p>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a gaming operator and is attracted to the casino through marketing efforts of a gaming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-391160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34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non-negotiable chips net buy-in plus the amount of cash chips converted to non-negotiable chips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p>
      <w:pPr>
        <w:spacing w:after="0" w:line="1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120" w:space="640"/>
            <w:col w:w="8080"/>
          </w:cols>
          <w:pgMar w:left="440" w:top="270" w:right="61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RATE INFORMATION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HK$7.836499 to US$1.00, unless otherwise noted.</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64" w:lineRule="exact"/>
        <w:rPr>
          <w:sz w:val="20"/>
          <w:szCs w:val="20"/>
          <w:color w:val="auto"/>
        </w:rPr>
      </w:pPr>
    </w:p>
    <w:p>
      <w:pPr>
        <w:ind w:right="2000" w:firstLine="440"/>
        <w:spacing w:after="0" w:line="282"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in the non-financial pages of this quarterly report were made at the exchange rate of MOP8.071611 to US$1.00.</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CONDITION AND RESULTS OF OPERATIONS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In the first quarter of 2026, the Gaming Operator operated an average of approximately 253 gaming tables and 964 gaming machines at the Studio City Casino.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in Macau, and we operate the non-gaming businesses of Studio City.</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generated all of our revenues for each of three months ended March 31, 2026 and March 31, 2025 from our operations in Macau, the sole market in which we operate.</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Studio City Finance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2027 SCC Senior Secured Notes, the 2028 SCF Senior Notes, the 2029 SCF Senior Notes or the 2031 SCC Senior Secured Notes. As such, the shareholders of SCI are not contractually required to provide any additional financial support to Studio City Finance and our subsidiaries with respect to our debt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Total operating revenues for the first quarter of 2026 were US$176.7 million, compared with US$161.7 million in the first quarter of 2025. The increase was primarily attributable to better performance in mass market operations leading to an increase in revenue from casino contract and higher overall non-gaming revenues.</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Net income attributable to Studio City Finance Limited for the first quarter of 2026 was US$2.9 million, compared with net loss attributable to Studio City Finance Limited of US$17.7 million in the first quarter of 2025, primarily due to the increase in revenue from casino contract and higher overall non-gaming revenues, partially offset by higher operating expenses as a result of increased business volumes.</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generated gross gaming revenues of US$373.5 million and US$336.2 million for the first quarters of 2026 and 2025,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6" w:right="539" w:bottom="1440" w:gutter="0" w:footer="0" w:header="0"/>
        </w:sectPr>
      </w:pPr>
    </w:p>
    <w:bookmarkStart w:id="14" w:name="page15"/>
    <w:bookmarkEnd w:id="1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Mass market table games drop was US$901.3 million in the first quarter of 2026, compared with US$923.9 million in the first quarter of 2025 and hold percentage was 36.9% in the first quarter of 2026, compared with 32.8% in the first quarter of 2025.</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Gaming machine handle for the first quarter of 2026 was US$1.09 billion, compared with US$0.87 billion in the first quarter of 2025 and win rate was 3.7% in the first quarter of 2026, compared with 3.8% in the first quarter of 2025.</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Revenue from casino contract was US$87.0 million for the first quarter of 2026, compared with US$75.9 million for the first quarter of 2025. Revenue from casino contract is net of gaming taxes and the costs incurred in connection with the on-going operation of the Studio City Casino which are deducted by the Gaming Operator.</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Total non-gaming revenues at Studio City for the first quarter of 2026 were US$89.8 million, compared with US$85.8 million for the first quarter of 2025.</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Total net non-operating expenses for the first quarter of 2026 were US$22.0 million, which mainly included interest expense of US$30.0 million, partially offset by net foreign exchange gains of US$8.4 million, compared with US$30.9 million for the first quarter of 2025, which mainly included interest expense of US$32.5 million, partially offset by net foreign exchange gains of US$2.0 million.</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costs of US$51.8 million were recorded in the first quarter of 2026, of which US$0.8 million was related to the amortization expense for the land use right, compared with US$52.5 million recorded in the first quarter of 2025, of which US$0.8 million was related to the amortization expense for the land use right.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rely on, our cash generated from our operations and our debt and equity financings to meet our financing or refinancing needs.</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we held cash and cash equivalents of US$75.0 million and restricted cash of US$0.1 million. Restricted cash represented the cash collateral in relation to the SCC 2021 Credit Facilities. Further, we have HK$1.63 billion (equivalent to US$208.5 million) in borrowing capacity under the SCC 2024 Revolving Facilities, of which US$130.5 million was available for future drawdown as of March 31, 2026, subject to certain conditions precedent.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of 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(6,647)</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a financing activity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(22,658)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(29,926)</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97,821</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116,490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75,163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86,564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Activities</w:t>
      </w:r>
    </w:p>
    <w:p>
      <w:pPr>
        <w:spacing w:after="0" w:line="12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US$5.1 million for the three months ended March 31, 2026, compared with US$6.6 million for the three months ended March 31, 2025. The change was primarily driven by increased operating income resulting from improved performance of Studio City Casino in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US$6.9 million for the three months ended March 31, 2026 was attributable to payments for acquisition of property and equipment of US$6.3 million and payments for other long-term assets of US$0.9 million, partially offset by proceeds from sale of property and equipment of US$0.3 million.</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US$23.1 million for the three months ended March 31, 2025 was attributable to payments for acquisition of property and equipment of US$20.6 million and payments for other long-term assets of US$6.7 million, partially offset by proceeds from sale of property and equipment of US$4.3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Cash used in a financing activity of US$10.0 million for the three months ended March 31, 2026 was attributable to the repayment of an outstanding principal amount under the SCC 2024 Revolving Facilities.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cash was provided by/used in a financing activity for the three months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March 31, 2026:</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73"/>
        </w:trPr>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60" w:type="dxa"/>
            <w:vAlign w:val="bottom"/>
            <w:gridSpan w:val="2"/>
          </w:tcPr>
          <w:p>
            <w:pPr>
              <w:spacing w:after="0"/>
              <w:rPr>
                <w:sz w:val="12"/>
                <w:szCs w:val="12"/>
                <w:color w:val="auto"/>
              </w:rPr>
            </w:pPr>
          </w:p>
        </w:tc>
      </w:tr>
      <w:tr>
        <w:trPr>
          <w:trHeight w:val="216"/>
        </w:trPr>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29,860</w:t>
            </w:r>
          </w:p>
        </w:tc>
        <w:tc>
          <w:tcPr>
            <w:tcW w:w="40" w:type="dxa"/>
            <w:vAlign w:val="bottom"/>
            <w:shd w:val="clear" w:color="auto" w:fill="CCEEFF"/>
          </w:tcPr>
          <w:p>
            <w:pPr>
              <w:spacing w:after="0"/>
              <w:rPr>
                <w:sz w:val="18"/>
                <w:szCs w:val="18"/>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SCC 2024</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Facilities</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39,686</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SCC Senior Secured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SCF Senior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w:t>
            </w:r>
          </w:p>
        </w:tc>
        <w:tc>
          <w:tcPr>
            <w:tcW w:w="4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changes in our indebtedness during the period ended and subsequent to March 31, 2026 are summarized below.</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On March 16, 2026, we repaid an outstanding principal amount of HK$78.0 million (equivalent to US$10.0 million) under the SCC 2024 Revolving Facilities, together with accrued interest.</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May 15, 2026, Studio City Company issued US$300.0 million in an aggregate principal amount of the 2031 SCC Senior Secured Notes. With the net proceeds from the issuance of the 2031 SCC Senior Secured Notes, US$196.4 million of the aggregate principal amount of the 2027 SCC Senior Secured Notes Tender Offer was settled on May 15, 2026, while the remaining aggregate principal amount outstanding of US$153.6 million of the 2027 SCC Senior Secured Notes will be fully redeemed on June 5, 2026 with the remainder of the net proceeds and cash on hand.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64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564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5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75,034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97,691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34,704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2,426,115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2,485,950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69,141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97,549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99,073</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55,962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90,994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79,340</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484,747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1,666,008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2,024,569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2,171,294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2,235,006</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par value $1; 50,000 shares authorized; 3 shares issued and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2,672,064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2,672,064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(2,071,529)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(2,074,383)</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Studio City Finance Limited shareholder’s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600,578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(17,006)</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583,572</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2,731,763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Borders>
              <w:bottom w:val="single" w:sz="8" w:color="CCEEFF"/>
            </w:tcBorders>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86,968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75,920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22,751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 fee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161,720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related to casino contract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costs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(148,622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(146,386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28,102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15,334</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4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costs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gains, net</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4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Studio City Finance Limited</w:t>
            </w:r>
          </w:p>
        </w:tc>
        <w:tc>
          <w:tcPr>
            <w:tcW w:w="4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4180" w:type="dxa"/>
            <w:vAlign w:val="bottom"/>
            <w:gridSpan w:val="2"/>
          </w:tcPr>
          <w:p>
            <w:pPr>
              <w:jc w:val="right"/>
              <w:ind w:right="3370"/>
              <w:spacing w:after="0"/>
              <w:rPr>
                <w:sz w:val="20"/>
                <w:szCs w:val="20"/>
                <w:color w:val="auto"/>
              </w:rPr>
            </w:pPr>
            <w:r>
              <w:rPr>
                <w:rFonts w:ascii="Times New Roman" w:cs="Times New Roman" w:eastAsia="Times New Roman" w:hAnsi="Times New Roman"/>
                <w:sz w:val="18"/>
                <w:szCs w:val="18"/>
                <w:color w:val="auto"/>
              </w:rPr>
              <w:t>F-3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Studio City Finance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47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(6,270)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(20,590)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other long-term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(6,880)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a financing activity:</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(9,972)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a financing activity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97,821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116,490</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   (56,815)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(62,650)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acquisition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payables to affiliated companies related to acquisition of property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45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condensed consolidated balance sheets: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97,821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Investments Limited’s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quarterly report provides Studio City Investments Limited’s (“Studio City Investments”) unaudited condensed consolidated financial statements, comprising condensed consolidated balance sheets, condensed consolidated statements of operations and condensed consolidated statements of cash flows, for the three months ended March 31, 2026, together with the related information. Studio City Investments is the parent guarantor of the 2027 SCC Senior Secured Notes and the 2031 SCC Senior Secured Notes (each as defined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88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Studio City Investments Limited</w:t>
            </w:r>
          </w:p>
        </w:tc>
        <w:tc>
          <w:tcPr>
            <w:tcW w:w="2160" w:type="dxa"/>
            <w:vAlign w:val="bottom"/>
          </w:tcPr>
          <w:p>
            <w:pPr>
              <w:spacing w:after="0"/>
              <w:rPr>
                <w:sz w:val="20"/>
                <w:szCs w:val="20"/>
                <w:color w:val="auto"/>
              </w:rPr>
            </w:pPr>
          </w:p>
        </w:tc>
      </w:tr>
      <w:tr>
        <w:trPr>
          <w:trHeight w:val="432"/>
        </w:trPr>
        <w:tc>
          <w:tcPr>
            <w:tcW w:w="880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Report for the First Quarter of 2026</w:t>
            </w:r>
          </w:p>
        </w:tc>
        <w:tc>
          <w:tcPr>
            <w:tcW w:w="2160" w:type="dxa"/>
            <w:vAlign w:val="bottom"/>
          </w:tcPr>
          <w:p>
            <w:pPr>
              <w:spacing w:after="0"/>
              <w:rPr>
                <w:sz w:val="24"/>
                <w:szCs w:val="24"/>
                <w:color w:val="auto"/>
              </w:rPr>
            </w:pPr>
          </w:p>
        </w:tc>
      </w:tr>
      <w:tr>
        <w:trPr>
          <w:trHeight w:val="432"/>
        </w:trPr>
        <w:tc>
          <w:tcPr>
            <w:tcW w:w="880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60" w:type="dxa"/>
            <w:vAlign w:val="bottom"/>
          </w:tcPr>
          <w:p>
            <w:pPr>
              <w:spacing w:after="0"/>
              <w:rPr>
                <w:sz w:val="24"/>
                <w:szCs w:val="24"/>
                <w:color w:val="auto"/>
              </w:rPr>
            </w:pPr>
          </w:p>
        </w:tc>
      </w:tr>
      <w:tr>
        <w:trPr>
          <w:trHeight w:val="441"/>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GLOSSARY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INDEX TO UNAUDITED CONDENSED 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64"/>
        </w:trPr>
        <w:tc>
          <w:tcPr>
            <w:tcW w:w="880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w w:val="88"/>
              </w:rPr>
              <w:t>2</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unless otherwise indicated:</w:t>
      </w:r>
    </w:p>
    <w:p>
      <w:pPr>
        <w:spacing w:after="0" w:line="131" w:lineRule="exact"/>
        <w:rPr>
          <w:sz w:val="20"/>
          <w:szCs w:val="20"/>
          <w:color w:val="auto"/>
        </w:rPr>
      </w:pPr>
    </w:p>
    <w:p>
      <w:pPr>
        <w:ind w:left="52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refers to the 7.00% senior secured notes due 2027 in an aggregate principal amount of US$350,000,000 issued by Studio City Company on February 16, 2022;</w:t>
      </w:r>
    </w:p>
    <w:p>
      <w:pPr>
        <w:spacing w:after="0" w:line="67" w:lineRule="exact"/>
        <w:rPr>
          <w:rFonts w:ascii="Times New Roman" w:cs="Times New Roman" w:eastAsia="Times New Roman" w:hAnsi="Times New Roman"/>
          <w:sz w:val="18"/>
          <w:szCs w:val="18"/>
          <w:color w:val="auto"/>
        </w:rPr>
      </w:pPr>
    </w:p>
    <w:p>
      <w:pPr>
        <w:ind w:left="520" w:right="20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 SCC Senior Secured Notes Tender Offer” refers to the conditional tender offer by Studio City Company to which it purchased for cash an aggregate principal amount of US$196,421,000 of the outstanding 2027 SCC Senior Secured Notes in May 2026;</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Intercompany Notes” refers to the loan by Studio City Finance of the proceeds of the 2028 SCF Senior Notes to Studio City Investments;</w:t>
      </w:r>
    </w:p>
    <w:p>
      <w:pPr>
        <w:spacing w:after="0" w:line="67" w:lineRule="exact"/>
        <w:rPr>
          <w:rFonts w:ascii="Times New Roman" w:cs="Times New Roman" w:eastAsia="Times New Roman" w:hAnsi="Times New Roman"/>
          <w:sz w:val="18"/>
          <w:szCs w:val="18"/>
          <w:color w:val="auto"/>
        </w:rPr>
      </w:pPr>
    </w:p>
    <w:p>
      <w:pPr>
        <w:ind w:left="52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 SCF Senior Notes” refers to the 6.50% senior notes due 2028 in an aggregate principal amount of US$500,000,000 issued by Studio City Finance on July 15, 2020;</w:t>
      </w:r>
    </w:p>
    <w:p>
      <w:pPr>
        <w:spacing w:after="0" w:line="67"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Intercompany Notes” refers to the loan by Studio City Finance of the proceeds of the 2029 SCF Senior Notes to Studio City Investments;</w:t>
      </w:r>
    </w:p>
    <w:p>
      <w:pPr>
        <w:spacing w:after="0" w:line="67" w:lineRule="exact"/>
        <w:rPr>
          <w:rFonts w:ascii="Times New Roman" w:cs="Times New Roman" w:eastAsia="Times New Roman" w:hAnsi="Times New Roman"/>
          <w:sz w:val="18"/>
          <w:szCs w:val="18"/>
          <w:color w:val="auto"/>
        </w:rPr>
      </w:pPr>
    </w:p>
    <w:p>
      <w:pPr>
        <w:ind w:left="520" w:right="300" w:hanging="424"/>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 SCF Senior Notes” refers to the 5.00% senior notes due 2029 in an aggregate principal amount of US$1,100,000,000 issued by Studio City Finance, of which US$750,000,000 in aggregate principal amount was issued on January 14, 2021 and US$350,000,000 in aggregate principal amount was issued on May 20, 2021;</w:t>
      </w:r>
    </w:p>
    <w:p>
      <w:pPr>
        <w:spacing w:after="0" w:line="81" w:lineRule="exact"/>
        <w:rPr>
          <w:rFonts w:ascii="Times New Roman" w:cs="Times New Roman" w:eastAsia="Times New Roman" w:hAnsi="Times New Roman"/>
          <w:sz w:val="18"/>
          <w:szCs w:val="18"/>
          <w:color w:val="auto"/>
        </w:rPr>
      </w:pPr>
    </w:p>
    <w:p>
      <w:pPr>
        <w:ind w:left="520" w:right="2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“2031 SCC Senior Secured Notes” refers to the 6.125% senior notes due 2031 in an aggregate principal amount of US$300,000,000 issued by Studio City Company on May 15, 2026;</w:t>
      </w:r>
    </w:p>
    <w:p>
      <w:pPr>
        <w:spacing w:after="0" w:line="67"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resort located in Taipa, Macau;</w:t>
      </w:r>
    </w:p>
    <w:p>
      <w:pPr>
        <w:spacing w:after="0" w:line="130" w:lineRule="exact"/>
        <w:rPr>
          <w:rFonts w:ascii="Times New Roman" w:cs="Times New Roman" w:eastAsia="Times New Roman" w:hAnsi="Times New Roman"/>
          <w:sz w:val="18"/>
          <w:szCs w:val="18"/>
          <w:color w:val="auto"/>
        </w:rPr>
      </w:pPr>
    </w:p>
    <w:p>
      <w:pPr>
        <w:ind w:left="520" w:right="120" w:hanging="424"/>
        <w:spacing w:after="0" w:line="258"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the Hong Kong Special Administrative Region of the People’s Republic of China (“Hong Kong”) and the Macau Special Administrative Region of the People’s Republic of China (“Macau” or “Macau SAR”), except when referencing specific laws and regulations adopted by the People’s Republic of China and other legal and tax matters applicable only to mainland China. The legal and operational risks associated with operating in mainland China may also apply to our operations in Hong Kong and Macau;</w:t>
      </w:r>
    </w:p>
    <w:p>
      <w:pPr>
        <w:spacing w:after="0" w:line="88" w:lineRule="exact"/>
        <w:rPr>
          <w:rFonts w:ascii="Times New Roman" w:cs="Times New Roman" w:eastAsia="Times New Roman" w:hAnsi="Times New Roman"/>
          <w:sz w:val="18"/>
          <w:szCs w:val="18"/>
          <w:color w:val="auto"/>
        </w:rPr>
      </w:pPr>
    </w:p>
    <w:p>
      <w:pPr>
        <w:ind w:left="520" w:right="600" w:hanging="424"/>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refers to an integrated resort located in Cotai, Macau, which currently features gaming areas and luxury hotels, a collection of retail brands, a wet stage performance theater and other entertainment venues and food and beverage offers;</w:t>
      </w:r>
    </w:p>
    <w:p>
      <w:pPr>
        <w:spacing w:after="0" w:line="67" w:lineRule="exact"/>
        <w:rPr>
          <w:rFonts w:ascii="Times New Roman" w:cs="Times New Roman" w:eastAsia="Times New Roman" w:hAnsi="Times New Roman"/>
          <w:sz w:val="18"/>
          <w:szCs w:val="18"/>
          <w:color w:val="auto"/>
        </w:rPr>
      </w:pPr>
    </w:p>
    <w:p>
      <w:pPr>
        <w:jc w:val="both"/>
        <w:ind w:left="520" w:right="320" w:hanging="424"/>
        <w:spacing w:after="0" w:line="26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“Concession Contract” refers to the concession contract executed between the Macau SAR and the Gaming Operator on December 16, 2022, as amended on February 10, 2026, that provides for the terms and conditions of the concession granted to the Gaming Operator, from January 1, 2023 to December 31, 2032;</w:t>
      </w:r>
    </w:p>
    <w:p>
      <w:pPr>
        <w:spacing w:after="0" w:line="81"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30" w:lineRule="exact"/>
        <w:rPr>
          <w:rFonts w:ascii="Times New Roman" w:cs="Times New Roman" w:eastAsia="Times New Roman" w:hAnsi="Times New Roman"/>
          <w:sz w:val="18"/>
          <w:szCs w:val="18"/>
          <w:color w:val="auto"/>
        </w:rPr>
      </w:pPr>
    </w:p>
    <w:p>
      <w:pPr>
        <w:ind w:left="520" w:right="140" w:hanging="424"/>
        <w:spacing w:after="0" w:line="256"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Services Agreements” refers to a master services agreement entered into between SCI and certain of its subsidiaries, and related arrangements for work agreements entered into between certain subsidiaries of SCI, on December 21, 2015 for non-gaming services, on the one hand, and certain Melco Resorts Affiliates, on the other hand, under which certain of SCI’s subsidiaries and Melco Resorts Affiliates share and mutually provide certain non-gaming services at Studio City, City of Dreams and Altira Macau. The Master Services Agreements and other arrangements for non-gaming services at the properties in Macau, are collectively referred to as “Management and Shared Services Arrangements,” have been extended to December 31, 2032;</w:t>
      </w:r>
    </w:p>
    <w:p>
      <w:pPr>
        <w:spacing w:after="0" w:line="92"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Cotai” refers to MCO Cotai Investments Limited, a subsidiary of Melco Resorts and a shareholder of SCI;</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66" w:right="479" w:bottom="1440" w:gutter="0" w:footer="0" w:header="0"/>
        </w:sectPr>
      </w:pPr>
    </w:p>
    <w:bookmarkStart w:id="23" w:name="page24"/>
    <w:bookmarkEnd w:id="23"/>
    <w:p>
      <w:pPr>
        <w:ind w:left="540" w:right="280" w:hanging="532"/>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“Melco Resorts” refers to Melco Resorts &amp; Entertainment Limited, a Cayman Islands exempted company with limited liability, the American depositary shares of which are listed on the Nasdaq Global Select Market, and which, through its subsidiary MCO Cotai, is a principal shareholder of SCI;</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Affiliates” refers to the subsidiaries of Melco Resorts other than SCI and its subsidiaries;</w:t>
      </w:r>
    </w:p>
    <w:p>
      <w:pPr>
        <w:spacing w:after="0" w:line="130" w:lineRule="exact"/>
        <w:rPr>
          <w:rFonts w:ascii="Times New Roman" w:cs="Times New Roman" w:eastAsia="Times New Roman" w:hAnsi="Times New Roman"/>
          <w:sz w:val="18"/>
          <w:szCs w:val="18"/>
          <w:color w:val="auto"/>
        </w:rPr>
      </w:pPr>
    </w:p>
    <w:p>
      <w:pPr>
        <w:ind w:left="540" w:right="140" w:hanging="532"/>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or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 and “Pataca(s)” refer to the legal currency of Macau;</w:t>
      </w:r>
    </w:p>
    <w:p>
      <w:pPr>
        <w:spacing w:after="0" w:line="130"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2013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US$1.3 billion) and a revolving credit facility of HK$775,420,000 (equivalent to US$100 million), and was amended, restated and extended by the SCC 2016 Credit Facilities;</w:t>
      </w:r>
    </w:p>
    <w:p>
      <w:pPr>
        <w:spacing w:after="0" w:line="85" w:lineRule="exact"/>
        <w:rPr>
          <w:rFonts w:ascii="Times New Roman" w:cs="Times New Roman" w:eastAsia="Times New Roman" w:hAnsi="Times New Roman"/>
          <w:sz w:val="18"/>
          <w:szCs w:val="18"/>
          <w:color w:val="auto"/>
        </w:rPr>
      </w:pPr>
    </w:p>
    <w:p>
      <w:pPr>
        <w:ind w:left="540" w:right="260" w:hanging="532"/>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2016 Credit Facilities” refers to the facilities agreement dated November 23, 2016 with, among others, Bank of China Limited, Macau Branch, to amend, restate and extend the SCC 2013 Project Facility to provide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November 30, 2021, and was amended, restated and extended by the SCC 2021 Credit Facilities;</w:t>
      </w:r>
    </w:p>
    <w:p>
      <w:pPr>
        <w:spacing w:after="0" w:line="88"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2021 Credit Facilities” refers to the facilities agreement dated March 15, 2021 with, among others, Bank of China Limited, Macau Branch, to amend, restate and extend the SCC 2016 Credit Facilities providing for senior secured credit facilities in an aggregate amount of HK$234.0 million (equivalent to US$30.0 million), which consist of a HK$233.0 million (equivalent to US$29.9 million) revolving credit facility and a HK$1.0 million (equivalent to US$0.1 million) term loan facility, and which would have matured on January 15, 2028, and was further amended, restated and extended on November 29, 2024 including with a maturity date extended to August 29, 2029;</w:t>
      </w:r>
    </w:p>
    <w:p>
      <w:pPr>
        <w:spacing w:after="0" w:line="88"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“SCC 2024 Revolving Facilities” refers to the senior secured credit facilities agreement, dated November 29, 2024, entered into between, among others, Studio City Investments, as parent, Studio City Company, as borrower, and certain subsidiaries as guarantors, pursuant to which lenders have made available to Studio City Company HK$1.945 billion (equivalent to US$250.3 million) in revolving credit facilities for a term of five years with an option to increase the commitments in an amount not exceeding US$100.0 million, subject to the satisfaction of certain conditions precedent;</w:t>
      </w:r>
    </w:p>
    <w:p>
      <w:pPr>
        <w:spacing w:after="0" w:line="88"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 refers to an indirect parent of our company, Studio City International Holdings Limited, an exempted company registered by way of continuation in the Cayman Islands, the American depositary shares of which are listed on the New York Stock Exchange;</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resort in Cotai, Macau;</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refers to the gaming areas being operated within Studio City;</w:t>
      </w:r>
    </w:p>
    <w:p>
      <w:pPr>
        <w:spacing w:after="0" w:line="130" w:lineRule="exact"/>
        <w:rPr>
          <w:rFonts w:ascii="Times New Roman" w:cs="Times New Roman" w:eastAsia="Times New Roman" w:hAnsi="Times New Roman"/>
          <w:sz w:val="18"/>
          <w:szCs w:val="18"/>
          <w:color w:val="auto"/>
        </w:rPr>
      </w:pPr>
    </w:p>
    <w:p>
      <w:pPr>
        <w:jc w:val="both"/>
        <w:ind w:left="540" w:right="180" w:hanging="532"/>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w:t>
      </w:r>
    </w:p>
    <w:p>
      <w:pPr>
        <w:spacing w:after="0" w:line="85"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60" w:top="270" w:right="459" w:bottom="1440" w:gutter="0" w:footer="0" w:header="0"/>
        </w:sectPr>
      </w:pPr>
    </w:p>
    <w:bookmarkStart w:id="24" w:name="page25"/>
    <w:bookmarkEnd w:id="24"/>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Entertainment” refers to our subsidiary, Studio City Entertainment Limited, a Macau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refers to our direct parent, Studio City Finance Limited, a company incorporated in the British Virgin Islands;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 to the legal currency of the United States;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30"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and “the Company” refer to Studio City Investments Limited and, as the context requires, its predecessor entities and its consolidated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quarterly report includes our unaudited condensed consolidated financial statements for the three months ended March 31, 2026.</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have been subject to rounding adjustments. Certain other amounts that appear in this quarterly report may not sum due to rounding. Figures shown as totals in certain tables may not be an arithmetic aggregation of the figures preceding them.</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640"/>
          </w:cols>
          <w:pgMar w:left="440" w:top="270" w:right="81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relate to future events, including our future operating results and conditions, our prospects and our future financial performance and condition, all of which are largely based on our current expectations and projections. All statements other than statements of historical fact in this quarterly report are forward-looking statements. These statements involve known and unknown risks, uncertainties and other factors that may cause our actual results, performances or achievements to be materially different from those expressed or implied by the forward-looking statements. Moreover, because we operate in a heavily regulated and evolving industry where amendments to the gaming law were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w:t>
      </w:r>
    </w:p>
    <w:p>
      <w:pPr>
        <w:spacing w:after="0" w:line="19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or information as of the date on which the statements are made in this quarterly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quarterly report with the understanding that our actual future results may be materially different from what we expect.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26" w:name="page27"/>
    <w:bookmarkEnd w:id="26"/>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“drop box”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33" w:lineRule="exact"/>
        <w:rPr>
          <w:sz w:val="20"/>
          <w:szCs w:val="20"/>
          <w:color w:val="auto"/>
        </w:rPr>
      </w:pPr>
    </w:p>
    <w:p>
      <w:pPr>
        <w:ind w:right="360"/>
        <w:spacing w:after="0" w:line="421" w:lineRule="auto"/>
        <w:rPr>
          <w:sz w:val="20"/>
          <w:szCs w:val="20"/>
          <w:color w:val="auto"/>
        </w:rPr>
      </w:pPr>
      <w:r>
        <w:rPr>
          <w:rFonts w:ascii="Times New Roman" w:cs="Times New Roman" w:eastAsia="Times New Roman" w:hAnsi="Times New Roman"/>
          <w:sz w:val="17"/>
          <w:szCs w:val="17"/>
          <w:color w:val="auto"/>
        </w:rPr>
        <w:t>“gaming machine” “gaming machine handle” “gaming machine win rate”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promoter”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“junket player”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w:t>
      </w:r>
    </w:p>
    <w:p>
      <w:pPr>
        <w:spacing w:after="0" w:line="117"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8"/>
          <w:szCs w:val="18"/>
          <w:color w:val="auto"/>
        </w:rPr>
        <w:t>“mass market patron” “mass market operations” “mass market table games drop”</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7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“mass market table games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w:t>
      </w:r>
    </w:p>
    <w:p>
      <w:pPr>
        <w:spacing w:after="0" w:line="20" w:lineRule="exact"/>
        <w:rPr>
          <w:sz w:val="20"/>
          <w:szCs w:val="20"/>
          <w:color w:val="auto"/>
        </w:rPr>
      </w:pPr>
      <w:r>
        <w:rPr>
          <w:sz w:val="20"/>
          <w:szCs w:val="20"/>
          <w:color w:val="auto"/>
        </w:rPr>
        <w:br w:type="column"/>
      </w:r>
    </w:p>
    <w:p>
      <w:pPr>
        <w:ind w:left="226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-210820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secure room within a casino or gaming area with a facility that allows patrons to carry out transactions required to participate in gaming activities, such as exchange of cash for chips and exchange of chips for cash or other chips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gaming machine win (calculated before other incentives as administered by the Gaming Operator and allocating casino revenues related to goods and services provided to gaming patrons on a complimentary basis) expressed as a percentage of gaming machine handle</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corporate entity who, for the purpose of promoting rolling chip and other gaming activities, arranges customer transportation and accommodation, and arranges food and beverage services and entertainment in exchange for commissions from a gaming operator</w:t>
      </w:r>
    </w:p>
    <w:p>
      <w:pPr>
        <w:spacing w:after="0" w:line="6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gaming areas, retail and dining facilities, MICE space, entertainment venues and spas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a gaming operator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consists of both table games and gaming machines played by mass market patrons primarily for cash stakes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wagered in the mass market table games operations</w:t>
      </w:r>
    </w:p>
    <w:p>
      <w:pPr>
        <w:spacing w:after="0" w:line="1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mass market table games win (calculated before discounts, commissions, other incentives as administered by the Gaming Operator and allocating casino revenues related to goods and services provided to gaming patrons on a complimentary basis) as a percentage of mass market table games drop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operations consisting of mass market patrons who play table games</w:t>
      </w:r>
    </w:p>
    <w:p>
      <w:pPr>
        <w:spacing w:after="0" w:line="3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340" w:space="420"/>
            <w:col w:w="8180"/>
          </w:cols>
          <w:pgMar w:left="440" w:top="266"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“premium direct player”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“rolling chip” or “VIP rolling chip”</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patron”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chip operations”</w:t>
      </w:r>
    </w:p>
    <w:p>
      <w:pPr>
        <w:spacing w:after="0" w:line="333" w:lineRule="exact"/>
        <w:rPr>
          <w:sz w:val="20"/>
          <w:szCs w:val="20"/>
          <w:color w:val="auto"/>
        </w:rPr>
      </w:pPr>
    </w:p>
    <w:p>
      <w:pPr>
        <w:jc w:val="both"/>
        <w:ind w:right="500"/>
        <w:spacing w:after="0" w:line="445" w:lineRule="auto"/>
        <w:rPr>
          <w:sz w:val="20"/>
          <w:szCs w:val="20"/>
          <w:color w:val="auto"/>
        </w:rPr>
      </w:pPr>
      <w:r>
        <w:rPr>
          <w:rFonts w:ascii="Times New Roman" w:cs="Times New Roman" w:eastAsia="Times New Roman" w:hAnsi="Times New Roman"/>
          <w:sz w:val="17"/>
          <w:szCs w:val="17"/>
          <w:color w:val="auto"/>
        </w:rPr>
        <w:t>“rolling chip volume” “rolling chip win rate”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games win”</w:t>
      </w:r>
    </w:p>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a rolling chip patron who is a direct customer of a gaming operator and is attracted to the casino through marketing efforts of a gaming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-391160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4"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34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 player who primarily plays on rolling chip or VIP rolling chip tables and typically plays for higher stakes than mass market patrons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consists of table games played in areas designated for rolling chip patrons who are either premium direct players or junket players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non-negotiable chips net buy-in plus the amount of cash chips converted to non-negotiable chips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rolling chip table games win (calculated before discounts, commissions, other incentives as administered by the Gaming Operator and allocating casino revenues related to goods and services provided to gaming patrons on a complimentary basis) as a percentage of rolling chip volume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or electronic gaming machine operated by a single player</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 Table games win is calculated before discounts, commissions, other incentives as administered by the Gaming Operator and allocating casino revenues related to goods and services provided to gaming patrons on a complimentary basis</w:t>
      </w:r>
    </w:p>
    <w:p>
      <w:pPr>
        <w:spacing w:after="0" w:line="1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120" w:space="640"/>
            <w:col w:w="8080"/>
          </w:cols>
          <w:pgMar w:left="440" w:top="270" w:right="61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RATE INFORMATION</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dollars, while our current expenses are denominated predominantly in Patacas and H.K. dollars and in connection with a portion of our indebtedness and certain expenses, in U.S. dollars. The non-financial pages of this quarterly report include all translations from H.K. dollars to U.S. dollars and from U.S. dollars to H.K. dollars at a rate of HK$7.836499 to US$1.00, unless otherwise noted.</w:t>
      </w:r>
    </w:p>
    <w:p>
      <w:pPr>
        <w:spacing w:after="0" w:line="180"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May 2005, the Hong Kong Monetary Authority has maintained a trading band range of HK$7.75 to HK$7.85 per U.S. dollar. The Hong Kong government has stated its intention to maintain the U.S. dollar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64" w:lineRule="exact"/>
        <w:rPr>
          <w:sz w:val="20"/>
          <w:szCs w:val="20"/>
          <w:color w:val="auto"/>
        </w:rPr>
      </w:pPr>
    </w:p>
    <w:p>
      <w:pPr>
        <w:ind w:right="2000" w:firstLine="440"/>
        <w:spacing w:after="0" w:line="282" w:lineRule="auto"/>
        <w:rPr>
          <w:sz w:val="20"/>
          <w:szCs w:val="20"/>
          <w:color w:val="auto"/>
        </w:rPr>
      </w:pPr>
      <w:r>
        <w:rPr>
          <w:rFonts w:ascii="Times New Roman" w:cs="Times New Roman" w:eastAsia="Times New Roman" w:hAnsi="Times New Roman"/>
          <w:sz w:val="18"/>
          <w:szCs w:val="18"/>
          <w:color w:val="auto"/>
        </w:rPr>
        <w:t>The Pataca is pegged to the H.K. dollar at a rate of HK$1.00 to MOP1.03. All translations from Patacas to U.S. dollars in the non-financial pages of this quarterly report were made at the exchange rate of MOP8.071611 to US$1.00.</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this quarterly report, U.S. dollar equivalents of H.K. dollar amounts of indebtedness are based on the prevailing exchange rate on the relevant transaction date, except for the indebtedness balance translations as of the balance sheet date, which are based on the prevailing exchange rate on the applicable balance sheet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CONDITION AND RESULTS OF OPERATIONS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connection with our unaudited condensed consolidated financial statements included elsewhere in this quarterly report. Our unaudited condensed consolidated financial statements have been prepared in accordance with U.S. GAAP. The accompanying unaudited condensed consolidated financial statements should be read in conjunction with our audited consolidated financial statements for the year ended December 31, 2025. The historical results are not necessarily indicative of the results of operations to be expected in the future. Certain statements in this “Financial Condition and Results of Operations” are forward-looking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Studio City is a world-class integrated resort located in Cotai, Macau and its principal operating activities are the provision of services to the Gaming Operator pursuant to a casino contract and the hospitality business in Macau. The gaming operations of Studio City Casino are focused primarily on the mass market and target all ranges of mass market patrons. In the first quarter of 2026, the Gaming Operator operated an average of approximately 253 gaming tables and 964 gaming machines at the Studio City Casino. Our cinematically-themed integrated resort is designed to attract a wide range of customers by providing highly differentiated non-gaming attractions, including the world’s first figure-8 Ferris wheel, a deluxe night club and karaoke, a 5,000-seat live performance arena and an outdoor and an indoor water park. Studio City features approximately 2,493 luxury hotel rooms, diverse food and beverage establishments, a nine-screen cineplex and approximately 44,300 square meters of complementary retail space.</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Studio City is strategically located in Cotai, as one of the few dedicated Cotai hotel-casino resort stops on the Macau Light Rapid Transit Line, with an access bridge leading to Studio City.</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is operated by the Gaming Operator, one of the subsidiaries of Melco Resorts and a holder of a gaming concession in Macau, and we operate the non-gaming businesses of Studio City.</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generated all of our revenues for each of three months ended March 31, 2026 and March 31, 2025 from our operations in Macau, the sole market in which we operate.</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Studio City Investments and its subsidiaries sit within a ring-fenced credit group separate from shareholders of SCI and our debt obligations are not guaranteed by the shareholders of SCI. In particular, Melco Resorts is not a guarantor under the SCC 2021 Credit Facilities, the SCC 2024 Revolving Facilities, the 2027 SCC Senior Secured Notes, the 2028 SCF Senior Notes, the 2029 SCF Senior Notes or the 2031 SCC Senior Secured Notes. As such, the shareholders of SCI are not contractually required to provide any additional financial support to Studio City Investments and our subsidiaries with respect to our debt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Total operating revenues for the first quarter of 2026 were US$176.7 million, compared with US$161.7 million in the first quarter of 2025. The increase was primarily attributable to better performance in mass market operations leading to an increase in revenue from casino contract and higher overall non-gaming revenues.</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Net loss attributable to Studio City Investments Limited for the first quarter of 2026 was US$6.6 million, compared with US$21.0 million in the first quarter of 2025, primarily due to the increase in revenue from casino contract and higher overall non-gaming revenues, partially offset by higher operating expenses as a result of increased business volumes.</w:t>
      </w:r>
    </w:p>
    <w:p>
      <w:pPr>
        <w:spacing w:after="0" w:line="176"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Studio City Casino generated gross gaming revenues of US$373.5 million and US$336.2 million for the first quarters of 2026 and 2025, respectively.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6" w:right="539" w:bottom="1440" w:gutter="0" w:footer="0" w:header="0"/>
        </w:sectPr>
      </w:pPr>
    </w:p>
    <w:bookmarkStart w:id="30" w:name="page31"/>
    <w:bookmarkEnd w:id="3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Mass market table games drop was US$901.3 million in the first quarter of 2026, compared with US$923.9 million in the first quarter of 2025 and hold percentage was 36.9% in the first quarter of 2026, compared with 32.8% in the first quarter of 2025.</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Gaming machine handle for the first quarter of 2026 was US$1.09 billion, compared with US$0.87 billion in the first quarter of 2025 and win rate was 3.7% in the first quarter of 2026, compared with 3.8% in the first quarter of 2025.</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Revenue from casino contract was US$87.0 million for the first quarter of 2026, compared with US$75.9 million for the first quarter of 2025. Revenue from casino contract is net of gaming taxes and the costs incurred in connection with the on-going operation of the Studio City Casino which are deducted by the Gaming Operator.</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Total non-gaming revenues at Studio City for the first quarter of 2026 were US$89.8 million, compared with US$85.8 million for the first quarter of 2025.</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Total net non-operating expenses for the first quarter of 2026 were US$32.0 million, which mainly included interest expense of US$31.0 million, compared with US$34.9 million for the first quarter of 2025, which mainly included interest expense of US$33.4 million.</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Depreciation and amortization costs of US$50.8 million were recorded in the first quarter of 2026, of which US$0.8 million was related to the amortization expense for the land use right, compared with US$51.3 million recorded in the first quarter of 2025, of which US$0.8 million was related to the amortization expense for the land use right.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rely on, our cash generated from our operations and our debt and equity financings to meet our financing or refinancing needs.</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we held cash and cash equivalents of US$53.6 million and restricted cash of US$0.1 million. Restricted cash represented the cash collateral in relation to the SCC 2021 Credit Facilities. Further, we have HK$1.63 billion (equivalent to US$208.5 million) in borrowing capacity under the SCC 2024 Revolving Facilities, of which US$130.5 million was available for future drawdown as of March 31, 2026, subject to certain conditions precedent.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gridSpan w:val="5"/>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w w:val="97"/>
              </w:rPr>
              <w:t>(In thousands</w:t>
            </w:r>
          </w:p>
        </w:tc>
        <w:tc>
          <w:tcPr>
            <w:tcW w:w="660" w:type="dxa"/>
            <w:vAlign w:val="bottom"/>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of 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$ 18,378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(6,880)</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a financing activity</w:t>
            </w:r>
          </w:p>
        </w:tc>
        <w:tc>
          <w:tcPr>
            <w:tcW w:w="1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8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54,507</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68,371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53,687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$ 63,559</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Activities</w:t>
      </w:r>
    </w:p>
    <w:p>
      <w:pPr>
        <w:spacing w:after="0" w:line="12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US$16.4 million for the three months ended March 31, 2026, compared with US$18.4 million for the three months ended March 31, 2025. The change was primarily driven by increased working capital for operations, partially offset by increased operating income resulting from improved performance of Studio City Casino in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US$6.9 million for the three months ended March 31, 2026 was attributable to payments for acquisition of property and equipment of US$6.3 million and payments for other long-term assets of US$0.9 million, partially offset by proceeds from sale of property and equipment of US$0.3 million.</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US$23.1 million for the three months ended March 31, 2025 was attributable to payments for acquisition of property and equipment of US$20.6 million and payments for other long-term assets of US$6.7 million, partially offset by proceeds from sale of property and equipment of US$4.3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Cash used in a financing activity of US$10.0 million for the three months ended March 31, 2026 was attributable to the repayment of an outstanding principal amount under the SCC 2024 Revolving Facilities.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cash was provided by/used in a financing activity for the three months ended March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March 31, 2026:</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73"/>
        </w:trPr>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60" w:type="dxa"/>
            <w:vAlign w:val="bottom"/>
            <w:gridSpan w:val="2"/>
          </w:tcPr>
          <w:p>
            <w:pPr>
              <w:spacing w:after="0"/>
              <w:rPr>
                <w:sz w:val="12"/>
                <w:szCs w:val="12"/>
                <w:color w:val="auto"/>
              </w:rPr>
            </w:pPr>
          </w:p>
        </w:tc>
      </w:tr>
      <w:tr>
        <w:trPr>
          <w:trHeight w:val="216"/>
        </w:trPr>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SCC 2021</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29,860</w:t>
            </w:r>
          </w:p>
        </w:tc>
        <w:tc>
          <w:tcPr>
            <w:tcW w:w="40" w:type="dxa"/>
            <w:vAlign w:val="bottom"/>
            <w:shd w:val="clear" w:color="auto" w:fill="CCEEFF"/>
          </w:tcPr>
          <w:p>
            <w:pPr>
              <w:spacing w:after="0"/>
              <w:rPr>
                <w:sz w:val="18"/>
                <w:szCs w:val="18"/>
                <w:color w:val="auto"/>
              </w:rPr>
            </w:pPr>
          </w:p>
        </w:tc>
      </w:t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SCC 2024</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Facilities</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39,686</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SCC Senior Secured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Notes</w:t>
            </w: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1,100,000</w:t>
            </w:r>
          </w:p>
        </w:tc>
        <w:tc>
          <w:tcPr>
            <w:tcW w:w="4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2,019,546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changes in our indebtedness during the period ended and subsequent to March 31, 2026 are summarized below.</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On March 16, 2026, we repaid an outstanding principal amount of HK$78.0 million (equivalent to US$10.0 million) under the SCC 2024 Revolving Facilities, together with accrued interest.</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May 15, 2026, Studio City Company issued US$300.0 million in an aggregate principal amount of the 2031 SCC Senior Secured Notes. With the net proceeds from the issuance of the 2031 SCC Senior Secured Notes, US$196.4 million of the aggregate principal amount of the 2027 SCC Senior Secured Notes Tender Offer was settled on May 15, 2026, while the remaining aggregate principal amount outstanding of US$153.6 million of the 2027 SCC Senior Secured Notes will be fully redeemed on June 5, 2026 with the remainder of the net proceeds and cash on hand.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64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564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2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56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64"/>
        </w:trPr>
        <w:tc>
          <w:tcPr>
            <w:tcW w:w="5000" w:type="dxa"/>
            <w:vAlign w:val="bottom"/>
          </w:tcPr>
          <w:p>
            <w:pPr>
              <w:spacing w:after="0"/>
              <w:rPr>
                <w:sz w:val="24"/>
                <w:szCs w:val="24"/>
                <w:color w:val="auto"/>
              </w:rPr>
            </w:pPr>
          </w:p>
        </w:tc>
        <w:tc>
          <w:tcPr>
            <w:tcW w:w="5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53,558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54,377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 from affiliated companies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2,352,422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2,410,694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69,141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an affiliated company, non-current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99,073</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2,643,355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2,704,430</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50,441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Payables to affiliated companies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91,874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163,973</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an affiliated company, non-current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1,584,078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1,582,586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2,153,337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2,193,473</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par value $1; 50,000 shares authorized; 3 shares issued and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2,617,155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2,617,155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losses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(2,104,197)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(2,097,556)</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Studio City Investments Limited shareholder’s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527,963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(17,006)</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490,018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510,957</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2,643,355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F-2</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casino contract</w:t>
            </w: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86,968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75,920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22,751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 fee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13,365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161,727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related to casino contract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Entertainment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Mall</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Retail and other</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 costs</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land use right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(49,976)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(148,137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(145,750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28,594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15,977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4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costs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(31,960)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4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Studio City Investments Limited</w:t>
            </w:r>
          </w:p>
        </w:tc>
        <w:tc>
          <w:tcPr>
            <w:tcW w:w="4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4380" w:type="dxa"/>
            <w:vAlign w:val="bottom"/>
            <w:gridSpan w:val="2"/>
          </w:tcPr>
          <w:p>
            <w:pPr>
              <w:jc w:val="right"/>
              <w:ind w:right="3370"/>
              <w:spacing w:after="0"/>
              <w:rPr>
                <w:sz w:val="20"/>
                <w:szCs w:val="20"/>
                <w:color w:val="auto"/>
              </w:rPr>
            </w:pPr>
            <w:r>
              <w:rPr>
                <w:rFonts w:ascii="Times New Roman" w:cs="Times New Roman" w:eastAsia="Times New Roman" w:hAnsi="Times New Roman"/>
                <w:sz w:val="18"/>
                <w:szCs w:val="18"/>
                <w:color w:val="auto"/>
              </w:rPr>
              <w:t>F-3</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Studio City Investments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45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(6,270)</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(20,590)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other long-term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(6,880)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(23,063)</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flow from a financing activity:</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(9,972)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a financing activity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54,507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68,371</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53,687</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   (34,905)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(37,460)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disclosures: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accrued expenses and other current liabilities related to acquisition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payables to affiliated companies related to acquisition of property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459"/>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 to the condensed consolidated balance sheets: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restricted cash</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54,507</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2026-05-29T05:43:34Z</dcterms:created>
  <dcterms:modified xsi:type="dcterms:W3CDTF">2026-05-29T05:43:34Z</dcterms:modified>
</cp:coreProperties>
</file>