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 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Geoffrey Davis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Geoffrey Davis, CFA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34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95"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Earnings Release Date</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173990</wp:posOffset>
            </wp:positionV>
            <wp:extent cx="197167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7167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Announces Earnings Release Date</w:t>
      </w:r>
    </w:p>
    <w:p>
      <w:pPr>
        <w:spacing w:after="0" w:line="225"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Macau, Wednesday, October 28, 2026 – </w:t>
      </w:r>
      <w:r>
        <w:rPr>
          <w:rFonts w:ascii="Times New Roman" w:cs="Times New Roman" w:eastAsia="Times New Roman" w:hAnsi="Times New Roman"/>
          <w:sz w:val="18"/>
          <w:szCs w:val="18"/>
          <w:color w:val="auto"/>
        </w:rPr>
        <w:t>Studio City International Holdings Limited (NYSE: MSC), a world-class integrated resort located in Cotai,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Macau, today announces that it will release its unaudited financial results for the third quarter of 2026 on Wednesday, November 4, 2026.</w:t>
      </w:r>
    </w:p>
    <w:p>
      <w:pPr>
        <w:spacing w:after="0" w:line="1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w:t>
      </w:r>
    </w:p>
    <w:p>
      <w:pPr>
        <w:ind w:left="4" w:right="220" w:hanging="4"/>
        <w:spacing w:after="0" w:line="271" w:lineRule="auto"/>
        <w:tabs>
          <w:tab w:leader="none" w:pos="30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Studio City International Holdings Limited</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 xml:space="preserve">The Company, with its American depositary shares listed on the New York Stock Exchange (NYSE: MSC), is a world-class integrated resort located in Cotai, Macau. For more information about the Company, please visit </w:t>
      </w:r>
      <w:r>
        <w:rPr>
          <w:rFonts w:ascii="Times New Roman" w:cs="Times New Roman" w:eastAsia="Times New Roman" w:hAnsi="Times New Roman"/>
          <w:sz w:val="18"/>
          <w:szCs w:val="18"/>
          <w:u w:val="single" w:color="auto"/>
          <w:color w:val="auto"/>
        </w:rPr>
        <w:t>www.studiocity-macau.com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71120</wp:posOffset>
            </wp:positionV>
            <wp:extent cx="581215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2155" cy="10287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5" w:name="page6"/>
    <w:bookmarkEnd w:id="5"/>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2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6263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The Company is majority owned by Melco Resorts &amp; Entertainment Limited, a company with its American depositary shares listed on the Nasdaq Global Select Market (Nasdaq: MLCO).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Jeanny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254635</wp:posOffset>
            </wp:positionV>
            <wp:extent cx="5726430"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26430" cy="93980"/>
                    </a:xfrm>
                    <a:prstGeom prst="rect">
                      <a:avLst/>
                    </a:prstGeom>
                    <a:noFill/>
                  </pic:spPr>
                </pic:pic>
              </a:graphicData>
            </a:graphic>
          </wp:anchor>
        </w:drawing>
      </w:r>
    </w:p>
    <w:sectPr>
      <w:pgSz w:w="11900" w:h="16838" w:orient="portrait"/>
      <w:cols w:equalWidth="0" w:num="1">
        <w:col w:w="10540"/>
      </w:cols>
      <w:pgMar w:left="440" w:top="144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2026-10-28T05:13:44Z</dcterms:created>
  <dcterms:modified xsi:type="dcterms:W3CDTF">2026-10-28T05:13:44Z</dcterms:modified>
</cp:coreProperties>
</file>