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8695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95690"/>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7"/>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Point Capital, L.P.</w:t>
              </w:r>
            </w:hyperlink>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STUDIO CITY INTERNATIONAL</w:t>
              </w:r>
            </w:hyperlink>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7"/>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7"/>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60" w:type="dxa"/>
            <w:vAlign w:val="bottom"/>
            <w:gridSpan w:val="7"/>
            <w:vMerge w:val="restart"/>
          </w:tcPr>
          <w:p>
            <w:pPr>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HOLDINGS Ltd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gridSpan w:val="4"/>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60" w:type="dxa"/>
            <w:vAlign w:val="bottom"/>
            <w:gridSpan w:val="7"/>
            <w:vMerge w:val="continue"/>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60" w:type="dxa"/>
            <w:vAlign w:val="bottom"/>
            <w:gridSpan w:val="7"/>
            <w:vMerge w:val="continue"/>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5"/>
                <w:szCs w:val="5"/>
                <w:color w:val="auto"/>
              </w:rPr>
            </w:pPr>
          </w:p>
        </w:tc>
        <w:tc>
          <w:tcPr>
            <w:tcW w:w="1540" w:type="dxa"/>
            <w:vAlign w:val="bottom"/>
            <w:gridSpan w:val="4"/>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34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0000EE"/>
              <w:bottom w:val="single" w:sz="8" w:color="0000EE"/>
            </w:tcBorders>
            <w:gridSpan w:val="4"/>
            <w:vMerge w:val="restart"/>
          </w:tcPr>
          <w:p>
            <w:pPr>
              <w:spacing w:after="0" w:line="134" w:lineRule="exact"/>
              <w:rPr>
                <w:sz w:val="20"/>
                <w:szCs w:val="20"/>
                <w:color w:val="auto"/>
              </w:rPr>
            </w:pPr>
            <w:r>
              <w:rPr>
                <w:rFonts w:ascii="Arial" w:cs="Arial" w:eastAsia="Arial" w:hAnsi="Arial"/>
                <w:sz w:val="13"/>
                <w:szCs w:val="13"/>
                <w:color w:val="auto"/>
                <w:w w:val="98"/>
              </w:rPr>
              <w:t>Foreign Trading Symbol</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3"/>
                <w:szCs w:val="13"/>
                <w:color w:val="auto"/>
              </w:rPr>
              <w:t>(Last)</w:t>
            </w:r>
          </w:p>
        </w:tc>
        <w:tc>
          <w:tcPr>
            <w:tcW w:w="620" w:type="dxa"/>
            <w:vAlign w:val="bottom"/>
          </w:tcPr>
          <w:p>
            <w:pPr>
              <w:spacing w:after="0"/>
              <w:rPr>
                <w:sz w:val="12"/>
                <w:szCs w:val="12"/>
                <w:color w:val="auto"/>
              </w:rPr>
            </w:pPr>
          </w:p>
        </w:tc>
        <w:tc>
          <w:tcPr>
            <w:tcW w:w="1220" w:type="dxa"/>
            <w:vAlign w:val="bottom"/>
            <w:gridSpan w:val="4"/>
          </w:tcPr>
          <w:p>
            <w:pPr>
              <w:ind w:left="20"/>
              <w:spacing w:after="0" w:line="134" w:lineRule="exact"/>
              <w:rPr>
                <w:sz w:val="20"/>
                <w:szCs w:val="20"/>
                <w:color w:val="auto"/>
              </w:rPr>
            </w:pPr>
            <w:r>
              <w:rPr>
                <w:rFonts w:ascii="Arial" w:cs="Arial" w:eastAsia="Arial" w:hAnsi="Arial"/>
                <w:sz w:val="13"/>
                <w:szCs w:val="13"/>
                <w:color w:val="auto"/>
              </w:rPr>
              <w:t>(First)</w:t>
            </w:r>
          </w:p>
        </w:tc>
        <w:tc>
          <w:tcPr>
            <w:tcW w:w="1080" w:type="dxa"/>
            <w:vAlign w:val="bottom"/>
          </w:tcPr>
          <w:p>
            <w:pPr>
              <w:ind w:left="20"/>
              <w:spacing w:after="0" w:line="134" w:lineRule="exact"/>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ind w:left="28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continue"/>
          </w:tcPr>
          <w:p>
            <w:pPr>
              <w:spacing w:after="0"/>
              <w:rPr>
                <w:sz w:val="9"/>
                <w:szCs w:val="9"/>
                <w:color w:val="auto"/>
              </w:rPr>
            </w:pPr>
          </w:p>
        </w:tc>
        <w:tc>
          <w:tcPr>
            <w:tcW w:w="14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7"/>
                <w:szCs w:val="17"/>
                <w:color w:val="0000FF"/>
              </w:rPr>
              <w:t>10/22/2026</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060" w:type="dxa"/>
            <w:vAlign w:val="bottom"/>
            <w:tcBorders>
              <w:bottom w:val="single" w:sz="8" w:color="808080"/>
            </w:tcBorders>
            <w:gridSpan w:val="3"/>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840" w:type="dxa"/>
            <w:vAlign w:val="bottom"/>
            <w:tcBorders>
              <w:bottom w:val="single" w:sz="8" w:color="808080"/>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380" w:type="dxa"/>
            <w:vAlign w:val="bottom"/>
            <w:tcBorders>
              <w:top w:val="single" w:sz="8" w:color="2C2C2C"/>
            </w:tcBorders>
            <w:shd w:val="clear" w:color="auto" w:fill="2C2C2C"/>
          </w:tcPr>
          <w:p>
            <w:pPr>
              <w:spacing w:after="0" w:line="20" w:lineRule="exact"/>
              <w:rPr>
                <w:sz w:val="1"/>
                <w:szCs w:val="1"/>
                <w:color w:val="auto"/>
              </w:rPr>
            </w:pPr>
          </w:p>
        </w:tc>
        <w:tc>
          <w:tcPr>
            <w:tcW w:w="100" w:type="dxa"/>
            <w:vAlign w:val="bottom"/>
            <w:tcBorders>
              <w:top w:val="single" w:sz="8" w:color="2C2C2C"/>
            </w:tcBorders>
            <w:shd w:val="clear" w:color="auto" w:fill="2C2C2C"/>
          </w:tcPr>
          <w:p>
            <w:pPr>
              <w:spacing w:after="0" w:line="20" w:lineRule="exact"/>
              <w:rPr>
                <w:sz w:val="1"/>
                <w:szCs w:val="1"/>
                <w:color w:val="auto"/>
              </w:rPr>
            </w:pPr>
          </w:p>
        </w:tc>
        <w:tc>
          <w:tcPr>
            <w:tcW w:w="900" w:type="dxa"/>
            <w:vAlign w:val="bottom"/>
            <w:tcBorders>
              <w:top w:val="single" w:sz="8" w:color="2C2C2C"/>
            </w:tcBorders>
            <w:gridSpan w:val="2"/>
            <w:shd w:val="clear" w:color="auto" w:fill="2C2C2C"/>
          </w:tcPr>
          <w:p>
            <w:pPr>
              <w:spacing w:after="0" w:line="20" w:lineRule="exact"/>
              <w:rPr>
                <w:sz w:val="1"/>
                <w:szCs w:val="1"/>
                <w:color w:val="auto"/>
              </w:rPr>
            </w:pPr>
          </w:p>
        </w:tc>
        <w:tc>
          <w:tcPr>
            <w:tcW w:w="140" w:type="dxa"/>
            <w:vAlign w:val="bottom"/>
            <w:tcBorders>
              <w:top w:val="single" w:sz="8" w:color="2C2C2C"/>
            </w:tcBorders>
            <w:gridSpan w:val="2"/>
            <w:shd w:val="clear" w:color="auto" w:fill="2C2C2C"/>
          </w:tcPr>
          <w:p>
            <w:pPr>
              <w:spacing w:after="0" w:line="20" w:lineRule="exact"/>
              <w:rPr>
                <w:sz w:val="1"/>
                <w:szCs w:val="1"/>
                <w:color w:val="auto"/>
              </w:rPr>
            </w:pPr>
          </w:p>
        </w:tc>
        <w:tc>
          <w:tcPr>
            <w:tcW w:w="2060" w:type="dxa"/>
            <w:vAlign w:val="bottom"/>
            <w:tcBorders>
              <w:top w:val="single" w:sz="8" w:color="2C2C2C"/>
            </w:tcBorders>
            <w:gridSpan w:val="3"/>
            <w:shd w:val="clear" w:color="auto" w:fill="2C2C2C"/>
          </w:tcPr>
          <w:p>
            <w:pPr>
              <w:spacing w:after="0" w:line="20" w:lineRule="exact"/>
              <w:rPr>
                <w:sz w:val="1"/>
                <w:szCs w:val="1"/>
                <w:color w:val="auto"/>
              </w:rPr>
            </w:pPr>
          </w:p>
        </w:tc>
        <w:tc>
          <w:tcPr>
            <w:tcW w:w="180" w:type="dxa"/>
            <w:vAlign w:val="bottom"/>
            <w:tcBorders>
              <w:top w:val="single" w:sz="8" w:color="2C2C2C"/>
            </w:tcBorders>
            <w:shd w:val="clear" w:color="auto" w:fill="2C2C2C"/>
          </w:tcPr>
          <w:p>
            <w:pPr>
              <w:spacing w:after="0" w:line="20" w:lineRule="exact"/>
              <w:rPr>
                <w:sz w:val="1"/>
                <w:szCs w:val="1"/>
                <w:color w:val="auto"/>
              </w:rPr>
            </w:pPr>
          </w:p>
        </w:tc>
        <w:tc>
          <w:tcPr>
            <w:tcW w:w="340" w:type="dxa"/>
            <w:vAlign w:val="bottom"/>
            <w:tcBorders>
              <w:top w:val="single" w:sz="8" w:color="2C2C2C"/>
            </w:tcBorders>
            <w:shd w:val="clear" w:color="auto" w:fill="2C2C2C"/>
          </w:tcPr>
          <w:p>
            <w:pPr>
              <w:spacing w:after="0" w:line="20" w:lineRule="exact"/>
              <w:rPr>
                <w:sz w:val="1"/>
                <w:szCs w:val="1"/>
                <w:color w:val="auto"/>
              </w:rPr>
            </w:pPr>
          </w:p>
        </w:tc>
        <w:tc>
          <w:tcPr>
            <w:tcW w:w="120" w:type="dxa"/>
            <w:vAlign w:val="bottom"/>
            <w:tcBorders>
              <w:top w:val="single" w:sz="8" w:color="2C2C2C"/>
            </w:tcBorders>
            <w:gridSpan w:val="2"/>
            <w:shd w:val="clear" w:color="auto" w:fill="2C2C2C"/>
          </w:tcPr>
          <w:p>
            <w:pPr>
              <w:spacing w:after="0" w:line="20" w:lineRule="exact"/>
              <w:rPr>
                <w:sz w:val="1"/>
                <w:szCs w:val="1"/>
                <w:color w:val="auto"/>
              </w:rPr>
            </w:pPr>
          </w:p>
        </w:tc>
        <w:tc>
          <w:tcPr>
            <w:tcW w:w="2840" w:type="dxa"/>
            <w:vAlign w:val="bottom"/>
            <w:tcBorders>
              <w:top w:val="single" w:sz="8" w:color="2C2C2C"/>
            </w:tcBorders>
            <w:gridSpan w:val="5"/>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80" w:type="dxa"/>
            <w:vAlign w:val="bottom"/>
            <w:gridSpan w:val="9"/>
          </w:tcPr>
          <w:p>
            <w:pPr>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2"/>
                <w:szCs w:val="12"/>
                <w:color w:val="auto"/>
              </w:rPr>
            </w:pPr>
          </w:p>
        </w:tc>
        <w:tc>
          <w:tcPr>
            <w:tcW w:w="3420" w:type="dxa"/>
            <w:vAlign w:val="bottom"/>
            <w:gridSpan w:val="10"/>
          </w:tcPr>
          <w:p>
            <w:pPr>
              <w:ind w:left="6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80" w:type="dxa"/>
            <w:vAlign w:val="bottom"/>
            <w:gridSpan w:val="5"/>
            <w:vMerge w:val="restart"/>
          </w:tcPr>
          <w:p>
            <w:pPr>
              <w:ind w:left="280"/>
              <w:spacing w:after="0"/>
              <w:rPr>
                <w:sz w:val="20"/>
                <w:szCs w:val="20"/>
                <w:color w:val="auto"/>
              </w:rPr>
            </w:pPr>
            <w:r>
              <w:rPr>
                <w:rFonts w:ascii="Times New Roman" w:cs="Times New Roman" w:eastAsia="Times New Roman" w:hAnsi="Times New Roman"/>
                <w:sz w:val="17"/>
                <w:szCs w:val="17"/>
                <w:color w:val="0000FF"/>
              </w:rPr>
              <w:t>10/26/2026</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06830</w:t>
            </w:r>
          </w:p>
        </w:tc>
        <w:tc>
          <w:tcPr>
            <w:tcW w:w="148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18"/>
          </w:tcPr>
          <w:p>
            <w:pPr>
              <w:ind w:left="1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800"/>
              <w:spacing w:after="0" w:line="127"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5"/>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0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400</w:t>
            </w: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line="307"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7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20" w:type="dxa"/>
            <w:vAlign w:val="bottom"/>
          </w:tcPr>
          <w:p>
            <w:pPr>
              <w:spacing w:after="0"/>
              <w:rPr>
                <w:sz w:val="11"/>
                <w:szCs w:val="11"/>
                <w:color w:val="auto"/>
              </w:rPr>
            </w:pPr>
          </w:p>
        </w:tc>
        <w:tc>
          <w:tcPr>
            <w:tcW w:w="1540" w:type="dxa"/>
            <w:vAlign w:val="bottom"/>
            <w:tcBorders>
              <w:right w:val="single" w:sz="8" w:color="2C2C2C"/>
            </w:tcBorders>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2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4 and 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1"/>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36,000</w:t>
            </w:r>
            <w:r>
              <w:rPr>
                <w:rFonts w:ascii="Times New Roman" w:cs="Times New Roman" w:eastAsia="Times New Roman" w:hAnsi="Times New Roman"/>
                <w:sz w:val="21"/>
                <w:szCs w:val="21"/>
                <w:color w:val="008000"/>
                <w:vertAlign w:val="superscript"/>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80"/>
              <w:spacing w:after="0" w:line="141" w:lineRule="exact"/>
              <w:rPr>
                <w:sz w:val="20"/>
                <w:szCs w:val="20"/>
                <w:color w:val="auto"/>
              </w:rPr>
            </w:pPr>
            <w:r>
              <w:rPr>
                <w:rFonts w:ascii="Times New Roman" w:cs="Times New Roman" w:eastAsia="Times New Roman" w:hAnsi="Times New Roman"/>
                <w:sz w:val="13"/>
                <w:szCs w:val="13"/>
                <w:color w:val="0000FF"/>
              </w:rPr>
              <w:t>10/26/2026</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w:t>
            </w:r>
          </w:p>
        </w:tc>
        <w:tc>
          <w:tcPr>
            <w:tcW w:w="80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3"/>
                <w:szCs w:val="13"/>
                <w:color w:val="0000FF"/>
              </w:rPr>
              <w:t>31,343,563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9"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7"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Point Capital, L.P.</w:t>
              </w:r>
            </w:hyperlink>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2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06830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7"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MULE EDWARD A</w:t>
              </w:r>
            </w:hyperlink>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2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06830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tcPr>
          <w:p>
            <w:pPr>
              <w:ind w:left="3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ind w:left="20"/>
              <w:spacing w:after="0" w:line="217"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O'Shea Robert J</w:t>
              </w:r>
            </w:hyperlink>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tcPr>
          <w:p>
            <w:pPr>
              <w:ind w:left="3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-5626100</wp:posOffset>
            </wp:positionV>
            <wp:extent cx="29210" cy="1837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0" cy="18370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TWO GREENWICH PLAZA, SUITE 1</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0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06830</w:t>
            </w:r>
          </w:p>
        </w:tc>
      </w:tr>
      <w:tr>
        <w:trPr>
          <w:trHeight w:val="147"/>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-536575</wp:posOffset>
            </wp:positionV>
            <wp:extent cx="2811780" cy="614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1780" cy="6140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firstLine="1"/>
        <w:spacing w:after="0" w:line="23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p>
      <w:pPr>
        <w:spacing w:after="0" w:line="25"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beneficial ownership of the reported securities held by Funds except to the extent of their pecuniary interests.</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is convertible at any time, at the holder's election, into four Class A Ordinary Shares of the issuer. The American Depositary Shares have no expiration date.</w:t>
      </w:r>
    </w:p>
    <w:p>
      <w:pPr>
        <w:spacing w:after="0" w:line="42" w:lineRule="exact"/>
        <w:rPr>
          <w:rFonts w:ascii="Times New Roman" w:cs="Times New Roman" w:eastAsia="Times New Roman" w:hAnsi="Times New Roman"/>
          <w:sz w:val="13"/>
          <w:szCs w:val="13"/>
          <w:color w:val="008000"/>
        </w:rPr>
      </w:pPr>
    </w:p>
    <w:p>
      <w:pPr>
        <w:ind w:right="140" w:firstLine="1"/>
        <w:spacing w:after="0" w:line="252"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for the purpose of correcting the number of American Depositary Shares purchased on October 26, 2026 as reported in Table II of the original Form 4, which should have been reported as 36,000 American Depositary Shares, and to update the reported beneficial ownership amounts accordingly.</w:t>
      </w:r>
    </w:p>
    <w:p>
      <w:pPr>
        <w:sectPr>
          <w:pgSz w:w="11900" w:h="16838" w:orient="portrait"/>
          <w:cols w:equalWidth="0" w:num="1">
            <w:col w:w="10880"/>
          </w:cols>
          <w:pgMar w:left="500" w:top="128" w:right="519" w:bottom="1440" w:gutter="0" w:footer="0" w:header="0"/>
        </w:sectPr>
      </w:pPr>
    </w:p>
    <w:p>
      <w:pPr>
        <w:spacing w:after="0" w:line="4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Steven Weiser,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-2540</wp:posOffset>
            </wp:positionV>
            <wp:extent cx="1254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 on behalf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225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Point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-2540</wp:posOffset>
            </wp:positionV>
            <wp:extent cx="1287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in-fact on behalf of Edward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96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Mule,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821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-2540</wp:posOffset>
            </wp:positionV>
            <wp:extent cx="1287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 on behalf of Robert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1219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O'Shea,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-17145</wp:posOffset>
            </wp:positionV>
            <wp:extent cx="898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2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4813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481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481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00" w:space="160"/>
            <w:col w:w="2120"/>
          </w:cols>
          <w:pgMar w:left="500" w:top="128"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firstLine="1"/>
        <w:spacing w:after="0" w:line="33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1332784" TargetMode="External"/><Relationship Id="rId14" Type="http://schemas.openxmlformats.org/officeDocument/2006/relationships/hyperlink" Target="http://www.sec.gov/cgi-bin/browse-edgar?action=getcompany&amp;CIK=0001713334" TargetMode="External"/><Relationship Id="rId15" Type="http://schemas.openxmlformats.org/officeDocument/2006/relationships/hyperlink" Target="http://www.sec.gov/cgi-bin/browse-edgar?action=getcompany&amp;CIK=0001029625" TargetMode="External"/><Relationship Id="rId16" Type="http://schemas.openxmlformats.org/officeDocument/2006/relationships/hyperlink" Target="http://www.sec.gov/cgi-bin/browse-edgar?action=getcompany&amp;CIK=0001382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2026-10-27T18:46:00Z</dcterms:created>
  <dcterms:modified xsi:type="dcterms:W3CDTF">2026-10-27T18:46:00Z</dcterms:modified>
</cp:coreProperties>
</file>