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 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c>
          <w:tcPr>
            <w:tcW w:w="854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54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9"/>
              </w:rPr>
              <w:t>STUDIO CITY INTERNATIONAL HOLDINGS LIMITED</w:t>
            </w:r>
          </w:p>
        </w:tc>
      </w:tr>
      <w:tr>
        <w:trPr>
          <w:trHeight w:val="216"/>
        </w:trPr>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4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rPr>
              <w:t>Form 6–K</w:t>
            </w:r>
          </w:p>
        </w:tc>
      </w:tr>
      <w:tr>
        <w:trPr>
          <w:trHeight w:val="238"/>
        </w:trPr>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4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18"/>
        </w:trPr>
        <w:tc>
          <w:tcPr>
            <w:tcW w:w="1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Signature</w:t>
            </w:r>
          </w:p>
        </w:tc>
        <w:tc>
          <w:tcPr>
            <w:tcW w:w="9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Announcement</w:t>
            </w:r>
          </w:p>
        </w:tc>
        <w:tc>
          <w:tcPr>
            <w:tcW w:w="8540" w:type="dxa"/>
            <w:vAlign w:val="bottom"/>
          </w:tcPr>
          <w:p>
            <w:pPr>
              <w:spacing w:after="0"/>
              <w:rPr>
                <w:sz w:val="24"/>
                <w:szCs w:val="24"/>
                <w:color w:val="auto"/>
              </w:rPr>
            </w:pPr>
          </w:p>
        </w:tc>
      </w:tr>
      <w:tr>
        <w:trPr>
          <w:trHeight w:val="385"/>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4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88"/>
              </w:rPr>
              <w:t>2</w:t>
            </w:r>
          </w:p>
        </w:tc>
      </w:tr>
    </w:tbl>
    <w:p>
      <w:pPr>
        <w:jc w:val="center"/>
        <w:ind w:right="119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 Sung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Tim Y. Sung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173990</wp:posOffset>
            </wp:positionV>
            <wp:extent cx="169735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3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Studio City Announces Receipt of Notice from the New York Stock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Continued Listing Requirements</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Macau, Friday, October 30, 2026 – </w:t>
      </w:r>
      <w:r>
        <w:rPr>
          <w:rFonts w:ascii="Times New Roman" w:cs="Times New Roman" w:eastAsia="Times New Roman" w:hAnsi="Times New Roman"/>
          <w:sz w:val="17"/>
          <w:szCs w:val="17"/>
          <w:color w:val="auto"/>
        </w:rPr>
        <w:t>Studio City International Holdings Limited (NYSE: MSC) (“Studio City” or the “Company”), a world-class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integrated resort located in Cotai, Macau, today reported that it received a notice from the New York Stock Exchange (the “NYSE”) that it was not currently in compliance with Section 802.01C of the New York Stock Exchange Listed Company Manual (the “NYSE Manual”) as the average closing price of the Company’s American depositary shares (“ADSs”) was less than US$1.00 over a consecutive 30 trading-day period (the “NYSE Notice”).</w:t>
      </w:r>
    </w:p>
    <w:p>
      <w:pPr>
        <w:spacing w:after="0" w:line="1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NYSE listing standards, the Company has a period of six months following receipt of the NYSE Notice to regain compliance with the minimum share price requirement. The Company intends to timely notify the NYSE of its intent to regain compliance with the NYSE minimum share price requirement.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NYSE Notice has no immediate effect on the listing of the Company’s ADSs, which will continue to be traded on the NYSE during the cure period, subject to continued compliance with the other listing requirements of the NYSE. The Company may regain compliance at any time during the six-month cure period, which ends on April 27, 2027, if the average closing price of the Company’s ADSs exceeds US$1.00 over a consecutive 30 trading-day period or, in the alternative, on the last trading day of any calendar month during the cure period, the Company’s ADSs has a closing share price of at least US$1.00 and an average closing share price of at least US$1.00 over the 30 trading-day period ending on such date.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continue monitoring the market price of its ADSs and is considering available alternatives to regain compliance with the NYSE minimum share price requirement.</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The NYSE Notice does not affect the Company’s business operations or its reporting obligations with the U.S. Securities and Exchange Commission.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82550</wp:posOffset>
            </wp:positionV>
            <wp:extent cx="556323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3235" cy="14541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w:t>
      </w:r>
    </w:p>
    <w:p>
      <w:pPr>
        <w:spacing w:after="0" w:line="3" w:lineRule="exact"/>
        <w:rPr>
          <w:sz w:val="20"/>
          <w:szCs w:val="20"/>
          <w:color w:val="auto"/>
        </w:rPr>
      </w:pPr>
    </w:p>
    <w:p>
      <w:pPr>
        <w:ind w:left="4" w:right="180" w:hanging="4"/>
        <w:spacing w:after="0" w:line="271" w:lineRule="auto"/>
        <w:tabs>
          <w:tab w:leader="none" w:pos="30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Studio City International Holdings Limited</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 xml:space="preserve">The Company, with its American depositary shares listed on the New York Stock Exchange (NYSE: MSC), is a world-class integrated resort located in Cotai, Macau. For more information about the Company, please visit </w:t>
      </w:r>
      <w:r>
        <w:rPr>
          <w:rFonts w:ascii="Times New Roman" w:cs="Times New Roman" w:eastAsia="Times New Roman" w:hAnsi="Times New Roman"/>
          <w:sz w:val="18"/>
          <w:szCs w:val="18"/>
          <w:u w:val="single" w:color="auto"/>
          <w:color w:val="auto"/>
        </w:rPr>
        <w:t>www.studiocity-macau.com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Company is majority owned by Melco Resorts &amp; Entertainment Limited, a company with its American depositary shares listed on the Nasdaq Global Select Market (Nasdaq: MLCO).</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the investment community, please 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Jeanny Kim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Chimmy Leung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100330</wp:posOffset>
            </wp:positionV>
            <wp:extent cx="556323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3235" cy="146050"/>
                    </a:xfrm>
                    <a:prstGeom prst="rect">
                      <a:avLst/>
                    </a:prstGeom>
                    <a:noFill/>
                  </pic:spPr>
                </pic:pic>
              </a:graphicData>
            </a:graphic>
          </wp:anchor>
        </w:drawing>
      </w:r>
    </w:p>
    <w:sectPr>
      <w:pgSz w:w="11900" w:h="16838" w:orient="portrait"/>
      <w:cols w:equalWidth="0" w:num="1">
        <w:col w:w="10984"/>
      </w:cols>
      <w:pgMar w:left="436" w:top="136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2026-10-30T05:56:48Z</dcterms:created>
  <dcterms:modified xsi:type="dcterms:W3CDTF">2026-10-30T05:56:48Z</dcterms:modified>
</cp:coreProperties>
</file>