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900"/>
        <w:spacing w:after="0"/>
        <w:rPr>
          <w:sz w:val="20"/>
          <w:szCs w:val="20"/>
          <w:color w:val="auto"/>
        </w:rPr>
      </w:pPr>
      <w:r>
        <w:rPr>
          <w:rFonts w:ascii="Arial" w:cs="Arial" w:eastAsia="Arial" w:hAnsi="Arial"/>
          <w:sz w:val="37"/>
          <w:szCs w:val="37"/>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The Centrium</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 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181610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60"/>
          </w:cols>
          <w:pgMar w:left="320" w:top="230" w:right="9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Signature</w:t>
              </w:r>
            </w:hyperlink>
          </w:p>
        </w:tc>
        <w:tc>
          <w:tcPr>
            <w:tcW w:w="103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99.1</w:t>
        </w:r>
      </w:hyperlink>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STUDIO CITY INTERNATIONAL HOLDINGS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Geoffrey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Geoffrey Davis, CFA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29, 2021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u w:val="single" w:color="auto"/>
          <w:color w:val="auto"/>
        </w:rPr>
        <w:t>Description</w:t>
      </w:r>
    </w:p>
    <w:p>
      <w:pPr>
        <w:spacing w:after="0" w:line="117"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Quarterly Report of Studio City Finance Limited</w:t>
      </w:r>
    </w:p>
    <w:p>
      <w:pPr>
        <w:sectPr>
          <w:pgSz w:w="11900" w:h="16838" w:orient="portrait"/>
          <w:cols w:equalWidth="0" w:num="1">
            <w:col w:w="10139"/>
          </w:cols>
          <w:pgMar w:left="320" w:top="45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Finance Limited’s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1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This quarterly report provides Studio City Finance Limited’s unaudited condensed consolidated financial statements, comprising condensed consolidated balance sheets, condensed consolidated statements of operations and condensed consolidated statements of cash flows, for the three and nine months ended September 30, 2021, together with the related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1"/>
              </w:rPr>
              <w:t>Studio City Finance Limited</w:t>
            </w:r>
          </w:p>
        </w:tc>
        <w:tc>
          <w:tcPr>
            <w:tcW w:w="21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6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4"/>
              </w:rPr>
              <w:t>Report for the Third Quarter of 2021</w:t>
            </w:r>
          </w:p>
        </w:tc>
        <w:tc>
          <w:tcPr>
            <w:tcW w:w="214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6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8"/>
              </w:rPr>
              <w:t>TABLE OF CONTENTS</w:t>
            </w:r>
          </w:p>
        </w:tc>
        <w:tc>
          <w:tcPr>
            <w:tcW w:w="2140" w:type="dxa"/>
            <w:vAlign w:val="bottom"/>
          </w:tcPr>
          <w:p>
            <w:pPr>
              <w:spacing w:after="0"/>
              <w:rPr>
                <w:sz w:val="24"/>
                <w:szCs w:val="24"/>
                <w:color w:val="auto"/>
              </w:rPr>
            </w:pPr>
          </w:p>
        </w:tc>
      </w:tr>
      <w:tr>
        <w:trPr>
          <w:trHeight w:val="418"/>
        </w:trPr>
        <w:tc>
          <w:tcPr>
            <w:tcW w:w="13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INTRODUCTION</w:t>
              </w:r>
            </w:hyperlink>
          </w:p>
        </w:tc>
        <w:tc>
          <w:tcPr>
            <w:tcW w:w="7460" w:type="dxa"/>
            <w:vAlign w:val="bottom"/>
            <w:gridSpan w:val="5"/>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820" w:type="dxa"/>
            <w:vAlign w:val="bottom"/>
            <w:gridSpan w:val="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GLOSSARY</w:t>
              </w:r>
            </w:hyperlink>
          </w:p>
        </w:tc>
        <w:tc>
          <w:tcPr>
            <w:tcW w:w="4380" w:type="dxa"/>
            <w:vAlign w:val="bottom"/>
            <w:tcBorders>
              <w:top w:val="single" w:sz="8" w:color="0000EE"/>
            </w:tcBorders>
            <w:gridSpan w:val="4"/>
          </w:tcPr>
          <w:p>
            <w:pPr>
              <w:spacing w:after="0"/>
              <w:rPr>
                <w:sz w:val="17"/>
                <w:szCs w:val="17"/>
                <w:color w:val="auto"/>
              </w:rPr>
            </w:pPr>
          </w:p>
        </w:tc>
        <w:tc>
          <w:tcPr>
            <w:tcW w:w="350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820" w:type="dxa"/>
            <w:vAlign w:val="bottom"/>
            <w:gridSpan w:val="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EXCHANGE RATE INFORMATION</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76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FINANCIAL CONDITION AND RESULTS OF OPERATIONS</w:t>
              </w:r>
            </w:hyperlink>
          </w:p>
        </w:tc>
        <w:tc>
          <w:tcPr>
            <w:tcW w:w="4140" w:type="dxa"/>
            <w:vAlign w:val="bottom"/>
            <w:gridSpan w:val="3"/>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20" w:type="dxa"/>
            <w:vAlign w:val="bottom"/>
            <w:gridSpan w:val="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INDEX TO UNAUDITED CONDENSED CONSOLIDATED FINANCIAL STATEMENTS</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385"/>
        </w:trPr>
        <w:tc>
          <w:tcPr>
            <w:tcW w:w="6680" w:type="dxa"/>
            <w:vAlign w:val="bottom"/>
            <w:tcBorders>
              <w:top w:val="single" w:sz="8" w:color="0000EE"/>
            </w:tcBorders>
            <w:gridSpan w:val="6"/>
          </w:tcPr>
          <w:p>
            <w:pPr>
              <w:jc w:val="center"/>
              <w:ind w:left="4230"/>
              <w:spacing w:after="0"/>
              <w:rPr>
                <w:sz w:val="20"/>
                <w:szCs w:val="20"/>
                <w:color w:val="auto"/>
              </w:rPr>
            </w:pPr>
            <w:r>
              <w:rPr>
                <w:rFonts w:ascii="Arial" w:cs="Arial" w:eastAsia="Arial" w:hAnsi="Arial"/>
                <w:sz w:val="18"/>
                <w:szCs w:val="18"/>
                <w:color w:val="auto"/>
                <w:w w:val="79"/>
              </w:rPr>
              <w:t>2</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unless otherwise indicated:</w:t>
      </w:r>
    </w:p>
    <w:p>
      <w:pPr>
        <w:spacing w:after="0" w:line="131" w:lineRule="exact"/>
        <w:rPr>
          <w:sz w:val="20"/>
          <w:szCs w:val="20"/>
          <w:color w:val="auto"/>
        </w:rPr>
      </w:pPr>
    </w:p>
    <w:p>
      <w:pPr>
        <w:ind w:left="520" w:hanging="424"/>
        <w:spacing w:after="0" w:line="25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“2021 Studio City Senior Secured Credit Facility” refers to the facility agreement dated November 23, 2016 with, among others, Bank of China Limited, Macau Branch, to amend, restate and extend the Studio City Project Facility to provide for senior secured credit facilities in an aggregate amount of HK$234.0 million, which consist of a HK$233.0 million (approximately US$29.9 million) revolving credit facility and a HK$1.0 million (approximately US$0.1 million) term loan facility, and which has been amended, restated and extended by the 2028 Studio City Senior Secured Credit Facility;</w:t>
      </w:r>
    </w:p>
    <w:p>
      <w:pPr>
        <w:spacing w:after="0" w:line="93" w:lineRule="exact"/>
        <w:rPr>
          <w:rFonts w:ascii="Arial" w:cs="Arial" w:eastAsia="Arial" w:hAnsi="Arial"/>
          <w:sz w:val="18"/>
          <w:szCs w:val="18"/>
          <w:color w:val="auto"/>
        </w:rPr>
      </w:pPr>
    </w:p>
    <w:p>
      <w:pPr>
        <w:ind w:left="520" w:right="180" w:hanging="424"/>
        <w:spacing w:after="0" w:line="263"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“2024 Notes” refers to the 7.25% senior notes due 2024 in an aggregate principal amount of US$600,000,000 issued by the Company on February 11, 2019 and as to which no amount remains outstanding following the redemption of all remaining outstanding amounts in February 2021;</w:t>
      </w:r>
    </w:p>
    <w:p>
      <w:pPr>
        <w:spacing w:after="0" w:line="89" w:lineRule="exact"/>
        <w:rPr>
          <w:rFonts w:ascii="Arial" w:cs="Arial" w:eastAsia="Arial" w:hAnsi="Arial"/>
          <w:sz w:val="18"/>
          <w:szCs w:val="18"/>
          <w:color w:val="auto"/>
        </w:rPr>
      </w:pPr>
    </w:p>
    <w:p>
      <w:pPr>
        <w:ind w:left="520" w:right="120" w:hanging="424"/>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“2024 Notes Tender Offer” refers to the conditional tender offer by the Company to purchase for cash any and all of the outstanding 2024 Notes, which commenced and settled in January 2021;</w:t>
      </w:r>
    </w:p>
    <w:p>
      <w:pPr>
        <w:spacing w:after="0" w:line="75" w:lineRule="exact"/>
        <w:rPr>
          <w:rFonts w:ascii="Arial" w:cs="Arial" w:eastAsia="Arial" w:hAnsi="Arial"/>
          <w:sz w:val="18"/>
          <w:szCs w:val="18"/>
          <w:color w:val="auto"/>
        </w:rPr>
      </w:pPr>
    </w:p>
    <w:p>
      <w:pPr>
        <w:ind w:left="520" w:right="180" w:hanging="424"/>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“2025 Notes” refers to the 6.00% senior notes due 2025 in an aggregate principal amount of US$500,000,000 issued by the Company on July 15, 2020;</w:t>
      </w:r>
    </w:p>
    <w:p>
      <w:pPr>
        <w:spacing w:after="0" w:line="75" w:lineRule="exact"/>
        <w:rPr>
          <w:rFonts w:ascii="Arial" w:cs="Arial" w:eastAsia="Arial" w:hAnsi="Arial"/>
          <w:sz w:val="18"/>
          <w:szCs w:val="18"/>
          <w:color w:val="auto"/>
        </w:rPr>
      </w:pPr>
    </w:p>
    <w:p>
      <w:pPr>
        <w:ind w:left="520" w:right="180" w:hanging="424"/>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“2028 Notes” refers to the 6.50% senior notes due 2028 in an aggregate principal amount of US$500,000,000 issued by the Company on July 15, 2020;</w:t>
      </w:r>
    </w:p>
    <w:p>
      <w:pPr>
        <w:spacing w:after="0" w:line="75" w:lineRule="exact"/>
        <w:rPr>
          <w:rFonts w:ascii="Arial" w:cs="Arial" w:eastAsia="Arial" w:hAnsi="Arial"/>
          <w:sz w:val="18"/>
          <w:szCs w:val="18"/>
          <w:color w:val="auto"/>
        </w:rPr>
      </w:pPr>
    </w:p>
    <w:p>
      <w:pPr>
        <w:ind w:left="520" w:right="420" w:hanging="424"/>
        <w:spacing w:after="0" w:line="279"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which consist of a HK$233.0 million (approximately US$29.9 million) revolving credit facility and a HK$1.0 million (approximately US$0.1 million) term loan facility;</w:t>
      </w:r>
    </w:p>
    <w:p>
      <w:pPr>
        <w:spacing w:after="0" w:line="76" w:lineRule="exact"/>
        <w:rPr>
          <w:rFonts w:ascii="Arial" w:cs="Arial" w:eastAsia="Arial" w:hAnsi="Arial"/>
          <w:sz w:val="17"/>
          <w:szCs w:val="17"/>
          <w:color w:val="auto"/>
        </w:rPr>
      </w:pPr>
    </w:p>
    <w:p>
      <w:pPr>
        <w:ind w:left="520" w:hanging="42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“2029 Notes” refers to the US$1,100,000,000 aggregate principal amount of 5.00% senior notes due 2029 we issued, of which</w:t>
      </w:r>
    </w:p>
    <w:p>
      <w:pPr>
        <w:spacing w:after="0" w:line="23" w:lineRule="exact"/>
        <w:rPr>
          <w:rFonts w:ascii="Arial" w:cs="Arial" w:eastAsia="Arial" w:hAnsi="Arial"/>
          <w:sz w:val="18"/>
          <w:szCs w:val="18"/>
          <w:color w:val="auto"/>
        </w:rPr>
      </w:pPr>
    </w:p>
    <w:p>
      <w:pPr>
        <w:ind w:left="520"/>
        <w:spacing w:after="0" w:line="260" w:lineRule="auto"/>
        <w:rPr>
          <w:rFonts w:ascii="Arial" w:cs="Arial" w:eastAsia="Arial" w:hAnsi="Arial"/>
          <w:sz w:val="18"/>
          <w:szCs w:val="18"/>
          <w:color w:val="auto"/>
        </w:rPr>
      </w:pPr>
      <w:r>
        <w:rPr>
          <w:rFonts w:ascii="Arial" w:cs="Arial" w:eastAsia="Arial" w:hAnsi="Arial"/>
          <w:sz w:val="18"/>
          <w:szCs w:val="18"/>
          <w:color w:val="auto"/>
        </w:rPr>
        <w:t>US$750,000,000 in aggregate principal amount was issued on January 14, 2021 (the “First 2029 Notes”) and US$350,000,000 in aggregate principal amount was issued on May 20, 2021 (the “Additional 2029 Notes”);</w:t>
      </w:r>
    </w:p>
    <w:p>
      <w:pPr>
        <w:spacing w:after="0" w:line="90" w:lineRule="exact"/>
        <w:rPr>
          <w:rFonts w:ascii="Arial" w:cs="Arial" w:eastAsia="Arial" w:hAnsi="Arial"/>
          <w:sz w:val="18"/>
          <w:szCs w:val="18"/>
          <w:color w:val="auto"/>
        </w:rPr>
      </w:pPr>
    </w:p>
    <w:p>
      <w:pPr>
        <w:ind w:left="520" w:hanging="42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“Altira Macau” refers to an integrated resort located in Taipa, Macau;</w:t>
      </w:r>
    </w:p>
    <w:p>
      <w:pPr>
        <w:spacing w:after="0" w:line="130" w:lineRule="exact"/>
        <w:rPr>
          <w:rFonts w:ascii="Arial" w:cs="Arial" w:eastAsia="Arial" w:hAnsi="Arial"/>
          <w:sz w:val="18"/>
          <w:szCs w:val="18"/>
          <w:color w:val="auto"/>
        </w:rPr>
      </w:pPr>
    </w:p>
    <w:p>
      <w:pPr>
        <w:ind w:left="520" w:right="180" w:hanging="424"/>
        <w:spacing w:after="0" w:line="308"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51" w:lineRule="exact"/>
        <w:rPr>
          <w:rFonts w:ascii="Arial" w:cs="Arial" w:eastAsia="Arial" w:hAnsi="Arial"/>
          <w:sz w:val="17"/>
          <w:szCs w:val="17"/>
          <w:color w:val="auto"/>
        </w:rPr>
      </w:pPr>
    </w:p>
    <w:p>
      <w:pPr>
        <w:jc w:val="both"/>
        <w:ind w:left="520" w:right="480" w:hanging="424"/>
        <w:spacing w:after="0" w:line="263"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“City of Dreams” refers to an integrated resort located in Cotai, Macau, which currently features casino areas and four luxury hotels, including a collection of retail brands, a wet stage performance theater (temporarily closed since June 2020) and other entertainment venues;</w:t>
      </w:r>
    </w:p>
    <w:p>
      <w:pPr>
        <w:spacing w:after="0" w:line="89" w:lineRule="exact"/>
        <w:rPr>
          <w:rFonts w:ascii="Arial" w:cs="Arial" w:eastAsia="Arial" w:hAnsi="Arial"/>
          <w:sz w:val="18"/>
          <w:szCs w:val="18"/>
          <w:color w:val="auto"/>
        </w:rPr>
      </w:pPr>
    </w:p>
    <w:p>
      <w:pPr>
        <w:ind w:left="520" w:hanging="42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“Concessionaire(s)” refers to the holder(s) of a concession for the operation of casino games in Macau;</w:t>
      </w:r>
    </w:p>
    <w:p>
      <w:pPr>
        <w:spacing w:after="0" w:line="130" w:lineRule="exact"/>
        <w:rPr>
          <w:rFonts w:ascii="Arial" w:cs="Arial" w:eastAsia="Arial" w:hAnsi="Arial"/>
          <w:sz w:val="18"/>
          <w:szCs w:val="18"/>
          <w:color w:val="auto"/>
        </w:rPr>
      </w:pPr>
    </w:p>
    <w:p>
      <w:pPr>
        <w:ind w:left="520" w:right="240" w:hanging="424"/>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520" w:right="120" w:hanging="424"/>
        <w:spacing w:after="0" w:line="259"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“Gaming Operator” or “Melco Resorts Macau” refers to Melco Resorts (Macau) Limited, a company incorporated under the laws of Macau that is a subsidiary of Melco, the holder of a subconcession under the Subconcession Contract and the operator of Studio City Casino. The equity interest of the Gaming Operator is 90% owned by Melco and 10% owned by Mr. Lawrence Ho, the managing director of the Gaming Operator;</w:t>
      </w:r>
    </w:p>
    <w:p>
      <w:pPr>
        <w:spacing w:after="0" w:line="92" w:lineRule="exact"/>
        <w:rPr>
          <w:rFonts w:ascii="Arial" w:cs="Arial" w:eastAsia="Arial" w:hAnsi="Arial"/>
          <w:sz w:val="18"/>
          <w:szCs w:val="18"/>
          <w:color w:val="auto"/>
        </w:rPr>
      </w:pPr>
    </w:p>
    <w:p>
      <w:pPr>
        <w:ind w:left="520" w:hanging="42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left="424" w:right="6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“Master Services Agreements” refers to the services agreements (including work agreements) and arrangements for non-gaming services entered into on December 21, 2015 between SCI and certain of its subsidiaries, on the one hand, and certain Melco Affiliates, on the other hand, under which SCI and its subsidiaries and Melco Affiliates share and mutually provide certain non-gaming services at Studio City, City of Dreams and Altira Macau;</w:t>
      </w:r>
    </w:p>
    <w:p>
      <w:pPr>
        <w:spacing w:after="0" w:line="92"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“MCO Cotai” refers to MCO Cotai Investments Limited (formerly known as MCE Cotai Investments Limited), a subsidiary of Melco and a shareholder of SCI;</w:t>
      </w:r>
    </w:p>
    <w:p>
      <w:pPr>
        <w:spacing w:after="0" w:line="75"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“Melco” refers to Melco Resorts &amp; Entertainment Limited, a company incorporated in the Cayman Islands with its American depositary shares listed on the Nasdaq Global Select Market, and which, through its subsidiary MCO Cotai, is a principal shareholder of SCI;</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“Melco Affiliates” refers to the subsidiaries of Melco other than SCI and its subsidiaries;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“Pataca(s)” or “MOP” refer to the legal currency of Macau;</w:t>
      </w:r>
    </w:p>
    <w:p>
      <w:pPr>
        <w:spacing w:after="0" w:line="130" w:lineRule="exact"/>
        <w:rPr>
          <w:rFonts w:ascii="Arial" w:cs="Arial" w:eastAsia="Arial" w:hAnsi="Arial"/>
          <w:sz w:val="18"/>
          <w:szCs w:val="18"/>
          <w:color w:val="auto"/>
        </w:rPr>
      </w:pPr>
    </w:p>
    <w:p>
      <w:pPr>
        <w:ind w:left="424" w:right="40"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“SCI” refers to an indirect parent of our company, Studio City International Holdings Limited, an exempted company registered by way of continuation in the Cayman Islands, the American depositary receipts of which are listed on the New York Stock Exchange;</w:t>
      </w:r>
    </w:p>
    <w:p>
      <w:pPr>
        <w:spacing w:after="0" w:line="51" w:lineRule="exact"/>
        <w:rPr>
          <w:rFonts w:ascii="Arial" w:cs="Arial" w:eastAsia="Arial" w:hAnsi="Arial"/>
          <w:sz w:val="17"/>
          <w:szCs w:val="17"/>
          <w:color w:val="auto"/>
        </w:rPr>
      </w:pPr>
    </w:p>
    <w:p>
      <w:pPr>
        <w:jc w:val="both"/>
        <w:ind w:left="424" w:right="180" w:hanging="424"/>
        <w:spacing w:after="0" w:line="286"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“Services and Right to Use Arrangements” refers to the agreement entered into among</w:t>
      </w:r>
      <w:r>
        <w:rPr>
          <w:rFonts w:ascii="Arial" w:cs="Arial" w:eastAsia="Arial" w:hAnsi="Arial"/>
          <w:sz w:val="17"/>
          <w:szCs w:val="17"/>
          <w:i w:val="1"/>
          <w:iCs w:val="1"/>
          <w:color w:val="auto"/>
        </w:rPr>
        <w:t>, inter alia</w:t>
      </w:r>
      <w:r>
        <w:rPr>
          <w:rFonts w:ascii="Arial" w:cs="Arial" w:eastAsia="Arial" w:hAnsi="Arial"/>
          <w:sz w:val="17"/>
          <w:szCs w:val="17"/>
          <w:color w:val="auto"/>
        </w:rPr>
        <w:t>, Melco Resorts Macau and Studio City Entertainment, dated May 11, 2007 and amended on June 15, 2012, and any other agreements or arrangements entered into from time to time, which may amend, supplement or relate to the aforementioned agreements or arrangements;</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“Site” or “Land” refers to the plot of land situated in Macau, at the Cotai reclaimed land area, with a gross area of approximately</w:t>
      </w:r>
    </w:p>
    <w:p>
      <w:pPr>
        <w:spacing w:after="0" w:line="34" w:lineRule="exact"/>
        <w:rPr>
          <w:rFonts w:ascii="Arial" w:cs="Arial" w:eastAsia="Arial" w:hAnsi="Arial"/>
          <w:sz w:val="17"/>
          <w:szCs w:val="17"/>
          <w:color w:val="auto"/>
        </w:rPr>
      </w:pPr>
    </w:p>
    <w:p>
      <w:pPr>
        <w:ind w:left="424" w:right="20"/>
        <w:spacing w:after="0" w:line="252" w:lineRule="auto"/>
        <w:rPr>
          <w:rFonts w:ascii="Arial" w:cs="Arial" w:eastAsia="Arial" w:hAnsi="Arial"/>
          <w:sz w:val="17"/>
          <w:szCs w:val="17"/>
          <w:color w:val="auto"/>
        </w:rPr>
      </w:pPr>
      <w:r>
        <w:rPr>
          <w:rFonts w:ascii="Arial" w:cs="Arial" w:eastAsia="Arial" w:hAnsi="Arial"/>
          <w:sz w:val="18"/>
          <w:szCs w:val="18"/>
          <w:color w:val="auto"/>
        </w:rPr>
        <w:t>1.4 million square feet (130,789 square meters), described at the Macau Immovable Property Registry under no. 23059, and registered in Studio City Developments Limited’s name under inscription no. 26642 of Book F, titled by Dispatch of the Secretary for Public Works and Transportation no. 100/2001 of October 9,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comprised of lots G300, G310 and G400, denoted by the letter “A” on map no. 5899/2000 issued by Macau Cartography and Cadastre Bureau on January 3, 2012;</w:t>
      </w:r>
    </w:p>
    <w:p>
      <w:pPr>
        <w:spacing w:after="0" w:line="97" w:lineRule="exact"/>
        <w:rPr>
          <w:rFonts w:ascii="Arial" w:cs="Arial" w:eastAsia="Arial" w:hAnsi="Arial"/>
          <w:sz w:val="17"/>
          <w:szCs w:val="17"/>
          <w:color w:val="auto"/>
        </w:rPr>
      </w:pPr>
    </w:p>
    <w:p>
      <w:pPr>
        <w:ind w:left="424" w:right="26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resort in Cotai, an area of reclaimed land located between the islands of Taipa and Coloane in Macau;</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a British Virgin Islands company;</w:t>
      </w:r>
    </w:p>
    <w:p>
      <w:pPr>
        <w:spacing w:after="0" w:line="130" w:lineRule="exact"/>
        <w:rPr>
          <w:rFonts w:ascii="Arial" w:cs="Arial" w:eastAsia="Arial" w:hAnsi="Arial"/>
          <w:sz w:val="18"/>
          <w:szCs w:val="18"/>
          <w:color w:val="auto"/>
        </w:rPr>
      </w:pPr>
    </w:p>
    <w:p>
      <w:pPr>
        <w:ind w:left="424" w:hanging="424"/>
        <w:spacing w:after="0" w:line="296"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“Studio City Company Notes” refers to, collectively, the US$350.0 million aggregate principal amount of 5.875% senior secured notes due 2019 (“2019 Studio City Company Notes”) and the US$850.0 million aggregate principal amount of 7.250% senior secured notes due 2021 (“2021 Studio City Company Notes”), each issued by Studio City Company on November 30, 2016 and as to which no amount remains outstanding following the repayment in full upon maturity in November 2019 (in the case of the 2019 Studio City Company Notes) and the redemption of all remaining outstanding amounts in August 2020 (in the case of the 2021 Studio City Company Notes);</w:t>
      </w:r>
    </w:p>
    <w:p>
      <w:pPr>
        <w:spacing w:after="0" w:line="66" w:lineRule="exact"/>
        <w:rPr>
          <w:rFonts w:ascii="Arial" w:cs="Arial" w:eastAsia="Arial" w:hAnsi="Arial"/>
          <w:sz w:val="16"/>
          <w:szCs w:val="16"/>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“Studio City Entertainment” refers to our subsidiary, Studio City Entertainment Limited, a Macau company;</w:t>
      </w:r>
    </w:p>
    <w:p>
      <w:pPr>
        <w:spacing w:after="0" w:line="130" w:lineRule="exact"/>
        <w:rPr>
          <w:rFonts w:ascii="Arial" w:cs="Arial" w:eastAsia="Arial" w:hAnsi="Arial"/>
          <w:sz w:val="18"/>
          <w:szCs w:val="18"/>
          <w:color w:val="auto"/>
        </w:rPr>
      </w:pPr>
    </w:p>
    <w:p>
      <w:pPr>
        <w:ind w:left="424" w:right="340" w:hanging="424"/>
        <w:spacing w:after="0" w:line="30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US$1,300 million) and revolving credit facility of HK$775,420,000 (approximately US$100 million), and which has been amended, restated and extended by the 2021 Studio City Senior Secured Credit Facility;</w:t>
      </w:r>
    </w:p>
    <w:p>
      <w:pPr>
        <w:spacing w:after="0" w:line="9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4"/>
          </w:cols>
          <w:pgMar w:left="976" w:top="274" w:right="479" w:bottom="1440" w:gutter="0" w:footer="0" w:header="0"/>
        </w:sectPr>
      </w:pPr>
    </w:p>
    <w:bookmarkStart w:id="8" w:name="page9"/>
    <w:bookmarkEnd w:id="8"/>
    <w:p>
      <w:pPr>
        <w:ind w:left="9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“Subconcession Contract” refers to the subconcession contract executed between the Gaming Operator and Wynn Resorts (Macau) S.A., or Wynn Resorts Macau, on September 8, 2006, that provides for the terms and conditions of the subconcession granted to the Gaming Operator by Wynn Resorts Macau;</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“Subconcessionaire(s)” refers to the holder(s) of a subconcession for the operation of casino games in Macau;</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“our company” and “the Company” refer to Studio City Finance Limited and, as the context requires, its predecessor entities and its consolidated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quarterly report includes our unaudited condensed consolidated financial statements for the three and nine months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performances or achievements to be materially different from any future results, performances or achievements expressed or implied by the forward-looking statements. We operate in a heavily regulated and evolving industry, and have a highly leveraged business model. Moreover, we operate in Macau’s gaming sector, a market with intense competition, and therefore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the global</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pandemic of COVID-19, caused by a novel strain of the coronavirus, and the continued impact of its consequences on our business, our industry and the global economy, (ii) growth of the gaming market and visitations in Macau, (iii) capital and credit market volatility, (iv) local and global economic conditions, (v) our anticipated growth strategies,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0" w:name="page11"/>
    <w:bookmarkEnd w:id="10"/>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right="1160"/>
        <w:spacing w:after="0" w:line="452"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patron”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“mass market table games hold percentage”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4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amount of cash to purchase gaming chips and promotional vouchers that is deposited in a gaming table’s drop box, plus gaming chips purchased at the casino cage</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p>
      <w:pPr>
        <w:spacing w:after="0" w:line="8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 resort which provides customers with a combination of hotel accommodations, casinos or gaming areas, retail and dining facilities, MICE space, entertainment venues and spas</w:t>
      </w:r>
    </w:p>
    <w:p>
      <w:pPr>
        <w:spacing w:after="0" w:line="16" w:lineRule="exact"/>
        <w:rPr>
          <w:sz w:val="20"/>
          <w:szCs w:val="20"/>
          <w:color w:val="auto"/>
        </w:rPr>
      </w:pPr>
    </w:p>
    <w:p>
      <w:pPr>
        <w:ind w:right="1360"/>
        <w:spacing w:after="0" w:line="375" w:lineRule="auto"/>
        <w:rPr>
          <w:sz w:val="20"/>
          <w:szCs w:val="20"/>
          <w:color w:val="auto"/>
        </w:rPr>
      </w:pPr>
      <w:r>
        <w:rPr>
          <w:rFonts w:ascii="Arial" w:cs="Arial" w:eastAsia="Arial" w:hAnsi="Arial"/>
          <w:sz w:val="18"/>
          <w:szCs w:val="18"/>
          <w:color w:val="auto"/>
        </w:rPr>
        <w:t>a player sourced by gaming promoters to play in the VIP gaming rooms or areas evidence of indebtedness by a player to the casino or gaming operator a customer who plays in the mass market segment</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consists of both table games and gaming machines played by mass market players primarily for cash stakes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11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140" w:space="720"/>
            <w:col w:w="7140"/>
          </w:cols>
          <w:pgMar w:left="440" w:top="270"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“non-negotiable 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“premium direct player”</w:t>
      </w:r>
    </w:p>
    <w:p>
      <w:pPr>
        <w:spacing w:after="0" w:line="333" w:lineRule="exact"/>
        <w:rPr>
          <w:sz w:val="20"/>
          <w:szCs w:val="20"/>
          <w:color w:val="auto"/>
        </w:rPr>
      </w:pPr>
    </w:p>
    <w:p>
      <w:pPr>
        <w:ind w:right="58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“table games win”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“VIP gaming room”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-215900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rolling chip player who is a direct customer of the concessionaires or subconcessionaires and is attracted to the casino through marketing efforts of the gaming operator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player who primarily plays on rolling chip or VIP rolling chip tables and typically plays for higher stakes than mass market gaming patrons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4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the amount of wagers won net of wagers lost on gaming tables that is retained and recorded as casino revenues. Table games win is calculated before discounts,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commissions, non-discretionary incentives (including the point-loyalty programs) as administered by the Gaming Operator and allocating casino revenues related to goods and services provided to gaming patrons on a complimentary basis</w:t>
      </w:r>
    </w:p>
    <w:p>
      <w:pPr>
        <w:spacing w:after="0" w:line="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gaming rooms or areas that have restricted access to rolling chip patrons and typically offer more personalized service than the general mass market gaming areas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140" w:space="720"/>
            <w:col w:w="7040"/>
          </w:cols>
          <w:pgMar w:left="440" w:top="274" w:right="5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 INFORMATION</w:t>
      </w:r>
    </w:p>
    <w:p>
      <w:pPr>
        <w:spacing w:after="0" w:line="229"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Although we have certain expenses and revenues denominated in Patacas, our revenues and expenses are denominated predominantly in H.K. dollars and, in connection with a portion of our indebtedness and certain expenses, in U.S. dollars. The non-financial pages of this quarterly report include all translations from H.K. dollars to U.S. dollars and from U.S. dollars to H.K. dollars at a rate of HK$7.7855 to US$1.00, unless otherwise noted.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H.K. dollar is freely convertible into other currencies (including the U.S. dollar). Since October 17, 1983, the H.K. dollar has been officially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linked to the U.S. dollar at the rate of HK$7.80 to US$1.00. The market exchange rate has not deviated materially from the level of HK$7.80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US$1.00 since the peg was first established. However, in May 2005, the Hong Kong Monetary Authority broadened the trading band from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HK$7.80 per U.S. dollar to a rate range of HK$7.75 to HK$7.85 per U.S. dollar. The Hong Kong government has stated its intention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link at that rate, and, acting through the Hong Kong Monetary Authority, has a number of means by which it may act to maintain exchange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stability. However, no assurance can be given that the Hong Kong government will maintain the link at HK$7.75 to HK$7.85 per U.S. dollar or at all.</w:t>
      </w:r>
    </w:p>
    <w:p>
      <w:pPr>
        <w:spacing w:after="0" w:line="23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noon buying rate on September 30, 2021 in New York City for cable transfers in H.K. dollars for U.S. dollars, provided in the H.10 weekly statistical release of the Federal Reserve Board of the United States as certified for customs purposes by the Federal Reserve Bank of New York, was HK$7.7850 to US$1.00. On November 19, 2021, the noon buying rate was HK$7.7915 to US$1.00. We make no representation that any H.K. dollar or U.S. dollar amounts could have been, or could be, converted into U.S. dollars or H.K. dollars, as the case may be, at any particular rate or at all.</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Pataca is pegged to the H.K. dollar at a rate of HK$1.00 to MOP1.03. All translations from Pataca to U.S. dollar in the non-financial pages of this quarterly report were made at the exchange rate of MOP8.0191 to US$1.00. The Federal Reserve Bank of New York does not certify for customs purposes a noon buying rate for cable transfers in Pataca.</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CONDITION AND RESULTS OF OPERATIONS</w:t>
      </w:r>
    </w:p>
    <w:p>
      <w:pPr>
        <w:spacing w:after="0" w:line="12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2020. The historical results are not necessarily indicative of the results of operations to be expected in the future. Certain statements in this “Financial Condition and Results of Operations” are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Studio City is a world-class integrated resort located in Cotai, Macau and its principal operating activities are the provision of gaming related services and the hospitality business in Macau. In the third quarter of 2021, Studio City Casino had an average of approximately 291 gaming tables and 656 gaming machines in operation. The mass market focus of Studio City Casino is currently complemented with junket and premium direct VIP rolling chip operations, which include up to 45 tables authorized for VIP rolling chip operations. Studio City’s cinematically-themed integrated resort is designed to attract a wide range of customers by providing highly differentiated non-gaming attractions, including the world’s first figure-8 Ferris wheel, a deluxe night club and karaoke and a 5,000-seat live performance arena. Studio City features approximately 1,600 luxury hotel rooms, diverse food and beverage establishments and approximately 23,000 square meters of complementary retail space. Studio City was named </w:t>
      </w:r>
      <w:r>
        <w:rPr>
          <w:rFonts w:ascii="Arial" w:cs="Arial" w:eastAsia="Arial" w:hAnsi="Arial"/>
          <w:sz w:val="17"/>
          <w:szCs w:val="17"/>
          <w:i w:val="1"/>
          <w:iCs w:val="1"/>
          <w:color w:val="auto"/>
        </w:rPr>
        <w:t>Casino/Integrated Resort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Year in 2016 </w:t>
      </w:r>
      <w:r>
        <w:rPr>
          <w:rFonts w:ascii="Arial" w:cs="Arial" w:eastAsia="Arial" w:hAnsi="Arial"/>
          <w:sz w:val="17"/>
          <w:szCs w:val="17"/>
          <w:color w:val="auto"/>
        </w:rPr>
        <w:t>by the International Gaming Awards.</w:t>
      </w:r>
    </w:p>
    <w:p>
      <w:pPr>
        <w:spacing w:after="0" w:line="17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Studio City is strategically located in Cotai, as one of the few dedicated Cotai hotel-casino resort stops on the Macau Light Rapid Transit Line, with an access bridge leading to Studio City.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Studio City Casino is operated by the Gaming Operator, one of the subsidiaries of Melco and a holder of a gaming subconcession, and we operate the non-gaming businesses of Studio City.</w:t>
      </w:r>
    </w:p>
    <w:p>
      <w:pPr>
        <w:spacing w:after="0" w:line="17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Studio City sits within a ring-fenced credit group separate from its shareholders and Studio City’s debt obligations are not guaranteed by its shareholders. In particular, Melco is not a guarantor under the 2028 Studio City Senior Secured Credit Facility, the 2025 Notes, the 2028 Notes or the 2029 Notes. As such, SCI and its shareholders are not contractually required to provide any additional financial support to Studio City with respect to the Studio City debt obligations.</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Under our current plan for the remaining project, the remaining project is expected to consist of two hotel towers with approximately 900 rooms and suites and a gaming area. In addition, we currently envision the remaining project to also contain a waterpark with indoor and outdoor areas. Other attractions expected to be part of the remaining project include MICE space, retail and food and beverage outlets and a cineplex. As of September 30, 2021, we have incurred approximately US$553.2 million of aggregate costs relating to the development of our remaining project, primarily related to the initial design and planning costs and construction costs. Based on our current plan for the remaining project, we currently expect a project budget of approximately US$1.25 billion to US$1.30 billion for the development of the remaining project (exclusive of any pre-opening costs and financing costs). Such development for the remaining project of Studio City may be funded through various sources, including cash on hand, operating free cash flow as well as debt and/or equity financing. Our ability to obtain any debt financing also depends on a number of factors beyond our control, including market conditions such as the higher prospect of a global recession and a contraction of liquidity in the global credit markets caused by the effect of the large-scale global COVID-19 pandemic and investors’ and lenders’ perceptions of, and demand for the debt financing for the remaining project of Studio City. There is no guarantee that we can secure the necessary additional capital investments, including any debt financing, required for the development of the remaining project of Studio City in a timely manner or at 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 concessions in Macau are issued by the Macau government and generally have terms of 25 years and are renewable for further consecutive periods of ten years. Land concessions further stipulate a period within which the development of the land must be completed. The land on which Studio City is located must be fully developed by December 27, 2022. While we currently expect to complete construction within this period, there is no guarantee that we will complete the development of the remaining land of Studio City by the deadline. Any extension of the development period of the remaining project for Studio City is subject to Macau government review and approval at its discretion. While the Macau government may grant extensions if we meet certain legal requirements, there can be no assurance that the Macau government will grant us any further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Total operating revenues for the third quarter of 2021 were US$18.7 million, compared to total operating revenues of US$0.9 million in the third quarter of 2020. The change was due to the increase in revenues from the provision of gaming related services and higher non-gaming revenues as a result of a year-over-year increase in inbound tourism in the third quarter of 2021.</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Net loss attributable to Studio City Finance Limited for the third quarter of 2021 was US$75.1 million, compared with net loss attributable to Studio City Finance Limited of US$120.8 million in the third quarter of 2020, primarily due to the increase in revenues from the provision of gaming related services and higher non-gaming revenues.</w:t>
      </w:r>
    </w:p>
    <w:p>
      <w:pPr>
        <w:spacing w:after="0" w:line="184"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Studio City Casino generated gross gaming revenues of US$85.0 million and US$23.4 million for the third quarters of 2021 and 2020, respectively.</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Studio City’s rolling chip volume was US$472.4 million in the third quarter of 2021 versus US$148.8 million in the third quarter of 2020. The rolling chip win rate was 2.35% in the third quarter of 2021 versus 3.41% in the third quarter of 2020. The expected rolling chip win rate range is 2.85% - 3.15%.</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Mass market table games drop increased to US$250.5 million in the third quarter of 2021, compared with US$49.7 million in the third quarter of 2020. The mass market table games hold percentage was 26.4% in the third quarter of 2021, compared to 31.5% in the third quarter of 2020.</w:t>
      </w:r>
    </w:p>
    <w:p>
      <w:pPr>
        <w:spacing w:after="0" w:line="1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Gaming machine handle for the third quarter of 2021 was US$271.5 million, compared with US$99.2 million in the third quarter of 2020. The gaming machine win rate was 2.9% in the third quarters of 2021, compared to 2.7% in the third quarter of 2020.</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Revenues from the provision of gaming related services were negative US$8.6 million for the third quarter of 2021, compared with revenues from the provision of gaming related services of negative US$16.5 million for the third quarter of 2020. Revenues from the provision of gaming related services are net of gaming taxes and the costs incurred in connection with the on-going operation of Studio City Casino deducted by the Gaming Operator pursuant to the Services and Right to Use Arrangements.</w:t>
      </w:r>
    </w:p>
    <w:p>
      <w:pPr>
        <w:spacing w:after="0" w:line="18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Total non-gaming revenues at Studio City for the third quarter of 2021 were US$27.3 million, compared with US$17.5 million for the third quarter of 2020.</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Total net non-operating expenses for the third quarter of 2021 were US$20.3 million, which mainly included interest expenses, net of amounts capitalized, of US$23.6 million, foreign exchange gains of US$2.5 million and interest income of US$0.8 million, compared to total net non-operating expenses of US$48.7 million for the third quarter of 2020, which mainly included interest expenses, net of amounts capitalized, of US$30.1 million and loss on extinguishment of debt of US$18.5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5" w:name="page16"/>
    <w:bookmarkEnd w:id="15"/>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Depreciation and amortization costs of US$32.3 million were recorded in the third quarter of 2021, of which US$0.8 million was related to the amortization expense for the land use right.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For the nine months ended September 30, 2021, our total operating revenues were US$78.4 million, an increase of US$52.9 million from US$25.5 million of total operating revenues for the nine months ended September 30, 2020. The increase in total operating revenues was due to the increase in revenues from the provision of gaming related services and higher non-gaming revenues as a result of a year-over-year increase in inbound tourism in the nine months ended September 30, 2021.</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Net loss attributable to Studio City Finance Limited for the nine months ended September 30, 2021 was US$235.4 million, compared with net loss attributable to Studio City Finance Limited of US$328.0 million for the nine months ended September 30, 2020, primarily due to the increase in revenues from the provision of gaming related services and higher non-gaming revenues, lower depreciation and amortization expenses, lower interest expenses, net of amounts capitalized, as well as lower operating costs as a result of our cost containment efforts, partially offset by a higher loss on the extinguishment of debt in the nine months ended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We have relied on, and intend to continue to rely on, cash generated from our operations and debt and equity financings to meet our financing or refinancing needs.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2021, we held cash and cash equivalents of US$650.6 million and restricted cash of US$0.1 million. Further,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HK$233.0 million (equivalent to approximately US$29.9 million) revolving credit facility under the 2028 Studio City Senior Secured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 available for future drawdown as of September 30, 2021, subject to certain conditions precedent.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right"/>
              <w:ind w:right="117"/>
              <w:spacing w:after="0" w:line="155" w:lineRule="exact"/>
              <w:rPr>
                <w:sz w:val="20"/>
                <w:szCs w:val="20"/>
                <w:color w:val="auto"/>
              </w:rPr>
            </w:pPr>
            <w:r>
              <w:rPr>
                <w:rFonts w:ascii="Arial" w:cs="Arial" w:eastAsia="Arial" w:hAnsi="Arial"/>
                <w:sz w:val="14"/>
                <w:szCs w:val="14"/>
                <w:b w:val="1"/>
                <w:bCs w:val="1"/>
                <w:color w:val="auto"/>
              </w:rPr>
              <w:t>of US$)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 (58,093)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(64,584)</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$(119,694)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168,304</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(106,072)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(272,516)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125,949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471,953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(44,676)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77,333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542,679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200,886</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573,387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at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650,720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156,210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$ 650,720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$ 156,210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Operating cash flows are generally affected by changes in operating income and certain operating assets and liabilities, including the receivables related to the provision of gaming related services and hotel operations, as well as the non-gaming business, including food and beverage, entertainment, mall, retail and other, which are conducted primarily on a cash basis.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cash used in operating activities was US$58.1 million for the three months ended September 30, 2021, compared to net cash used in operating activities of US$64.6 million for the three months ended September 30, 2020. Net cash used in operating activities was US$119.7 million for the nine months ended September 30, 2021, compared to net cash used in operating activities of US$149.2 million for the nine months ended September 30, 2020. Both changes were primarily due to the improved performance of Studio City’s operations as described in the foregoing sections, partially offset by the increased working capital needed for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Net cash provided by investing activities was US$168.3 million for the three months ended September 30, 2021, compared to net cash used in investing activities of US$106.1 million for the three months ended September 30, 2020. The change was primarily due to the withdrawal of a bank deposit with an original maturity over three months.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Net cash provided by investing activities of US$168.3 million for the three months ended September 30, 2021 mainly included the withdrawal of a bank deposit with an original maturity over three months of US$278.7 million, partially offset by payments for acquisition of property and equipment of US$106.3 million and acquisition of intangible assets of US$3.9 million.</w:t>
      </w:r>
    </w:p>
    <w:p>
      <w:pPr>
        <w:spacing w:after="0" w:line="184"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Net cash used in investing activities of US$106.1 million for the three months ended September 30, 2020 mainly included payments for acquisition of property and equipment of US$105.8 million.</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Net cash used in investing activities was US$272.5 million for the nine months ended September 30, 2021, compared to net cash used in investing activities of US$147.3 million for the nine months ended September 30, 2020. The change was primarily due to an increase in payments for acquisition of property and equipment.</w:t>
      </w:r>
    </w:p>
    <w:p>
      <w:pPr>
        <w:spacing w:after="0" w:line="184"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Net cash used in investing activities of US$272.5 million for the nine months ended September 30, 2021 included payments for acquisition of property and equipment of US$266.7 million, acquisition of intangible assets of US$3.9 million and funds to an affiliated company of US$3.7 million, partially offset by proceeds from the sale of property and equipment and other long-term assets of US$1.7 million.</w:t>
      </w:r>
    </w:p>
    <w:p>
      <w:pPr>
        <w:spacing w:after="0" w:line="16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Net cash used in investing activities of US$147.3 million for the nine months ended September 30, 2020 included payments for acquisition of property and equipment of US$140.5 million and funds to an affiliated company of US$9.4 million, partially offset by proceeds from the sale of property and equipment and other long-term assets of US$2.6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Net cash used in financing activities amounted to US$0.5 million for the three months ended September 30, 2021, which represented the payments of deferred financing costs of US$0.5 million.</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Net cash provided by financing activities amounted to US$472.0 million for the nine months ended September 30, 2021, which represented the proceeds from the issuance of the First 2029 Notes in aggregate principal amount of US$750.0 million and the issuance of the Additional 2029 Notes of US$355.3 million, partially offset by the payment of the 2024 Notes Tender Offer of US$347.1 million in aggregate principal amount and the redemption of the remaining 2024 Notes of US$252.9 million in aggregate principal amount outstanding, as well as payments of deferred financing costs of US$33.3 million.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provided by financing activities amounted to US$125.9 million for the three and nine months ended September 30, 2020,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represented proceeds from the issuance of the 2025 Notes in aggregate principal amount of US$500.0 million and the 2028 Notes in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US$500.0 million, partially offset by the full redemption of the 2021 Studio City Company Notes in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US$850.0 million and the payment of deferred financing costs arisen from the refinancing of the 2021 Studio City Company Notes with the 2025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2028 Notes of US$24.1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 summary of our gross indebtedness, before the reduction of debt issuance costs, as of September 30, 2021:</w:t>
      </w:r>
    </w:p>
    <w:p>
      <w:pPr>
        <w:spacing w:after="0" w:line="24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As of September 30,</w:t>
            </w:r>
          </w:p>
        </w:tc>
      </w:tr>
      <w:tr>
        <w:trPr>
          <w:trHeight w:val="171"/>
        </w:trPr>
        <w:tc>
          <w:tcPr>
            <w:tcW w:w="3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 of US$)</w:t>
            </w:r>
          </w:p>
        </w:tc>
        <w:tc>
          <w:tcPr>
            <w:tcW w:w="60" w:type="dxa"/>
            <w:vAlign w:val="bottom"/>
          </w:tcPr>
          <w:p>
            <w:pPr>
              <w:spacing w:after="0"/>
              <w:rPr>
                <w:sz w:val="12"/>
                <w:szCs w:val="12"/>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2028</w:t>
            </w:r>
          </w:p>
        </w:tc>
        <w:tc>
          <w:tcPr>
            <w:tcW w:w="5720" w:type="dxa"/>
            <w:vAlign w:val="bottom"/>
          </w:tcPr>
          <w:p>
            <w:pPr>
              <w:ind w:left="20"/>
              <w:spacing w:after="0"/>
              <w:rPr>
                <w:sz w:val="20"/>
                <w:szCs w:val="20"/>
                <w:color w:val="auto"/>
              </w:rPr>
            </w:pPr>
            <w:r>
              <w:rPr>
                <w:rFonts w:ascii="Arial" w:cs="Arial" w:eastAsia="Arial" w:hAnsi="Arial"/>
                <w:sz w:val="18"/>
                <w:szCs w:val="18"/>
                <w:color w:val="auto"/>
              </w:rPr>
              <w:t>Notes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2029</w:t>
            </w: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2028</w:t>
            </w:r>
          </w:p>
        </w:tc>
        <w:tc>
          <w:tcPr>
            <w:tcW w:w="5720" w:type="dxa"/>
            <w:vAlign w:val="bottom"/>
          </w:tcPr>
          <w:p>
            <w:pPr>
              <w:ind w:left="20"/>
              <w:spacing w:after="0"/>
              <w:rPr>
                <w:sz w:val="20"/>
                <w:szCs w:val="20"/>
                <w:color w:val="auto"/>
              </w:rPr>
            </w:pPr>
            <w:r>
              <w:rPr>
                <w:rFonts w:ascii="Arial" w:cs="Arial" w:eastAsia="Arial" w:hAnsi="Arial"/>
                <w:sz w:val="18"/>
                <w:szCs w:val="18"/>
                <w:color w:val="auto"/>
              </w:rPr>
              <w:t>Studio City Senior Secured Credit Facility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7"/>
        </w:trPr>
        <w:tc>
          <w:tcPr>
            <w:tcW w:w="3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2,100,128</w:t>
            </w:r>
          </w:p>
        </w:tc>
      </w:tr>
      <w:tr>
        <w:trPr>
          <w:trHeight w:val="20"/>
        </w:trPr>
        <w:tc>
          <w:tcPr>
            <w:tcW w:w="3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was no change in our gross indebtedness as of September 30, 2021 compared to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COVID-19 outbreaks continue to have a material effect on our operations, financial position, and future prospects in the fourth quarter of 2021.</w:t>
      </w:r>
    </w:p>
    <w:p>
      <w:pPr>
        <w:spacing w:after="0" w:line="24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Our operations have been impacted by on-and-off travel restrictions and quarantine requirements as imposed by the governments of Macau, Hong Kong, and China in response to isolated cases. The appearance of COVID-19 cases in early August 2021 led to city-wide mandatory testing, mandatory closure of most entertainment and leisure venues (casinos and gaming areas excluded), and strict travel restrictions and requirements being implemented to enter and exit Macau. Similarly in late September 2021, the identification of additional COVID-19 cases again led to a repeat of testing, closure, and travel restrictions, which led to reduced turnout for October Golden Week holiday. Since October 19, 2021, authorities have eased pandemic prevention measures such that travelers no longer require a 14-day quarantine on arrival in Zhuhai, and the validity of negative nucleic acid tests were extended from 24 hours to 48 hours or seven days. As a result, our visitation has been gradually recovering.</w:t>
      </w:r>
    </w:p>
    <w:p>
      <w:pPr>
        <w:spacing w:after="0" w:line="16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construction of Studio Phase 2 is progressing on track for completion before December 27, 2022. This expansion will offer approximately 900 additional luxury hotel rooms and suites, an additional indoor/outdoor water park which is expected to be one of the largest in the world, a Cineplex, multiple fine-dining restaurants, and state-of-the-art MICE space.</w:t>
      </w:r>
    </w:p>
    <w:p>
      <w:pPr>
        <w:spacing w:after="0" w:line="184" w:lineRule="exact"/>
        <w:rPr>
          <w:sz w:val="20"/>
          <w:szCs w:val="20"/>
          <w:color w:val="auto"/>
        </w:rPr>
      </w:pPr>
    </w:p>
    <w:p>
      <w:pPr>
        <w:jc w:val="both"/>
        <w:ind w:right="400" w:firstLine="440"/>
        <w:spacing w:after="0" w:line="311" w:lineRule="auto"/>
        <w:rPr>
          <w:sz w:val="20"/>
          <w:szCs w:val="20"/>
          <w:color w:val="auto"/>
        </w:rPr>
      </w:pPr>
      <w:r>
        <w:rPr>
          <w:rFonts w:ascii="Arial" w:cs="Arial" w:eastAsia="Arial" w:hAnsi="Arial"/>
          <w:sz w:val="16"/>
          <w:szCs w:val="16"/>
          <w:color w:val="auto"/>
        </w:rPr>
        <w:t>The pace of recovery from COVID-19 will depend on future events, including duration of travel and visa restrictions, the pace of vaccination progress, development of new medicine for COVID-19, the impact of potentially higher unemployment rates, declines in income levels, and loss of personal wealth resulting from the COVID-19 outbreak affecting discretionary spending and travel, all of which remain highly uncertain.</w:t>
      </w:r>
    </w:p>
    <w:p>
      <w:pPr>
        <w:spacing w:after="0" w:line="14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Gaming is a highly regulated industry in Macau and the operation of the Studio City Casino is subject to various laws and regulations. These laws and regulations are complex and there are limited precedents on the interpretation and enforcement of these laws and regulations. Changes in laws and regulations, and the interpretation and enforcement of such laws and regulations, may result in increased risks for the operations of the Studio City Casino. For example, in November 2021, the Court of Final Appeal in Macau issued a final unappealable decision that a gaming operator is jointly liable with a gaming promoter for the refund of funds deposited with such gaming promoter at a casino and the Macau authorities arrested executives from a gaming promoter for alleged illegal overseas gaming related activities.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Finance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gridSpan w:val="4"/>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Condensed Consolidated Balance Sheets (Unaudited)</w:t>
              </w:r>
            </w:hyperlink>
          </w:p>
        </w:tc>
        <w:tc>
          <w:tcPr>
            <w:tcW w:w="564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6"/>
        </w:trPr>
        <w:tc>
          <w:tcPr>
            <w:tcW w:w="5000" w:type="dxa"/>
            <w:vAlign w:val="bottom"/>
            <w:gridSpan w:val="4"/>
            <w:vMerge w:val="continue"/>
          </w:tcPr>
          <w:p>
            <w:pPr>
              <w:spacing w:after="0"/>
              <w:rPr>
                <w:sz w:val="13"/>
                <w:szCs w:val="13"/>
                <w:color w:val="auto"/>
              </w:rPr>
            </w:pPr>
          </w:p>
        </w:tc>
        <w:tc>
          <w:tcPr>
            <w:tcW w:w="5640" w:type="dxa"/>
            <w:vAlign w:val="bottom"/>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0" w:type="dxa"/>
            <w:vAlign w:val="bottom"/>
            <w:gridSpan w:val="4"/>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Condensed Consolidated Statements of Operations (Unaudited)</w:t>
              </w:r>
            </w:hyperlink>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4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0" w:type="dxa"/>
            <w:vAlign w:val="bottom"/>
            <w:gridSpan w:val="4"/>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Condensed Consolidated Statements of Cash Flows (Unaudited)</w:t>
              </w:r>
            </w:hyperlink>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85"/>
        </w:trPr>
        <w:tc>
          <w:tcPr>
            <w:tcW w:w="38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3"/>
          </w:tcPr>
          <w:p>
            <w:pPr>
              <w:ind w:left="3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650,590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573,243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Receivables from affiliated companies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35,012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629,194</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2,403,204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2,182,943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Long-term prepayments, deposits and other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71,605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117,555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116,109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3,339,217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3,067,316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131,008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Payables to affiliated companies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46,631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164,905</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2,086,978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1,584,660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2,304,361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1,778,928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Ordinary shares, par value $1; 50,000 shares authorized; 3 shares issued and outstanding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2,382,064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2,382,064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losses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(1,330,131)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(1,094,718)</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Studio City Finance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1,051,840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1,303,146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1,034,856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1,288,388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3,339,217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3,067,316</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80"/>
              <w:spacing w:after="0"/>
              <w:rPr>
                <w:sz w:val="20"/>
                <w:szCs w:val="20"/>
                <w:color w:val="auto"/>
              </w:rPr>
            </w:pPr>
            <w:r>
              <w:rPr>
                <w:rFonts w:ascii="Arial" w:cs="Arial" w:eastAsia="Arial" w:hAnsi="Arial"/>
                <w:sz w:val="18"/>
                <w:szCs w:val="18"/>
                <w:color w:val="auto"/>
              </w:rPr>
              <w:t>F-2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4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6"/>
          </w:tcPr>
          <w:p>
            <w:pPr>
              <w:jc w:val="right"/>
              <w:ind w:right="561"/>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800" w:type="dxa"/>
            <w:vAlign w:val="bottom"/>
            <w:gridSpan w:val="6"/>
          </w:tcPr>
          <w:p>
            <w:pPr>
              <w:jc w:val="right"/>
              <w:ind w:right="501"/>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5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Provision of gaming related services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(8,562)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(16,534)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(38,986)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12,330</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6,346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4,596</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20,421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15,613</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1,025</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Services fee</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6,330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19,497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19,706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Mall</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14,738</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Retail and other</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1,077</w:t>
            </w:r>
          </w:p>
        </w:tc>
      </w:tr>
      <w:tr>
        <w:trPr>
          <w:trHeight w:val="27"/>
        </w:trPr>
        <w:tc>
          <w:tcPr>
            <w:tcW w:w="4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18,723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78,423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25,503</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of gaming related services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(18,932)</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Rooms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(8,473)</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(21,581)</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Entertainment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Mall</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Retail and other</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(22,144)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(69,559)</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Pre-opening costs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land use right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(31,512)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(41,574)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(122,576)</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(74,496)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(74,519)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(225,232)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(255,058)</w:t>
            </w:r>
          </w:p>
        </w:tc>
        <w:tc>
          <w:tcPr>
            <w:tcW w:w="120" w:type="dxa"/>
            <w:vAlign w:val="bottom"/>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(55,773)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(73,579)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(146,809)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(229,555)</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2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1,167</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expenses, net of amounts capitalized</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(23,564)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(30,090)</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(69,073)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(81,528)</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costs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Foreign exchangen gains (losses), net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4,986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(4,079)</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(18,497)</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(18,497)</w:t>
            </w:r>
          </w:p>
        </w:tc>
      </w:tr>
      <w:tr>
        <w:trPr>
          <w:trHeight w:val="27"/>
        </w:trPr>
        <w:tc>
          <w:tcPr>
            <w:tcW w:w="4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(20,345)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(48,716)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(103,426)</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Loss before income tax</w:t>
            </w:r>
          </w:p>
        </w:tc>
        <w:tc>
          <w:tcPr>
            <w:tcW w:w="2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(76,118)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(122,295)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(237,677)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(332,981)</w:t>
            </w: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106</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(75,587)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(122,331)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(237,706)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(332,875)</w:t>
            </w: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4,908</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 attributable to Studio City Finance Limited</w:t>
            </w:r>
          </w:p>
        </w:tc>
        <w:tc>
          <w:tcPr>
            <w:tcW w:w="2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(75,100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(120,846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(235,413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(327,967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720" w:type="dxa"/>
            <w:vAlign w:val="bottom"/>
            <w:gridSpan w:val="2"/>
          </w:tcPr>
          <w:p>
            <w:pPr>
              <w:jc w:val="right"/>
              <w:ind w:right="1570"/>
              <w:spacing w:after="0"/>
              <w:rPr>
                <w:sz w:val="20"/>
                <w:szCs w:val="20"/>
                <w:color w:val="auto"/>
              </w:rPr>
            </w:pPr>
            <w:r>
              <w:rPr>
                <w:rFonts w:ascii="Arial" w:cs="Arial" w:eastAsia="Arial" w:hAnsi="Arial"/>
                <w:sz w:val="18"/>
                <w:szCs w:val="18"/>
                <w:color w:val="auto"/>
              </w:rPr>
              <w:t>F-3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7"/>
          </w:tcPr>
          <w:p>
            <w:pPr>
              <w:jc w:val="right"/>
              <w:ind w:right="5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(58,093)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(64,584)</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 (119,694)</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 (149,192)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(278,700)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(106,283)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(105,826)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(266,650)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(140,507)</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Acquisition of intangible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to an affiliated company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 and other long-term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278,700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278,700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168,304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(106,072)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(272,516)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(147,301)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(850,000)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(252,944)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(850,000)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deferred financing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(33,297)</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(24,051)</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1,000,000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758,194</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471,953</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125,949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108,041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77,333</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(168,907)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542,679</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200,886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573,387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325,117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650,720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156,210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650,720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156,210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(33,024)</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(81,867)</w:t>
            </w:r>
          </w:p>
        </w:tc>
        <w:tc>
          <w:tcPr>
            <w:tcW w:w="0" w:type="dxa"/>
            <w:vAlign w:val="bottom"/>
          </w:tcPr>
          <w:p>
            <w:pPr>
              <w:spacing w:after="0"/>
              <w:rPr>
                <w:sz w:val="1"/>
                <w:szCs w:val="1"/>
                <w:color w:val="auto"/>
              </w:rPr>
            </w:pPr>
          </w:p>
        </w:tc>
      </w:tr>
      <w:tr>
        <w:trPr>
          <w:trHeight w:val="202"/>
        </w:trPr>
        <w:tc>
          <w:tcPr>
            <w:tcW w:w="6840" w:type="dxa"/>
            <w:vAlign w:val="bottom"/>
          </w:tcPr>
          <w:p>
            <w:pPr>
              <w:ind w:left="360"/>
              <w:spacing w:after="0" w:line="201" w:lineRule="exact"/>
              <w:rPr>
                <w:sz w:val="20"/>
                <w:szCs w:val="20"/>
                <w:color w:val="auto"/>
              </w:rPr>
            </w:pPr>
            <w:r>
              <w:rPr>
                <w:rFonts w:ascii="Arial" w:cs="Arial" w:eastAsia="Arial" w:hAnsi="Arial"/>
                <w:sz w:val="18"/>
                <w:szCs w:val="18"/>
                <w:color w:val="auto"/>
                <w:w w:val="93"/>
              </w:rPr>
              <w:t>Cash paid for amounts included in the measurement of lease liabilities - operating cash</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40"/>
              <w:spacing w:after="0"/>
              <w:rPr>
                <w:sz w:val="20"/>
                <w:szCs w:val="20"/>
                <w:color w:val="auto"/>
              </w:rPr>
            </w:pPr>
            <w:r>
              <w:rPr>
                <w:rFonts w:ascii="Arial" w:cs="Arial" w:eastAsia="Arial" w:hAnsi="Arial"/>
                <w:sz w:val="18"/>
                <w:szCs w:val="18"/>
                <w:color w:val="auto"/>
              </w:rPr>
              <w:t>flows from operating leases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Change in operating lease right-of-use assets and lease liabilities arising from lease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modification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360"/>
              <w:spacing w:after="0" w:line="201" w:lineRule="exact"/>
              <w:rPr>
                <w:sz w:val="20"/>
                <w:szCs w:val="20"/>
                <w:color w:val="auto"/>
              </w:rPr>
            </w:pPr>
            <w:r>
              <w:rPr>
                <w:rFonts w:ascii="Arial" w:cs="Arial" w:eastAsia="Arial" w:hAnsi="Arial"/>
                <w:sz w:val="18"/>
                <w:szCs w:val="18"/>
                <w:color w:val="auto"/>
                <w:w w:val="94"/>
              </w:rPr>
              <w:t>Change in accrued expenses and other current liabilities and other long-term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40"/>
              <w:spacing w:after="0"/>
              <w:rPr>
                <w:sz w:val="20"/>
                <w:szCs w:val="20"/>
                <w:color w:val="auto"/>
              </w:rPr>
            </w:pPr>
            <w:r>
              <w:rPr>
                <w:rFonts w:ascii="Arial" w:cs="Arial" w:eastAsia="Arial" w:hAnsi="Arial"/>
                <w:sz w:val="18"/>
                <w:szCs w:val="18"/>
                <w:color w:val="auto"/>
              </w:rPr>
              <w:t>related to acquisition of property and equipment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28,799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10,564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43,092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Change in receivables from/payables to affiliated companies related to acquisition of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property and equipment and other long-term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5"/>
          </w:tcPr>
          <w:p>
            <w:pPr>
              <w:spacing w:after="0"/>
              <w:rPr>
                <w:sz w:val="20"/>
                <w:szCs w:val="20"/>
                <w:color w:val="auto"/>
              </w:rPr>
            </w:pPr>
            <w:r>
              <w:rPr>
                <w:rFonts w:ascii="Arial" w:cs="Arial" w:eastAsia="Arial" w:hAnsi="Arial"/>
                <w:sz w:val="18"/>
                <w:szCs w:val="18"/>
                <w:color w:val="auto"/>
                <w:w w:val="93"/>
              </w:rPr>
              <w:t>Reconciliation of cash, cash equivalents and restricted cash to the condensed consolidated balance sheets: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650,590</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650,720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573,387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5380"/>
              <w:spacing w:after="0"/>
              <w:rPr>
                <w:sz w:val="20"/>
                <w:szCs w:val="20"/>
                <w:color w:val="auto"/>
              </w:rPr>
            </w:pPr>
            <w:r>
              <w:rPr>
                <w:rFonts w:ascii="Arial" w:cs="Arial" w:eastAsia="Arial" w:hAnsi="Arial"/>
                <w:sz w:val="18"/>
                <w:szCs w:val="18"/>
                <w:color w:val="auto"/>
              </w:rPr>
              <w:t>F-4</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2021-11-29T06:44:37Z</dcterms:created>
  <dcterms:modified xsi:type="dcterms:W3CDTF">2021-11-29T06:44:37Z</dcterms:modified>
</cp:coreProperties>
</file>