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134620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5"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67"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2018</w:t>
      </w:r>
    </w:p>
    <w:p>
      <w:pPr>
        <w:spacing w:after="0" w:line="72"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p>
      <w:pPr>
        <w:ind w:left="4140"/>
        <w:spacing w:after="0"/>
        <w:tabs>
          <w:tab w:leader="none" w:pos="66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3912235</wp:posOffset>
            </wp:positionH>
            <wp:positionV relativeFrom="paragraph">
              <wp:posOffset>-3810</wp:posOffset>
            </wp:positionV>
            <wp:extent cx="712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Date of event requiring this shell company report</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34"/>
          <w:szCs w:val="34"/>
          <w:b w:val="1"/>
          <w:bCs w:val="1"/>
          <w:color w:val="auto"/>
        </w:rPr>
        <w:t>STUDIO CITY INTERNATIONAL HOLDINGS LIMITED</w:t>
      </w:r>
    </w:p>
    <w:p>
      <w:pPr>
        <w:spacing w:after="0" w:line="35"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103505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3"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44" w:lineRule="exact"/>
        <w:rPr>
          <w:sz w:val="24"/>
          <w:szCs w:val="24"/>
          <w:color w:val="auto"/>
        </w:rPr>
      </w:pPr>
    </w:p>
    <w:p>
      <w:pPr>
        <w:ind w:left="5180"/>
        <w:spacing w:after="0"/>
        <w:rPr>
          <w:sz w:val="20"/>
          <w:szCs w:val="20"/>
          <w:color w:val="auto"/>
        </w:rPr>
      </w:pPr>
      <w:r>
        <w:rPr>
          <w:rFonts w:ascii="Arial" w:cs="Arial" w:eastAsia="Arial" w:hAnsi="Arial"/>
          <w:sz w:val="15"/>
          <w:szCs w:val="15"/>
          <w:b w:val="1"/>
          <w:bCs w:val="1"/>
          <w:color w:val="auto"/>
        </w:rPr>
        <w:t>Cayman Islands</w:t>
      </w:r>
    </w:p>
    <w:p>
      <w:pPr>
        <w:spacing w:after="0" w:line="6" w:lineRule="exact"/>
        <w:rPr>
          <w:sz w:val="24"/>
          <w:szCs w:val="24"/>
          <w:color w:val="auto"/>
        </w:rPr>
      </w:pPr>
    </w:p>
    <w:p>
      <w:pPr>
        <w:ind w:left="4200"/>
        <w:spacing w:after="0"/>
        <w:rPr>
          <w:sz w:val="20"/>
          <w:szCs w:val="20"/>
          <w:color w:val="auto"/>
        </w:rPr>
      </w:pPr>
      <w:r>
        <w:rPr>
          <w:rFonts w:ascii="Arial" w:cs="Arial" w:eastAsia="Arial" w:hAnsi="Arial"/>
          <w:sz w:val="15"/>
          <w:szCs w:val="15"/>
          <w:b w:val="1"/>
          <w:bCs w:val="1"/>
          <w:color w:val="auto"/>
        </w:rPr>
        <w:t>(Jurisdiction of incorporation or organization)</w:t>
      </w:r>
    </w:p>
    <w:p>
      <w:pPr>
        <w:spacing w:after="0" w:line="28" w:lineRule="exact"/>
        <w:rPr>
          <w:sz w:val="24"/>
          <w:szCs w:val="24"/>
          <w:color w:val="auto"/>
        </w:rPr>
      </w:pPr>
    </w:p>
    <w:p>
      <w:pPr>
        <w:ind w:left="3480"/>
        <w:spacing w:after="0"/>
        <w:rPr>
          <w:sz w:val="20"/>
          <w:szCs w:val="20"/>
          <w:color w:val="auto"/>
        </w:rPr>
      </w:pPr>
      <w:r>
        <w:rPr>
          <w:rFonts w:ascii="Arial" w:cs="Arial" w:eastAsia="Arial" w:hAnsi="Arial"/>
          <w:sz w:val="15"/>
          <w:szCs w:val="15"/>
          <w:b w:val="1"/>
          <w:bCs w:val="1"/>
          <w:color w:val="auto"/>
        </w:rPr>
        <w:t>36th Floor, The Centrium, 60 Wyndham Street, Central, Hong Kong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8" w:lineRule="exact"/>
        <w:rPr>
          <w:sz w:val="24"/>
          <w:szCs w:val="24"/>
          <w:color w:val="auto"/>
        </w:rPr>
      </w:pPr>
    </w:p>
    <w:p>
      <w:pPr>
        <w:ind w:left="3720"/>
        <w:spacing w:after="0"/>
        <w:rPr>
          <w:sz w:val="20"/>
          <w:szCs w:val="20"/>
          <w:color w:val="auto"/>
        </w:rPr>
      </w:pPr>
      <w:r>
        <w:rPr>
          <w:rFonts w:ascii="Arial" w:cs="Arial" w:eastAsia="Arial" w:hAnsi="Arial"/>
          <w:sz w:val="15"/>
          <w:szCs w:val="15"/>
          <w:b w:val="1"/>
          <w:bCs w:val="1"/>
          <w:color w:val="auto"/>
        </w:rPr>
        <w:t>Company Secretary, Tel +852 2598 3600, Fax +852 2537 3618</w:t>
      </w:r>
    </w:p>
    <w:p>
      <w:pPr>
        <w:jc w:val="center"/>
        <w:ind w:right="-199"/>
        <w:spacing w:after="0" w:line="233" w:lineRule="auto"/>
        <w:rPr>
          <w:sz w:val="20"/>
          <w:szCs w:val="20"/>
          <w:color w:val="auto"/>
        </w:rPr>
      </w:pPr>
      <w:r>
        <w:rPr>
          <w:rFonts w:ascii="Arial" w:cs="Arial" w:eastAsia="Arial" w:hAnsi="Arial"/>
          <w:sz w:val="15"/>
          <w:szCs w:val="15"/>
          <w:b w:val="1"/>
          <w:bCs w:val="1"/>
          <w:color w:val="auto"/>
        </w:rPr>
        <w:t>36th Floor, The Centrium, 60 Wyndham Street, Central, Hong Kong</w:t>
      </w:r>
    </w:p>
    <w:p>
      <w:pPr>
        <w:jc w:val="center"/>
        <w:ind w:right="-199"/>
        <w:spacing w:after="0"/>
        <w:rPr>
          <w:sz w:val="20"/>
          <w:szCs w:val="20"/>
          <w:color w:val="auto"/>
        </w:rPr>
      </w:pPr>
      <w:r>
        <w:rPr>
          <w:rFonts w:ascii="Arial" w:cs="Arial" w:eastAsia="Arial" w:hAnsi="Arial"/>
          <w:sz w:val="15"/>
          <w:szCs w:val="15"/>
          <w:b w:val="1"/>
          <w:bCs w:val="1"/>
          <w:color w:val="auto"/>
        </w:rPr>
        <w:t>(Name, Telephone, E-mail and/or Facsimile number and Address of Company Contact Person)</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registered or to be registered pursuant to Section 12(b) of the Act:</w:t>
      </w:r>
    </w:p>
    <w:p>
      <w:pPr>
        <w:spacing w:after="0" w:line="52" w:lineRule="exact"/>
        <w:rPr>
          <w:sz w:val="24"/>
          <w:szCs w:val="24"/>
          <w:color w:val="auto"/>
        </w:rPr>
      </w:pPr>
    </w:p>
    <w:tbl>
      <w:tblPr>
        <w:tblLayout w:type="fixed"/>
        <w:tblInd w:w="146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56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38"/>
        </w:trPr>
        <w:tc>
          <w:tcPr>
            <w:tcW w:w="2120" w:type="dxa"/>
            <w:vAlign w:val="bottom"/>
            <w:gridSpan w:val="2"/>
          </w:tcPr>
          <w:p>
            <w:pPr>
              <w:ind w:left="620"/>
              <w:spacing w:after="0" w:line="138" w:lineRule="exact"/>
              <w:rPr>
                <w:sz w:val="20"/>
                <w:szCs w:val="20"/>
                <w:color w:val="auto"/>
              </w:rPr>
            </w:pPr>
            <w:r>
              <w:rPr>
                <w:rFonts w:ascii="Arial" w:cs="Arial" w:eastAsia="Arial" w:hAnsi="Arial"/>
                <w:sz w:val="15"/>
                <w:szCs w:val="15"/>
                <w:b w:val="1"/>
                <w:bCs w:val="1"/>
                <w:color w:val="auto"/>
                <w:w w:val="99"/>
              </w:rPr>
              <w:t>American depositary</w:t>
            </w:r>
          </w:p>
        </w:tc>
        <w:tc>
          <w:tcPr>
            <w:tcW w:w="3560" w:type="dxa"/>
            <w:vAlign w:val="bottom"/>
          </w:tcPr>
          <w:p>
            <w:pPr>
              <w:spacing w:after="0" w:line="138" w:lineRule="exact"/>
              <w:rPr>
                <w:sz w:val="20"/>
                <w:szCs w:val="20"/>
                <w:color w:val="auto"/>
              </w:rPr>
            </w:pPr>
            <w:r>
              <w:rPr>
                <w:rFonts w:ascii="Arial" w:cs="Arial" w:eastAsia="Arial" w:hAnsi="Arial"/>
                <w:sz w:val="15"/>
                <w:szCs w:val="15"/>
                <w:b w:val="1"/>
                <w:bCs w:val="1"/>
                <w:color w:val="auto"/>
              </w:rPr>
              <w:t>shares</w:t>
            </w:r>
          </w:p>
        </w:tc>
        <w:tc>
          <w:tcPr>
            <w:tcW w:w="28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w w:val="92"/>
              </w:rPr>
              <w:t>The New York Stock Exchange</w:t>
            </w:r>
          </w:p>
        </w:tc>
      </w:tr>
      <w:tr>
        <w:trPr>
          <w:trHeight w:val="198"/>
        </w:trPr>
        <w:tc>
          <w:tcPr>
            <w:tcW w:w="5680" w:type="dxa"/>
            <w:vAlign w:val="bottom"/>
            <w:gridSpan w:val="3"/>
          </w:tcPr>
          <w:p>
            <w:pPr>
              <w:jc w:val="center"/>
              <w:ind w:right="2543"/>
              <w:spacing w:after="0"/>
              <w:rPr>
                <w:sz w:val="20"/>
                <w:szCs w:val="20"/>
                <w:color w:val="auto"/>
              </w:rPr>
            </w:pPr>
            <w:r>
              <w:rPr>
                <w:rFonts w:ascii="Arial" w:cs="Arial" w:eastAsia="Arial" w:hAnsi="Arial"/>
                <w:sz w:val="15"/>
                <w:szCs w:val="15"/>
                <w:b w:val="1"/>
                <w:bCs w:val="1"/>
                <w:color w:val="auto"/>
                <w:w w:val="90"/>
              </w:rPr>
              <w:t>each representing four Class A ordinary shares</w:t>
            </w:r>
          </w:p>
        </w:tc>
        <w:tc>
          <w:tcPr>
            <w:tcW w:w="2820" w:type="dxa"/>
            <w:vAlign w:val="bottom"/>
          </w:tcPr>
          <w:p>
            <w:pPr>
              <w:spacing w:after="0"/>
              <w:rPr>
                <w:sz w:val="17"/>
                <w:szCs w:val="17"/>
                <w:color w:val="auto"/>
              </w:rPr>
            </w:pPr>
          </w:p>
        </w:tc>
      </w:tr>
    </w:tbl>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registered or to be registered pursuant to Section 12(g) of the Act:</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None.</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for which there is a reporting obligation pursuant to Section 15(d) of the Act:</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None.</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Indicate the number of outstanding shares of each of the issuer’s classes of capital or common stock as of the close of the period covered by the annual report.</w:t>
      </w:r>
    </w:p>
    <w:p>
      <w:pPr>
        <w:spacing w:after="0" w:line="44" w:lineRule="exact"/>
        <w:rPr>
          <w:sz w:val="24"/>
          <w:szCs w:val="24"/>
          <w:color w:val="auto"/>
        </w:rPr>
      </w:pPr>
    </w:p>
    <w:p>
      <w:pPr>
        <w:ind w:left="2600"/>
        <w:spacing w:after="0"/>
        <w:rPr>
          <w:sz w:val="20"/>
          <w:szCs w:val="20"/>
          <w:color w:val="auto"/>
        </w:rPr>
      </w:pPr>
      <w:r>
        <w:rPr>
          <w:rFonts w:ascii="Arial" w:cs="Arial" w:eastAsia="Arial" w:hAnsi="Arial"/>
          <w:sz w:val="14"/>
          <w:szCs w:val="14"/>
          <w:color w:val="auto"/>
        </w:rPr>
        <w:t>241,818,016 Class A ordinary shares and 72,511,760 Class B ordinary shares outstanding as of December 31, 2018</w:t>
      </w:r>
    </w:p>
    <w:p>
      <w:pPr>
        <w:spacing w:after="0" w:line="17" w:lineRule="exact"/>
        <w:rPr>
          <w:sz w:val="24"/>
          <w:szCs w:val="24"/>
          <w:color w:val="auto"/>
        </w:rPr>
      </w:pPr>
    </w:p>
    <w:p>
      <w:pPr>
        <w:ind w:left="200"/>
        <w:spacing w:after="0" w:line="161" w:lineRule="exact"/>
        <w:tabs>
          <w:tab w:leader="none" w:pos="7000" w:val="left"/>
          <w:tab w:leader="none" w:pos="7520" w:val="left"/>
        </w:tabs>
        <w:rPr>
          <w:sz w:val="20"/>
          <w:szCs w:val="20"/>
          <w:color w:val="auto"/>
        </w:rPr>
      </w:pPr>
      <w:r>
        <w:rPr>
          <w:rFonts w:ascii="Arial" w:cs="Arial" w:eastAsia="Arial" w:hAnsi="Arial"/>
          <w:sz w:val="12"/>
          <w:szCs w:val="12"/>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b w:val="1"/>
          <w:bCs w:val="1"/>
          <w:color w:val="auto"/>
        </w:rPr>
        <w:t xml:space="preserve">No </w:t>
      </w:r>
      <w:r>
        <w:rPr>
          <w:rFonts w:ascii="MS PGothic" w:cs="MS PGothic" w:eastAsia="MS PGothic" w:hAnsi="MS PGothic"/>
          <w:sz w:val="12"/>
          <w:szCs w:val="12"/>
          <w:color w:val="auto"/>
        </w:rPr>
        <w:t>☒</w:t>
      </w:r>
    </w:p>
    <w:p>
      <w:pPr>
        <w:spacing w:after="0" w:line="65" w:lineRule="exact"/>
        <w:rPr>
          <w:sz w:val="24"/>
          <w:szCs w:val="24"/>
          <w:color w:val="auto"/>
        </w:rPr>
      </w:pPr>
    </w:p>
    <w:p>
      <w:pPr>
        <w:ind w:left="200" w:right="600"/>
        <w:spacing w:after="0" w:line="169" w:lineRule="exact"/>
        <w:rPr>
          <w:sz w:val="20"/>
          <w:szCs w:val="20"/>
          <w:color w:val="auto"/>
        </w:rPr>
      </w:pPr>
      <w:r>
        <w:rPr>
          <w:rFonts w:ascii="Arial" w:cs="Arial" w:eastAsia="Arial" w:hAnsi="Arial"/>
          <w:sz w:val="14"/>
          <w:szCs w:val="14"/>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200"/>
        <w:spacing w:after="0" w:line="168" w:lineRule="exact"/>
        <w:rPr>
          <w:sz w:val="20"/>
          <w:szCs w:val="20"/>
          <w:color w:val="auto"/>
        </w:rPr>
      </w:pPr>
      <w:r>
        <w:rPr>
          <w:rFonts w:ascii="Arial" w:cs="Arial" w:eastAsia="Arial" w:hAnsi="Arial"/>
          <w:sz w:val="12"/>
          <w:szCs w:val="12"/>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ind w:left="200" w:right="380"/>
        <w:spacing w:after="0" w:line="168" w:lineRule="exact"/>
        <w:rPr>
          <w:sz w:val="20"/>
          <w:szCs w:val="20"/>
          <w:color w:val="auto"/>
        </w:rPr>
      </w:pPr>
      <w:r>
        <w:rPr>
          <w:rFonts w:ascii="Arial" w:cs="Arial" w:eastAsia="Arial" w:hAnsi="Arial"/>
          <w:sz w:val="12"/>
          <w:szCs w:val="12"/>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ind w:left="200" w:right="320"/>
        <w:spacing w:after="0" w:line="241" w:lineRule="auto"/>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ndicate by check mark whether the registrant is a large accelerated filer, an accelerated filer, a non-accelerated filer, or an emerging growth company. See definition of “large accelerated</w:t>
      </w:r>
      <w:r>
        <w:rPr>
          <w:rFonts w:ascii="Arial" w:cs="Arial" w:eastAsia="Arial" w:hAnsi="Arial"/>
          <w:sz w:val="14"/>
          <w:szCs w:val="14"/>
          <w:color w:val="auto"/>
        </w:rPr>
        <w:t xml:space="preserve"> </w:t>
      </w:r>
      <w:r>
        <w:rPr>
          <w:rFonts w:ascii="Arial" w:cs="Arial" w:eastAsia="Arial" w:hAnsi="Arial"/>
          <w:sz w:val="14"/>
          <w:szCs w:val="14"/>
          <w:b w:val="1"/>
          <w:bCs w:val="1"/>
          <w:color w:val="auto"/>
        </w:rPr>
        <w:t>filer,” “accelerated filer,” and “emerging growth company” in Rule 12b-2 of the Exchange Act. (Check one):</w:t>
      </w:r>
    </w:p>
    <w:p>
      <w:pPr>
        <w:spacing w:after="0" w:line="22" w:lineRule="exact"/>
        <w:rPr>
          <w:sz w:val="24"/>
          <w:szCs w:val="24"/>
          <w:color w:val="auto"/>
        </w:rPr>
      </w:pPr>
    </w:p>
    <w:p>
      <w:pPr>
        <w:ind w:left="780"/>
        <w:spacing w:after="0" w:line="161" w:lineRule="exact"/>
        <w:tabs>
          <w:tab w:leader="none" w:pos="3840" w:val="left"/>
          <w:tab w:leader="none" w:pos="6460" w:val="left"/>
          <w:tab w:leader="none" w:pos="8980" w:val="left"/>
        </w:tabs>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b w:val="1"/>
          <w:bCs w:val="1"/>
          <w:color w:val="auto"/>
        </w:rPr>
        <w:t xml:space="preserve">Emerging growth company </w:t>
      </w:r>
      <w:r>
        <w:rPr>
          <w:rFonts w:ascii="MS PGothic" w:cs="MS PGothic" w:eastAsia="MS PGothic" w:hAnsi="MS PGothic"/>
          <w:sz w:val="13"/>
          <w:szCs w:val="13"/>
          <w:color w:val="auto"/>
        </w:rPr>
        <w:t>☐</w:t>
      </w:r>
    </w:p>
    <w:p>
      <w:pPr>
        <w:spacing w:after="0" w:line="78" w:lineRule="exact"/>
        <w:rPr>
          <w:sz w:val="24"/>
          <w:szCs w:val="24"/>
          <w:color w:val="auto"/>
        </w:rPr>
      </w:pPr>
    </w:p>
    <w:p>
      <w:pPr>
        <w:ind w:left="200" w:right="180"/>
        <w:spacing w:after="0" w:line="182" w:lineRule="exact"/>
        <w:rPr>
          <w:sz w:val="20"/>
          <w:szCs w:val="20"/>
          <w:color w:val="auto"/>
        </w:rPr>
      </w:pPr>
      <w:r>
        <w:rPr>
          <w:rFonts w:ascii="Arial" w:cs="Arial" w:eastAsia="Arial" w:hAnsi="Arial"/>
          <w:sz w:val="13"/>
          <w:szCs w:val="13"/>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ind w:left="200" w:right="200" w:firstLine="4"/>
        <w:spacing w:after="0" w:line="241" w:lineRule="auto"/>
        <w:tabs>
          <w:tab w:leader="none" w:pos="30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The term “new or revised financial accounting standard” refers to any update issued by the Financial Accounting Standards Board to its Accounting Standards Codification after April 5, 2012.</w:t>
      </w:r>
    </w:p>
    <w:p>
      <w:pPr>
        <w:spacing w:after="0" w:line="28"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Indicate by check mark which basis of accounting the registrant has used to prepare the financial statements included in this filing:</w:t>
      </w:r>
    </w:p>
    <w:p>
      <w:pPr>
        <w:spacing w:after="0" w:line="35" w:lineRule="exact"/>
        <w:rPr>
          <w:sz w:val="24"/>
          <w:szCs w:val="24"/>
          <w:color w:val="auto"/>
        </w:rPr>
      </w:pPr>
    </w:p>
    <w:tbl>
      <w:tblPr>
        <w:tblLayout w:type="fixed"/>
        <w:tblInd w:w="200" w:type="dxa"/>
        <w:tblCellMar>
          <w:top w:w="0" w:type="dxa"/>
          <w:left w:w="0" w:type="dxa"/>
          <w:bottom w:w="0" w:type="dxa"/>
          <w:right w:w="0" w:type="dxa"/>
        </w:tblCellMar>
      </w:tblPr>
      <w:tr>
        <w:trPr>
          <w:trHeight w:val="168"/>
        </w:trPr>
        <w:tc>
          <w:tcPr>
            <w:tcW w:w="2960" w:type="dxa"/>
            <w:vAlign w:val="bottom"/>
          </w:tcPr>
          <w:p>
            <w:pPr>
              <w:ind w:left="940"/>
              <w:spacing w:after="0" w:line="161" w:lineRule="exact"/>
              <w:rPr>
                <w:sz w:val="20"/>
                <w:szCs w:val="20"/>
                <w:color w:val="auto"/>
              </w:rPr>
            </w:pPr>
            <w:r>
              <w:rPr>
                <w:rFonts w:ascii="Arial" w:cs="Arial" w:eastAsia="Arial" w:hAnsi="Arial"/>
                <w:sz w:val="14"/>
                <w:szCs w:val="14"/>
                <w:b w:val="1"/>
                <w:bCs w:val="1"/>
                <w:color w:val="auto"/>
              </w:rPr>
              <w:t xml:space="preserve">U.S. GAAP </w:t>
            </w:r>
            <w:r>
              <w:rPr>
                <w:rFonts w:ascii="MS PGothic" w:cs="MS PGothic" w:eastAsia="MS PGothic" w:hAnsi="MS PGothic"/>
                <w:sz w:val="14"/>
                <w:szCs w:val="14"/>
                <w:color w:val="auto"/>
              </w:rPr>
              <w:t>☒</w:t>
            </w:r>
          </w:p>
        </w:tc>
        <w:tc>
          <w:tcPr>
            <w:tcW w:w="612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International Financial Reporting Standards as issued</w:t>
            </w:r>
          </w:p>
        </w:tc>
        <w:tc>
          <w:tcPr>
            <w:tcW w:w="1420" w:type="dxa"/>
            <w:vAlign w:val="bottom"/>
          </w:tcPr>
          <w:p>
            <w:pPr>
              <w:ind w:left="500"/>
              <w:spacing w:after="0" w:line="161" w:lineRule="exact"/>
              <w:rPr>
                <w:sz w:val="20"/>
                <w:szCs w:val="20"/>
                <w:color w:val="auto"/>
              </w:rPr>
            </w:pPr>
            <w:r>
              <w:rPr>
                <w:rFonts w:ascii="Arial" w:cs="Arial" w:eastAsia="Arial" w:hAnsi="Arial"/>
                <w:sz w:val="14"/>
                <w:szCs w:val="14"/>
                <w:b w:val="1"/>
                <w:bCs w:val="1"/>
                <w:color w:val="auto"/>
              </w:rPr>
              <w:t xml:space="preserve">Other </w:t>
            </w:r>
            <w:r>
              <w:rPr>
                <w:rFonts w:ascii="MS PGothic" w:cs="MS PGothic" w:eastAsia="MS PGothic" w:hAnsi="MS PGothic"/>
                <w:sz w:val="14"/>
                <w:szCs w:val="14"/>
                <w:color w:val="auto"/>
              </w:rPr>
              <w:t>☐</w:t>
            </w:r>
          </w:p>
        </w:tc>
      </w:tr>
      <w:tr>
        <w:trPr>
          <w:trHeight w:val="221"/>
        </w:trPr>
        <w:tc>
          <w:tcPr>
            <w:tcW w:w="2960" w:type="dxa"/>
            <w:vAlign w:val="bottom"/>
          </w:tcPr>
          <w:p>
            <w:pPr>
              <w:spacing w:after="0"/>
              <w:rPr>
                <w:sz w:val="19"/>
                <w:szCs w:val="19"/>
                <w:color w:val="auto"/>
              </w:rPr>
            </w:pPr>
          </w:p>
        </w:tc>
        <w:tc>
          <w:tcPr>
            <w:tcW w:w="6120" w:type="dxa"/>
            <w:vAlign w:val="bottom"/>
          </w:tcPr>
          <w:p>
            <w:pPr>
              <w:jc w:val="center"/>
              <w:ind w:right="468"/>
              <w:spacing w:after="0" w:line="161" w:lineRule="exact"/>
              <w:rPr>
                <w:sz w:val="20"/>
                <w:szCs w:val="20"/>
                <w:color w:val="auto"/>
              </w:rPr>
            </w:pPr>
            <w:r>
              <w:rPr>
                <w:rFonts w:ascii="Arial" w:cs="Arial" w:eastAsia="Arial" w:hAnsi="Arial"/>
                <w:sz w:val="14"/>
                <w:szCs w:val="14"/>
                <w:b w:val="1"/>
                <w:bCs w:val="1"/>
                <w:color w:val="auto"/>
                <w:w w:val="94"/>
              </w:rPr>
              <w:t xml:space="preserve">by the International Accounting Standards Board </w:t>
            </w:r>
            <w:r>
              <w:rPr>
                <w:rFonts w:ascii="MS PGothic" w:cs="MS PGothic" w:eastAsia="MS PGothic" w:hAnsi="MS PGothic"/>
                <w:sz w:val="14"/>
                <w:szCs w:val="14"/>
                <w:color w:val="auto"/>
                <w:w w:val="94"/>
              </w:rPr>
              <w:t>☐</w:t>
            </w:r>
          </w:p>
        </w:tc>
        <w:tc>
          <w:tcPr>
            <w:tcW w:w="1420" w:type="dxa"/>
            <w:vAlign w:val="bottom"/>
          </w:tcPr>
          <w:p>
            <w:pPr>
              <w:spacing w:after="0"/>
              <w:rPr>
                <w:sz w:val="19"/>
                <w:szCs w:val="19"/>
                <w:color w:val="auto"/>
              </w:rPr>
            </w:pPr>
          </w:p>
        </w:tc>
      </w:tr>
      <w:tr>
        <w:trPr>
          <w:trHeight w:val="203"/>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w w:val="86"/>
              </w:rPr>
              <w:t>If “Other” has been checked in response to the previous question, indicate by check mark which financial statement item the registrant has elected to follow.</w:t>
            </w:r>
          </w:p>
        </w:tc>
        <w:tc>
          <w:tcPr>
            <w:tcW w:w="1420" w:type="dxa"/>
            <w:vAlign w:val="bottom"/>
          </w:tcPr>
          <w:p>
            <w:pPr>
              <w:ind w:left="40"/>
              <w:spacing w:after="0" w:line="161" w:lineRule="exact"/>
              <w:rPr>
                <w:sz w:val="20"/>
                <w:szCs w:val="20"/>
                <w:color w:val="auto"/>
              </w:rPr>
            </w:pPr>
            <w:r>
              <w:rPr>
                <w:rFonts w:ascii="Arial" w:cs="Arial" w:eastAsia="Arial" w:hAnsi="Arial"/>
                <w:sz w:val="14"/>
                <w:szCs w:val="14"/>
                <w:b w:val="1"/>
                <w:bCs w:val="1"/>
                <w:color w:val="auto"/>
                <w:w w:val="99"/>
              </w:rPr>
              <w:t xml:space="preserve">Item 17 </w:t>
            </w:r>
            <w:r>
              <w:rPr>
                <w:rFonts w:ascii="MS PGothic" w:cs="MS PGothic" w:eastAsia="MS PGothic" w:hAnsi="MS PGothic"/>
                <w:sz w:val="14"/>
                <w:szCs w:val="14"/>
                <w:color w:val="auto"/>
                <w:w w:val="99"/>
              </w:rPr>
              <w:t>☐</w:t>
            </w:r>
            <w:r>
              <w:rPr>
                <w:rFonts w:ascii="Arial" w:cs="Arial" w:eastAsia="Arial" w:hAnsi="Arial"/>
                <w:sz w:val="14"/>
                <w:szCs w:val="14"/>
                <w:b w:val="1"/>
                <w:bCs w:val="1"/>
                <w:color w:val="auto"/>
                <w:w w:val="99"/>
              </w:rPr>
              <w:t xml:space="preserve"> Item 18 </w:t>
            </w:r>
            <w:r>
              <w:rPr>
                <w:rFonts w:ascii="MS PGothic" w:cs="MS PGothic" w:eastAsia="MS PGothic" w:hAnsi="MS PGothic"/>
                <w:sz w:val="14"/>
                <w:szCs w:val="14"/>
                <w:color w:val="auto"/>
                <w:w w:val="99"/>
              </w:rPr>
              <w:t>☐</w:t>
            </w:r>
          </w:p>
        </w:tc>
      </w:tr>
      <w:tr>
        <w:trPr>
          <w:trHeight w:val="211"/>
        </w:trPr>
        <w:tc>
          <w:tcPr>
            <w:tcW w:w="9080" w:type="dxa"/>
            <w:vAlign w:val="bottom"/>
            <w:gridSpan w:val="2"/>
          </w:tcPr>
          <w:p>
            <w:pPr>
              <w:spacing w:after="0" w:line="161" w:lineRule="exact"/>
              <w:rPr>
                <w:sz w:val="20"/>
                <w:szCs w:val="20"/>
                <w:color w:val="auto"/>
              </w:rPr>
            </w:pPr>
            <w:r>
              <w:rPr>
                <w:rFonts w:ascii="Arial" w:cs="Arial" w:eastAsia="Arial" w:hAnsi="Arial"/>
                <w:sz w:val="14"/>
                <w:szCs w:val="14"/>
                <w:b w:val="1"/>
                <w:bCs w:val="1"/>
                <w:color w:val="auto"/>
                <w:w w:val="89"/>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w w:val="89"/>
              </w:rPr>
              <w:t>☐</w:t>
            </w:r>
            <w:r>
              <w:rPr>
                <w:rFonts w:ascii="Arial" w:cs="Arial" w:eastAsia="Arial" w:hAnsi="Arial"/>
                <w:sz w:val="14"/>
                <w:szCs w:val="14"/>
                <w:b w:val="1"/>
                <w:bCs w:val="1"/>
                <w:color w:val="auto"/>
                <w:w w:val="89"/>
              </w:rPr>
              <w:t xml:space="preserve"> No </w:t>
            </w:r>
            <w:r>
              <w:rPr>
                <w:rFonts w:ascii="MS PGothic" w:cs="MS PGothic" w:eastAsia="MS PGothic" w:hAnsi="MS PGothic"/>
                <w:sz w:val="14"/>
                <w:szCs w:val="14"/>
                <w:color w:val="auto"/>
                <w:w w:val="89"/>
              </w:rPr>
              <w:t>☒</w:t>
            </w:r>
          </w:p>
        </w:tc>
        <w:tc>
          <w:tcPr>
            <w:tcW w:w="1420" w:type="dxa"/>
            <w:vAlign w:val="bottom"/>
          </w:tcPr>
          <w:p>
            <w:pPr>
              <w:spacing w:after="0"/>
              <w:rPr>
                <w:sz w:val="18"/>
                <w:szCs w:val="18"/>
                <w:color w:val="auto"/>
              </w:rPr>
            </w:pPr>
          </w:p>
        </w:tc>
      </w:tr>
      <w:tr>
        <w:trPr>
          <w:trHeight w:val="189"/>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(APPLICABLE ONLY TO ISSUERS INVOLVED IN BANKRUPTCY PROCEEDINGS DURING THE PAST FIVE YEARS)</w:t>
            </w:r>
          </w:p>
        </w:tc>
        <w:tc>
          <w:tcPr>
            <w:tcW w:w="1420" w:type="dxa"/>
            <w:vAlign w:val="bottom"/>
          </w:tcPr>
          <w:p>
            <w:pPr>
              <w:spacing w:after="0"/>
              <w:rPr>
                <w:sz w:val="16"/>
                <w:szCs w:val="16"/>
                <w:color w:val="auto"/>
              </w:rPr>
            </w:pPr>
          </w:p>
        </w:tc>
      </w:tr>
    </w:tbl>
    <w:p>
      <w:pPr>
        <w:spacing w:after="0" w:line="28" w:lineRule="exact"/>
        <w:rPr>
          <w:sz w:val="24"/>
          <w:szCs w:val="24"/>
          <w:color w:val="auto"/>
        </w:rPr>
      </w:pPr>
    </w:p>
    <w:p>
      <w:pPr>
        <w:ind w:left="200" w:right="320"/>
        <w:spacing w:after="0" w:line="169" w:lineRule="exact"/>
        <w:rPr>
          <w:sz w:val="20"/>
          <w:szCs w:val="20"/>
          <w:color w:val="auto"/>
        </w:rPr>
      </w:pPr>
      <w:r>
        <w:rPr>
          <w:rFonts w:ascii="Arial" w:cs="Arial" w:eastAsia="Arial" w:hAnsi="Arial"/>
          <w:sz w:val="14"/>
          <w:szCs w:val="14"/>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8460" w:type="dxa"/>
            <w:vAlign w:val="bottom"/>
            <w:gridSpan w:val="3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INTRODUCTION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360" w:type="dxa"/>
            <w:vAlign w:val="bottom"/>
            <w:tcBorders>
              <w:top w:val="single" w:sz="8" w:color="0000EE"/>
            </w:tcBorders>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GLOSSARY</w:t>
              </w:r>
            </w:hyperlink>
          </w:p>
        </w:tc>
        <w:tc>
          <w:tcPr>
            <w:tcW w:w="7100" w:type="dxa"/>
            <w:vAlign w:val="bottom"/>
            <w:gridSpan w:val="2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536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SPECIAL NOTE REGARDING FORWARD-LOOKING STATEMENTS</w:t>
              </w:r>
            </w:hyperlink>
          </w:p>
        </w:tc>
        <w:tc>
          <w:tcPr>
            <w:tcW w:w="3100" w:type="dxa"/>
            <w:vAlign w:val="bottom"/>
            <w:gridSpan w:val="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460" w:type="dxa"/>
            <w:vAlign w:val="bottom"/>
            <w:gridSpan w:val="3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PART I</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628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ITEM 1. IDENTITY OF DIRECTORS, SENIOR MANAGEMENT AND ADVISERS</w:t>
              </w:r>
            </w:hyperlink>
          </w:p>
        </w:tc>
        <w:tc>
          <w:tcPr>
            <w:tcW w:w="21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8460" w:type="dxa"/>
            <w:vAlign w:val="bottom"/>
            <w:gridSpan w:val="3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OFFER STATISTICS AND EXPECTED TIMETABLE</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680" w:type="dxa"/>
            <w:vAlign w:val="bottom"/>
            <w:tcBorders>
              <w:top w:val="single" w:sz="8" w:color="0000EE"/>
            </w:tcBorders>
            <w:gridSpan w:val="2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3. KEY INFORMATION</w:t>
              </w:r>
            </w:hyperlink>
          </w:p>
        </w:tc>
        <w:tc>
          <w:tcPr>
            <w:tcW w:w="3780" w:type="dxa"/>
            <w:vAlign w:val="bottom"/>
            <w:gridSpan w:val="1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 SELECTED FINANCIAL DATA</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B. CAPITALIZATION AND INDEBTEDNESS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 REASONS FOR THE OFFER AND USE OF PROCEEDS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36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D. RISK FACTORS</w:t>
              </w:r>
            </w:hyperlink>
          </w:p>
        </w:tc>
        <w:tc>
          <w:tcPr>
            <w:tcW w:w="3000" w:type="dxa"/>
            <w:vAlign w:val="bottom"/>
            <w:tcBorders>
              <w:top w:val="single" w:sz="8" w:color="0000EE"/>
            </w:tcBorders>
            <w:gridSpan w:val="16"/>
          </w:tcPr>
          <w:p>
            <w:pPr>
              <w:spacing w:after="0"/>
              <w:rPr>
                <w:sz w:val="24"/>
                <w:szCs w:val="24"/>
                <w:color w:val="auto"/>
              </w:rPr>
            </w:pPr>
          </w:p>
        </w:tc>
        <w:tc>
          <w:tcPr>
            <w:tcW w:w="3620" w:type="dxa"/>
            <w:vAlign w:val="bottom"/>
            <w:gridSpan w:val="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54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ITEM 4. INFORMATION ON THE COMPANY</w:t>
              </w:r>
            </w:hyperlink>
          </w:p>
        </w:tc>
        <w:tc>
          <w:tcPr>
            <w:tcW w:w="4920" w:type="dxa"/>
            <w:vAlign w:val="bottom"/>
            <w:gridSpan w:val="1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60" w:type="dxa"/>
            <w:vAlign w:val="bottom"/>
          </w:tcPr>
          <w:p>
            <w:pPr>
              <w:spacing w:after="0"/>
              <w:rPr>
                <w:sz w:val="24"/>
                <w:szCs w:val="24"/>
                <w:color w:val="auto"/>
              </w:rPr>
            </w:pPr>
          </w:p>
        </w:tc>
        <w:tc>
          <w:tcPr>
            <w:tcW w:w="440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A. HISTORY AND DEVELOPMENT OF THE COMPANY</w:t>
              </w:r>
            </w:hyperlink>
          </w:p>
        </w:tc>
        <w:tc>
          <w:tcPr>
            <w:tcW w:w="3700" w:type="dxa"/>
            <w:vAlign w:val="bottom"/>
            <w:gridSpan w:val="9"/>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60" w:type="dxa"/>
            <w:vAlign w:val="bottom"/>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B. BUSINESS OVERVIEW</w:t>
              </w:r>
            </w:hyperlink>
          </w:p>
        </w:tc>
        <w:tc>
          <w:tcPr>
            <w:tcW w:w="6040" w:type="dxa"/>
            <w:vAlign w:val="bottom"/>
            <w:gridSpan w:val="19"/>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60" w:type="dxa"/>
            <w:vAlign w:val="bottom"/>
          </w:tcPr>
          <w:p>
            <w:pPr>
              <w:spacing w:after="0"/>
              <w:rPr>
                <w:sz w:val="24"/>
                <w:szCs w:val="24"/>
                <w:color w:val="auto"/>
              </w:rPr>
            </w:pPr>
          </w:p>
        </w:tc>
        <w:tc>
          <w:tcPr>
            <w:tcW w:w="29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C. ORGANIZATIONAL STRUCTURE</w:t>
              </w:r>
            </w:hyperlink>
          </w:p>
        </w:tc>
        <w:tc>
          <w:tcPr>
            <w:tcW w:w="5200" w:type="dxa"/>
            <w:vAlign w:val="bottom"/>
            <w:gridSpan w:val="1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 PROPERTY, PLANT AND EQUIPMENT</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6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ITEM 4A. UNRESOLVED STAFF COMMENTS</w:t>
              </w:r>
            </w:hyperlink>
          </w:p>
        </w:tc>
        <w:tc>
          <w:tcPr>
            <w:tcW w:w="480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534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ITEM 5. OPERATING AND FINANCIAL REVIEW AND PROSPECTS</w:t>
              </w:r>
            </w:hyperlink>
          </w:p>
        </w:tc>
        <w:tc>
          <w:tcPr>
            <w:tcW w:w="3120" w:type="dxa"/>
            <w:vAlign w:val="bottom"/>
            <w:gridSpan w:val="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360" w:type="dxa"/>
            <w:vAlign w:val="bottom"/>
          </w:tcPr>
          <w:p>
            <w:pPr>
              <w:spacing w:after="0"/>
              <w:rPr>
                <w:sz w:val="24"/>
                <w:szCs w:val="24"/>
                <w:color w:val="auto"/>
              </w:rPr>
            </w:pPr>
          </w:p>
        </w:tc>
        <w:tc>
          <w:tcPr>
            <w:tcW w:w="20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A. OPERATING RESULTS</w:t>
              </w:r>
            </w:hyperlink>
          </w:p>
        </w:tc>
        <w:tc>
          <w:tcPr>
            <w:tcW w:w="6060" w:type="dxa"/>
            <w:vAlign w:val="bottom"/>
            <w:gridSpan w:val="2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B. LIQUIDITY AND CAPITAL RESOURCES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 RESEARCH AND DEVELOPMENT, PATENTS AND LICENSES, ETC.</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360" w:type="dxa"/>
            <w:vAlign w:val="bottom"/>
          </w:tcPr>
          <w:p>
            <w:pPr>
              <w:spacing w:after="0"/>
              <w:rPr>
                <w:sz w:val="24"/>
                <w:szCs w:val="24"/>
                <w:color w:val="auto"/>
              </w:rPr>
            </w:pPr>
          </w:p>
        </w:tc>
        <w:tc>
          <w:tcPr>
            <w:tcW w:w="5580" w:type="dxa"/>
            <w:vAlign w:val="bottom"/>
            <w:tcBorders>
              <w:top w:val="single" w:sz="8" w:color="0000EE"/>
            </w:tcBorders>
            <w:gridSpan w:val="2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 TREND INFORMATION</w:t>
              </w:r>
            </w:hyperlink>
          </w:p>
        </w:tc>
        <w:tc>
          <w:tcPr>
            <w:tcW w:w="2520" w:type="dxa"/>
            <w:vAlign w:val="bottom"/>
            <w:gridSpan w:val="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6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E. OFF-BALANCE SHEET ARRANGEMENTS</w:t>
              </w:r>
            </w:hyperlink>
          </w:p>
        </w:tc>
        <w:tc>
          <w:tcPr>
            <w:tcW w:w="4480" w:type="dxa"/>
            <w:vAlign w:val="bottom"/>
            <w:gridSpan w:val="1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 TABULAR DISCLOSURE OF CONTRACTUAL OBLIGATIONS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36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G. SAFE HARBOR</w:t>
              </w:r>
            </w:hyperlink>
          </w:p>
        </w:tc>
        <w:tc>
          <w:tcPr>
            <w:tcW w:w="3600" w:type="dxa"/>
            <w:vAlign w:val="bottom"/>
            <w:tcBorders>
              <w:top w:val="single" w:sz="8" w:color="0000EE"/>
            </w:tcBorders>
            <w:gridSpan w:val="21"/>
          </w:tcPr>
          <w:p>
            <w:pPr>
              <w:spacing w:after="0"/>
              <w:rPr>
                <w:sz w:val="24"/>
                <w:szCs w:val="24"/>
                <w:color w:val="auto"/>
              </w:rPr>
            </w:pPr>
          </w:p>
        </w:tc>
        <w:tc>
          <w:tcPr>
            <w:tcW w:w="3040" w:type="dxa"/>
            <w:vAlign w:val="bottom"/>
            <w:gridSpan w:val="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530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101">
              <w:r>
                <w:rPr>
                  <w:rFonts w:ascii="Arial" w:cs="Arial" w:eastAsia="Arial" w:hAnsi="Arial"/>
                  <w:sz w:val="18"/>
                  <w:szCs w:val="18"/>
                  <w:color w:val="0000EE"/>
                  <w:w w:val="96"/>
                </w:rPr>
                <w:t>ITEM 6. DIRECTORS, SENIOR MANAGEMENT AND EMPLOYEES</w:t>
              </w:r>
            </w:hyperlink>
          </w:p>
        </w:tc>
        <w:tc>
          <w:tcPr>
            <w:tcW w:w="3160" w:type="dxa"/>
            <w:vAlign w:val="bottom"/>
            <w:gridSpan w:val="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360" w:type="dxa"/>
            <w:vAlign w:val="bottom"/>
          </w:tcPr>
          <w:p>
            <w:pPr>
              <w:spacing w:after="0"/>
              <w:rPr>
                <w:sz w:val="24"/>
                <w:szCs w:val="24"/>
                <w:color w:val="auto"/>
              </w:rPr>
            </w:pPr>
          </w:p>
        </w:tc>
        <w:tc>
          <w:tcPr>
            <w:tcW w:w="370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A. DIRECTORS AND SENIOR MANAGEMENT</w:t>
              </w:r>
            </w:hyperlink>
          </w:p>
        </w:tc>
        <w:tc>
          <w:tcPr>
            <w:tcW w:w="4400" w:type="dxa"/>
            <w:vAlign w:val="bottom"/>
            <w:gridSpan w:val="1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360" w:type="dxa"/>
            <w:vAlign w:val="bottom"/>
          </w:tcPr>
          <w:p>
            <w:pPr>
              <w:spacing w:after="0"/>
              <w:rPr>
                <w:sz w:val="24"/>
                <w:szCs w:val="24"/>
                <w:color w:val="auto"/>
              </w:rPr>
            </w:pPr>
          </w:p>
        </w:tc>
        <w:tc>
          <w:tcPr>
            <w:tcW w:w="530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B. COMPENSATION OF DIRECTORS AND EXECUTIVE OFFICERS</w:t>
              </w:r>
            </w:hyperlink>
          </w:p>
        </w:tc>
        <w:tc>
          <w:tcPr>
            <w:tcW w:w="2800" w:type="dxa"/>
            <w:vAlign w:val="bottom"/>
            <w:gridSpan w:val="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4"/>
        </w:trPr>
        <w:tc>
          <w:tcPr>
            <w:tcW w:w="360" w:type="dxa"/>
            <w:vAlign w:val="bottom"/>
          </w:tcPr>
          <w:p>
            <w:pPr>
              <w:spacing w:after="0"/>
              <w:rPr>
                <w:sz w:val="24"/>
                <w:szCs w:val="24"/>
                <w:color w:val="auto"/>
              </w:rPr>
            </w:pPr>
          </w:p>
        </w:tc>
        <w:tc>
          <w:tcPr>
            <w:tcW w:w="18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C. BOARD PRACTICES</w:t>
              </w:r>
            </w:hyperlink>
          </w:p>
        </w:tc>
        <w:tc>
          <w:tcPr>
            <w:tcW w:w="6240" w:type="dxa"/>
            <w:vAlign w:val="bottom"/>
            <w:gridSpan w:val="2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D. EMPLOYEES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220" w:type="dxa"/>
            <w:vAlign w:val="bottom"/>
            <w:gridSpan w:val="2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 SHARE OWNERSHIP</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4"/>
          </w:tcPr>
          <w:p>
            <w:pPr>
              <w:ind w:left="60"/>
              <w:spacing w:after="0"/>
              <w:rPr>
                <w:sz w:val="20"/>
                <w:szCs w:val="20"/>
                <w:color w:val="auto"/>
              </w:rPr>
            </w:pPr>
            <w:r>
              <w:rPr>
                <w:rFonts w:ascii="Arial" w:cs="Arial" w:eastAsia="Arial" w:hAnsi="Arial"/>
                <w:sz w:val="18"/>
                <w:szCs w:val="18"/>
                <w:color w:val="auto"/>
              </w:rPr>
              <w:t>i</w:t>
            </w:r>
          </w:p>
        </w:tc>
        <w:tc>
          <w:tcPr>
            <w:tcW w:w="252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9640" w:type="dxa"/>
            <w:vAlign w:val="bottom"/>
            <w:gridSpan w:val="31"/>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7. MAJOR SHAREHOLDERS AND RELATED PARTY TRANSACTIONS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04"/>
        </w:trPr>
        <w:tc>
          <w:tcPr>
            <w:tcW w:w="360" w:type="dxa"/>
            <w:vAlign w:val="bottom"/>
            <w:tcBorders>
              <w:top w:val="single" w:sz="8" w:color="0000EE"/>
            </w:tcBorders>
          </w:tcPr>
          <w:p>
            <w:pPr>
              <w:spacing w:after="0"/>
              <w:rPr>
                <w:sz w:val="24"/>
                <w:szCs w:val="24"/>
                <w:color w:val="auto"/>
              </w:rPr>
            </w:pPr>
          </w:p>
        </w:tc>
        <w:tc>
          <w:tcPr>
            <w:tcW w:w="23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5"/>
              </w:rPr>
            </w:pPr>
            <w:hyperlink w:anchor="page113">
              <w:r>
                <w:rPr>
                  <w:rFonts w:ascii="Arial" w:cs="Arial" w:eastAsia="Arial" w:hAnsi="Arial"/>
                  <w:sz w:val="18"/>
                  <w:szCs w:val="18"/>
                  <w:color w:val="0000EE"/>
                  <w:w w:val="95"/>
                </w:rPr>
                <w:t>A. MAJOR SHAREHOLDERS</w:t>
              </w:r>
            </w:hyperlink>
          </w:p>
        </w:tc>
        <w:tc>
          <w:tcPr>
            <w:tcW w:w="3380" w:type="dxa"/>
            <w:vAlign w:val="bottom"/>
            <w:tcBorders>
              <w:top w:val="single" w:sz="8" w:color="0000EE"/>
            </w:tcBorders>
            <w:gridSpan w:val="13"/>
          </w:tcPr>
          <w:p>
            <w:pPr>
              <w:spacing w:after="0"/>
              <w:rPr>
                <w:sz w:val="24"/>
                <w:szCs w:val="24"/>
                <w:color w:val="auto"/>
              </w:rPr>
            </w:pPr>
          </w:p>
        </w:tc>
        <w:tc>
          <w:tcPr>
            <w:tcW w:w="3600" w:type="dxa"/>
            <w:vAlign w:val="bottom"/>
            <w:gridSpan w:val="5"/>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04"/>
        </w:trPr>
        <w:tc>
          <w:tcPr>
            <w:tcW w:w="360" w:type="dxa"/>
            <w:vAlign w:val="bottom"/>
          </w:tcPr>
          <w:p>
            <w:pPr>
              <w:spacing w:after="0"/>
              <w:rPr>
                <w:sz w:val="24"/>
                <w:szCs w:val="24"/>
                <w:color w:val="auto"/>
              </w:rPr>
            </w:pPr>
          </w:p>
        </w:tc>
        <w:tc>
          <w:tcPr>
            <w:tcW w:w="304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114">
              <w:r>
                <w:rPr>
                  <w:rFonts w:ascii="Arial" w:cs="Arial" w:eastAsia="Arial" w:hAnsi="Arial"/>
                  <w:sz w:val="18"/>
                  <w:szCs w:val="18"/>
                  <w:color w:val="0000EE"/>
                  <w:w w:val="95"/>
                </w:rPr>
                <w:t>B. RELATED PARTY TRANSACTIONS</w:t>
              </w:r>
            </w:hyperlink>
          </w:p>
        </w:tc>
        <w:tc>
          <w:tcPr>
            <w:tcW w:w="6240" w:type="dxa"/>
            <w:vAlign w:val="bottom"/>
            <w:gridSpan w:val="11"/>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 INTERESTS OF EXPERTS AND COUNSEL</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ITEM 8. FINANCIAL INFORMATION</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16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20">
              <w:r>
                <w:rPr>
                  <w:rFonts w:ascii="Arial" w:cs="Arial" w:eastAsia="Arial" w:hAnsi="Arial"/>
                  <w:sz w:val="18"/>
                  <w:szCs w:val="18"/>
                  <w:color w:val="0000EE"/>
                  <w:w w:val="97"/>
                </w:rPr>
                <w:t>A. CONSOLIDATED STATEMENTS AND OTHER FINANCIAL INFORMATION</w:t>
              </w:r>
            </w:hyperlink>
          </w:p>
        </w:tc>
        <w:tc>
          <w:tcPr>
            <w:tcW w:w="3120" w:type="dxa"/>
            <w:vAlign w:val="bottom"/>
            <w:gridSpan w:val="3"/>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4"/>
        </w:trPr>
        <w:tc>
          <w:tcPr>
            <w:tcW w:w="360" w:type="dxa"/>
            <w:vAlign w:val="bottom"/>
          </w:tcPr>
          <w:p>
            <w:pPr>
              <w:spacing w:after="0"/>
              <w:rPr>
                <w:sz w:val="24"/>
                <w:szCs w:val="24"/>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21">
              <w:r>
                <w:rPr>
                  <w:rFonts w:ascii="Arial" w:cs="Arial" w:eastAsia="Arial" w:hAnsi="Arial"/>
                  <w:sz w:val="18"/>
                  <w:szCs w:val="18"/>
                  <w:color w:val="0000EE"/>
                  <w:w w:val="97"/>
                </w:rPr>
                <w:t>B. SIGNIFICANT CHANGES</w:t>
              </w:r>
            </w:hyperlink>
          </w:p>
        </w:tc>
        <w:tc>
          <w:tcPr>
            <w:tcW w:w="7020" w:type="dxa"/>
            <w:vAlign w:val="bottom"/>
            <w:gridSpan w:val="20"/>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28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21">
              <w:r>
                <w:rPr>
                  <w:rFonts w:ascii="Arial" w:cs="Arial" w:eastAsia="Arial" w:hAnsi="Arial"/>
                  <w:sz w:val="18"/>
                  <w:szCs w:val="18"/>
                  <w:color w:val="0000EE"/>
                  <w:w w:val="97"/>
                </w:rPr>
                <w:t>ITEM 9. THE OFFER AND LISTING</w:t>
              </w:r>
            </w:hyperlink>
          </w:p>
        </w:tc>
        <w:tc>
          <w:tcPr>
            <w:tcW w:w="6800" w:type="dxa"/>
            <w:vAlign w:val="bottom"/>
            <w:gridSpan w:val="14"/>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360" w:type="dxa"/>
            <w:vAlign w:val="bottom"/>
          </w:tcPr>
          <w:p>
            <w:pPr>
              <w:spacing w:after="0"/>
              <w:rPr>
                <w:sz w:val="24"/>
                <w:szCs w:val="24"/>
                <w:color w:val="auto"/>
              </w:rPr>
            </w:pPr>
          </w:p>
        </w:tc>
        <w:tc>
          <w:tcPr>
            <w:tcW w:w="308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21">
              <w:r>
                <w:rPr>
                  <w:rFonts w:ascii="Arial" w:cs="Arial" w:eastAsia="Arial" w:hAnsi="Arial"/>
                  <w:sz w:val="18"/>
                  <w:szCs w:val="18"/>
                  <w:color w:val="0000EE"/>
                  <w:w w:val="97"/>
                </w:rPr>
                <w:t>A. OFFERING AND LISTING DETAILS</w:t>
              </w:r>
            </w:hyperlink>
          </w:p>
        </w:tc>
        <w:tc>
          <w:tcPr>
            <w:tcW w:w="6200" w:type="dxa"/>
            <w:vAlign w:val="bottom"/>
            <w:gridSpan w:val="9"/>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B. PLAN OF DISTRIBUTION</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36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122">
              <w:r>
                <w:rPr>
                  <w:rFonts w:ascii="Arial" w:cs="Arial" w:eastAsia="Arial" w:hAnsi="Arial"/>
                  <w:sz w:val="18"/>
                  <w:szCs w:val="18"/>
                  <w:color w:val="0000EE"/>
                  <w:w w:val="96"/>
                </w:rPr>
                <w:t>C. MARKETS</w:t>
              </w:r>
            </w:hyperlink>
          </w:p>
        </w:tc>
        <w:tc>
          <w:tcPr>
            <w:tcW w:w="1180" w:type="dxa"/>
            <w:vAlign w:val="bottom"/>
            <w:tcBorders>
              <w:top w:val="single" w:sz="8" w:color="0000EE"/>
            </w:tcBorders>
            <w:gridSpan w:val="7"/>
          </w:tcPr>
          <w:p>
            <w:pPr>
              <w:spacing w:after="0"/>
              <w:rPr>
                <w:sz w:val="24"/>
                <w:szCs w:val="24"/>
                <w:color w:val="auto"/>
              </w:rPr>
            </w:pPr>
          </w:p>
        </w:tc>
        <w:tc>
          <w:tcPr>
            <w:tcW w:w="7020" w:type="dxa"/>
            <w:vAlign w:val="bottom"/>
            <w:gridSpan w:val="20"/>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36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22">
              <w:r>
                <w:rPr>
                  <w:rFonts w:ascii="Arial" w:cs="Arial" w:eastAsia="Arial" w:hAnsi="Arial"/>
                  <w:sz w:val="18"/>
                  <w:szCs w:val="18"/>
                  <w:color w:val="0000EE"/>
                  <w:w w:val="96"/>
                </w:rPr>
                <w:t>D. SELLING SHAREHOLDERS</w:t>
              </w:r>
            </w:hyperlink>
          </w:p>
        </w:tc>
        <w:tc>
          <w:tcPr>
            <w:tcW w:w="6820" w:type="dxa"/>
            <w:vAlign w:val="bottom"/>
            <w:gridSpan w:val="15"/>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 DILUTION</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F. EXPENSES OF THE ISSUE</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ITEM 10. ADDITIONAL INFORMATION</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36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gridSpan w:val="18"/>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A. SHARE CAPITAL</w:t>
              </w:r>
            </w:hyperlink>
          </w:p>
        </w:tc>
        <w:tc>
          <w:tcPr>
            <w:tcW w:w="6480" w:type="dxa"/>
            <w:vAlign w:val="bottom"/>
            <w:gridSpan w:val="12"/>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B. MEMORANDUM AND ARTICLES OF ASSOCIATION</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36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C. MATERIAL CONTRACTS</w:t>
              </w:r>
            </w:hyperlink>
          </w:p>
        </w:tc>
        <w:tc>
          <w:tcPr>
            <w:tcW w:w="2160" w:type="dxa"/>
            <w:vAlign w:val="bottom"/>
            <w:tcBorders>
              <w:top w:val="single" w:sz="8" w:color="0000EE"/>
            </w:tcBorders>
            <w:gridSpan w:val="14"/>
          </w:tcPr>
          <w:p>
            <w:pPr>
              <w:spacing w:after="0"/>
              <w:rPr>
                <w:sz w:val="24"/>
                <w:szCs w:val="24"/>
                <w:color w:val="auto"/>
              </w:rPr>
            </w:pPr>
          </w:p>
        </w:tc>
        <w:tc>
          <w:tcPr>
            <w:tcW w:w="4880" w:type="dxa"/>
            <w:vAlign w:val="bottom"/>
            <w:gridSpan w:val="7"/>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D. EXCHANGE CONTROLS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3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E. TAXATION</w:t>
              </w:r>
            </w:hyperlink>
          </w:p>
        </w:tc>
        <w:tc>
          <w:tcPr>
            <w:tcW w:w="1100" w:type="dxa"/>
            <w:vAlign w:val="bottom"/>
            <w:tcBorders>
              <w:top w:val="single" w:sz="8" w:color="0000EE"/>
            </w:tcBorders>
            <w:gridSpan w:val="4"/>
          </w:tcPr>
          <w:p>
            <w:pPr>
              <w:spacing w:after="0"/>
              <w:rPr>
                <w:sz w:val="24"/>
                <w:szCs w:val="24"/>
                <w:color w:val="auto"/>
              </w:rPr>
            </w:pPr>
          </w:p>
        </w:tc>
        <w:tc>
          <w:tcPr>
            <w:tcW w:w="7080" w:type="dxa"/>
            <w:vAlign w:val="bottom"/>
            <w:gridSpan w:val="22"/>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F. DIVIDENDS AND PAYING AGENTS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360" w:type="dxa"/>
            <w:vAlign w:val="bottom"/>
          </w:tcPr>
          <w:p>
            <w:pPr>
              <w:spacing w:after="0"/>
              <w:rPr>
                <w:sz w:val="24"/>
                <w:szCs w:val="24"/>
                <w:color w:val="auto"/>
              </w:rPr>
            </w:pPr>
          </w:p>
        </w:tc>
        <w:tc>
          <w:tcPr>
            <w:tcW w:w="3040" w:type="dxa"/>
            <w:vAlign w:val="bottom"/>
            <w:tcBorders>
              <w:top w:val="single" w:sz="8" w:color="0000EE"/>
            </w:tcBorders>
            <w:gridSpan w:val="1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G. STATEMENT BY EXPERTS</w:t>
              </w:r>
            </w:hyperlink>
          </w:p>
        </w:tc>
        <w:tc>
          <w:tcPr>
            <w:tcW w:w="6240" w:type="dxa"/>
            <w:vAlign w:val="bottom"/>
            <w:gridSpan w:val="11"/>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4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37">
              <w:r>
                <w:rPr>
                  <w:rFonts w:ascii="Arial" w:cs="Arial" w:eastAsia="Arial" w:hAnsi="Arial"/>
                  <w:sz w:val="18"/>
                  <w:szCs w:val="18"/>
                  <w:color w:val="0000EE"/>
                  <w:w w:val="95"/>
                </w:rPr>
                <w:t>H. DOCUMENTS ON DISPLAY</w:t>
              </w:r>
            </w:hyperlink>
          </w:p>
        </w:tc>
        <w:tc>
          <w:tcPr>
            <w:tcW w:w="6840" w:type="dxa"/>
            <w:vAlign w:val="bottom"/>
            <w:gridSpan w:val="16"/>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I. SUBSIDIARY INFORMATION</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6900" w:type="dxa"/>
            <w:vAlign w:val="bottom"/>
            <w:tcBorders>
              <w:bottom w:val="single" w:sz="8" w:color="0000EE"/>
            </w:tcBorders>
            <w:gridSpan w:val="29"/>
          </w:tcPr>
          <w:p>
            <w:pPr>
              <w:spacing w:after="0"/>
              <w:rPr>
                <w:rFonts w:ascii="Arial" w:cs="Arial" w:eastAsia="Arial" w:hAnsi="Arial"/>
                <w:sz w:val="18"/>
                <w:szCs w:val="18"/>
                <w:color w:val="0000EE"/>
                <w:w w:val="97"/>
              </w:rPr>
            </w:pPr>
            <w:hyperlink w:anchor="page138">
              <w:r>
                <w:rPr>
                  <w:rFonts w:ascii="Arial" w:cs="Arial" w:eastAsia="Arial" w:hAnsi="Arial"/>
                  <w:sz w:val="18"/>
                  <w:szCs w:val="18"/>
                  <w:color w:val="0000EE"/>
                  <w:w w:val="97"/>
                </w:rPr>
                <w:t>ITEM 11. QUANTITATIVE AND QUALITATIVE DISCLOSURES ABOUT MARKET RISK</w:t>
              </w:r>
            </w:hyperlink>
          </w:p>
        </w:tc>
        <w:tc>
          <w:tcPr>
            <w:tcW w:w="2740" w:type="dxa"/>
            <w:vAlign w:val="bottom"/>
            <w:gridSpan w:val="2"/>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04"/>
        </w:trPr>
        <w:tc>
          <w:tcPr>
            <w:tcW w:w="624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ITEM 12. DESCRIPTION OF SECURITIES OTHER THAN EQUITY SECURITIES</w:t>
              </w:r>
            </w:hyperlink>
          </w:p>
        </w:tc>
        <w:tc>
          <w:tcPr>
            <w:tcW w:w="3400" w:type="dxa"/>
            <w:vAlign w:val="bottom"/>
            <w:gridSpan w:val="4"/>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360" w:type="dxa"/>
            <w:vAlign w:val="bottom"/>
          </w:tcPr>
          <w:p>
            <w:pPr>
              <w:spacing w:after="0"/>
              <w:rPr>
                <w:sz w:val="24"/>
                <w:szCs w:val="24"/>
                <w:color w:val="auto"/>
              </w:rPr>
            </w:pPr>
          </w:p>
        </w:tc>
        <w:tc>
          <w:tcPr>
            <w:tcW w:w="17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A. DEBT SECURITIES</w:t>
              </w:r>
            </w:hyperlink>
          </w:p>
        </w:tc>
        <w:tc>
          <w:tcPr>
            <w:tcW w:w="7520" w:type="dxa"/>
            <w:vAlign w:val="bottom"/>
            <w:gridSpan w:val="24"/>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139">
              <w:r>
                <w:rPr>
                  <w:rFonts w:ascii="Arial" w:cs="Arial" w:eastAsia="Arial" w:hAnsi="Arial"/>
                  <w:sz w:val="18"/>
                  <w:szCs w:val="18"/>
                  <w:color w:val="0000EE"/>
                  <w:w w:val="96"/>
                </w:rPr>
                <w:t>B. WARRANTS AND RIGHTS</w:t>
              </w:r>
            </w:hyperlink>
          </w:p>
        </w:tc>
        <w:tc>
          <w:tcPr>
            <w:tcW w:w="6920" w:type="dxa"/>
            <w:vAlign w:val="bottom"/>
            <w:gridSpan w:val="17"/>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360" w:type="dxa"/>
            <w:vAlign w:val="bottom"/>
          </w:tcPr>
          <w:p>
            <w:pPr>
              <w:spacing w:after="0"/>
              <w:rPr>
                <w:sz w:val="24"/>
                <w:szCs w:val="24"/>
                <w:color w:val="auto"/>
              </w:rPr>
            </w:pPr>
          </w:p>
        </w:tc>
        <w:tc>
          <w:tcPr>
            <w:tcW w:w="18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39">
              <w:r>
                <w:rPr>
                  <w:rFonts w:ascii="Arial" w:cs="Arial" w:eastAsia="Arial" w:hAnsi="Arial"/>
                  <w:sz w:val="18"/>
                  <w:szCs w:val="18"/>
                  <w:color w:val="0000EE"/>
                  <w:w w:val="93"/>
                </w:rPr>
                <w:t>C. OTHER SECURITIES</w:t>
              </w:r>
            </w:hyperlink>
          </w:p>
        </w:tc>
        <w:tc>
          <w:tcPr>
            <w:tcW w:w="7400" w:type="dxa"/>
            <w:vAlign w:val="bottom"/>
            <w:gridSpan w:val="23"/>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360" w:type="dxa"/>
            <w:vAlign w:val="bottom"/>
          </w:tcPr>
          <w:p>
            <w:pPr>
              <w:spacing w:after="0"/>
              <w:rPr>
                <w:sz w:val="24"/>
                <w:szCs w:val="24"/>
                <w:color w:val="auto"/>
              </w:rPr>
            </w:pPr>
          </w:p>
        </w:tc>
        <w:tc>
          <w:tcPr>
            <w:tcW w:w="306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D. AMERICAN DEPOSITARY SHARES</w:t>
              </w:r>
            </w:hyperlink>
          </w:p>
        </w:tc>
        <w:tc>
          <w:tcPr>
            <w:tcW w:w="6220" w:type="dxa"/>
            <w:vAlign w:val="bottom"/>
            <w:gridSpan w:val="10"/>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PART II</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141">
              <w:r>
                <w:rPr>
                  <w:rFonts w:ascii="Arial" w:cs="Arial" w:eastAsia="Arial" w:hAnsi="Arial"/>
                  <w:sz w:val="18"/>
                  <w:szCs w:val="18"/>
                  <w:color w:val="0000EE"/>
                  <w:w w:val="97"/>
                </w:rPr>
                <w:t>ITEM 13. DEFAULTS, DIVIDEND ARREARAGES AND DELINQUENCIES</w:t>
              </w:r>
            </w:hyperlink>
          </w:p>
        </w:tc>
        <w:tc>
          <w:tcPr>
            <w:tcW w:w="3860" w:type="dxa"/>
            <w:vAlign w:val="bottom"/>
            <w:gridSpan w:val="6"/>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ITEM 14. MATERIAL MODIFICATIONS TO THE RIGHTS OF SECURITY HOLDERS AND USE OF PROCEEDS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85"/>
        </w:trPr>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860" w:type="dxa"/>
            <w:vAlign w:val="bottom"/>
            <w:tcBorders>
              <w:top w:val="single" w:sz="8" w:color="0000EE"/>
            </w:tcBorders>
            <w:gridSpan w:val="6"/>
          </w:tcPr>
          <w:p>
            <w:pPr>
              <w:ind w:left="700"/>
              <w:spacing w:after="0"/>
              <w:rPr>
                <w:sz w:val="20"/>
                <w:szCs w:val="20"/>
                <w:color w:val="auto"/>
              </w:rPr>
            </w:pPr>
            <w:r>
              <w:rPr>
                <w:rFonts w:ascii="Arial" w:cs="Arial" w:eastAsia="Arial" w:hAnsi="Arial"/>
                <w:sz w:val="18"/>
                <w:szCs w:val="18"/>
                <w:color w:val="auto"/>
              </w:rPr>
              <w:t>ii</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33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ITEM 15. CONTROLS AND PROCEDURES</w:t>
              </w:r>
            </w:hyperlink>
          </w:p>
        </w:tc>
        <w:tc>
          <w:tcPr>
            <w:tcW w:w="5980" w:type="dxa"/>
            <w:vAlign w:val="bottom"/>
            <w:gridSpan w:val="7"/>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43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42">
              <w:r>
                <w:rPr>
                  <w:rFonts w:ascii="Arial" w:cs="Arial" w:eastAsia="Arial" w:hAnsi="Arial"/>
                  <w:sz w:val="18"/>
                  <w:szCs w:val="18"/>
                  <w:color w:val="0000EE"/>
                  <w:w w:val="98"/>
                </w:rPr>
                <w:t>ITEM 16A. AUDIT COMMITTEE FINANCIAL EXPERT</w:t>
              </w:r>
            </w:hyperlink>
          </w:p>
        </w:tc>
        <w:tc>
          <w:tcPr>
            <w:tcW w:w="5040" w:type="dxa"/>
            <w:vAlign w:val="bottom"/>
            <w:gridSpan w:val="6"/>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04"/>
        </w:trPr>
        <w:tc>
          <w:tcPr>
            <w:tcW w:w="23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42">
              <w:r>
                <w:rPr>
                  <w:rFonts w:ascii="Arial" w:cs="Arial" w:eastAsia="Arial" w:hAnsi="Arial"/>
                  <w:sz w:val="18"/>
                  <w:szCs w:val="18"/>
                  <w:color w:val="0000EE"/>
                  <w:w w:val="94"/>
                </w:rPr>
                <w:t>ITEM 16B. CODE OF ETHICS</w:t>
              </w:r>
            </w:hyperlink>
          </w:p>
        </w:tc>
        <w:tc>
          <w:tcPr>
            <w:tcW w:w="7020" w:type="dxa"/>
            <w:vAlign w:val="bottom"/>
            <w:gridSpan w:val="11"/>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ITEM 16C. PRINCIPAL ACCOUNTANT FEES AND SERVICES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ITEM 16D. EXEMPTIONS FROM THE LISTING STANDARDS FOR AUDIT COMMITTEES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ITEM 16E. PURCHASES OF EQUITY SECURITIES BY THE ISSUER AND AFFILIATED PURCHASERS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8020" w:type="dxa"/>
            <w:vAlign w:val="bottom"/>
            <w:tcBorders>
              <w:top w:val="single" w:sz="8" w:color="0000EE"/>
            </w:tcBorders>
            <w:gridSpan w:val="14"/>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ITEM 16F. CHANGE IN REGISTRANT’S CERTIFYING ACCOUNTANT</w:t>
              </w:r>
            </w:hyperlink>
          </w:p>
        </w:tc>
        <w:tc>
          <w:tcPr>
            <w:tcW w:w="1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5520" w:type="dxa"/>
            <w:vAlign w:val="bottom"/>
            <w:tcBorders>
              <w:top w:val="single" w:sz="8" w:color="0000EE"/>
            </w:tcBorders>
            <w:gridSpan w:val="12"/>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16G. CORPORATE GOVERNANCE</w:t>
              </w:r>
            </w:hyperlink>
          </w:p>
        </w:tc>
        <w:tc>
          <w:tcPr>
            <w:tcW w:w="3820" w:type="dxa"/>
            <w:vAlign w:val="bottom"/>
            <w:gridSpan w:val="3"/>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16H. MINE SAFETY DISCLOSURE</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04"/>
        </w:trPr>
        <w:tc>
          <w:tcPr>
            <w:tcW w:w="3220" w:type="dxa"/>
            <w:vAlign w:val="bottom"/>
            <w:tcBorders>
              <w:top w:val="single" w:sz="8" w:color="0000EE"/>
            </w:tcBorders>
            <w:gridSpan w:val="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PART III</w:t>
              </w:r>
            </w:hyperlink>
          </w:p>
        </w:tc>
        <w:tc>
          <w:tcPr>
            <w:tcW w:w="6120" w:type="dxa"/>
            <w:vAlign w:val="bottom"/>
            <w:gridSpan w:val="8"/>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44">
              <w:r>
                <w:rPr>
                  <w:rFonts w:ascii="Arial" w:cs="Arial" w:eastAsia="Arial" w:hAnsi="Arial"/>
                  <w:sz w:val="18"/>
                  <w:szCs w:val="18"/>
                  <w:color w:val="0000EE"/>
                  <w:w w:val="97"/>
                </w:rPr>
                <w:t>ITEM 17. FINANCIAL STATEMENTS</w:t>
              </w:r>
            </w:hyperlink>
          </w:p>
        </w:tc>
        <w:tc>
          <w:tcPr>
            <w:tcW w:w="6420" w:type="dxa"/>
            <w:vAlign w:val="bottom"/>
            <w:gridSpan w:val="9"/>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18. FINANCIAL STATEMENTS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04"/>
        </w:trPr>
        <w:tc>
          <w:tcPr>
            <w:tcW w:w="1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145">
              <w:r>
                <w:rPr>
                  <w:rFonts w:ascii="Arial" w:cs="Arial" w:eastAsia="Arial" w:hAnsi="Arial"/>
                  <w:sz w:val="18"/>
                  <w:szCs w:val="18"/>
                  <w:color w:val="0000EE"/>
                  <w:w w:val="97"/>
                </w:rPr>
                <w:t>ITEM 19. EXHIBITS</w:t>
              </w:r>
            </w:hyperlink>
          </w:p>
        </w:tc>
        <w:tc>
          <w:tcPr>
            <w:tcW w:w="1320" w:type="dxa"/>
            <w:vAlign w:val="bottom"/>
            <w:tcBorders>
              <w:top w:val="single" w:sz="8" w:color="0000EE"/>
            </w:tcBorders>
            <w:gridSpan w:val="2"/>
          </w:tcPr>
          <w:p>
            <w:pPr>
              <w:spacing w:after="0"/>
              <w:rPr>
                <w:sz w:val="24"/>
                <w:szCs w:val="24"/>
                <w:color w:val="auto"/>
              </w:rPr>
            </w:pPr>
          </w:p>
        </w:tc>
        <w:tc>
          <w:tcPr>
            <w:tcW w:w="6440" w:type="dxa"/>
            <w:vAlign w:val="bottom"/>
            <w:gridSpan w:val="10"/>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SIGNATURES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INDEX TO CONSOLIDATED FINANCIAL STATEMENTS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500" w:type="dxa"/>
            <w:vAlign w:val="bottom"/>
            <w:gridSpan w:val="4"/>
          </w:tcPr>
          <w:p>
            <w:pPr>
              <w:ind w:left="600"/>
              <w:spacing w:after="0"/>
              <w:rPr>
                <w:sz w:val="20"/>
                <w:szCs w:val="20"/>
                <w:color w:val="auto"/>
              </w:rPr>
            </w:pPr>
            <w:r>
              <w:rPr>
                <w:rFonts w:ascii="Arial" w:cs="Arial" w:eastAsia="Arial" w:hAnsi="Arial"/>
                <w:sz w:val="18"/>
                <w:szCs w:val="18"/>
                <w:color w:val="auto"/>
              </w:rPr>
              <w:t>iii</w:t>
            </w:r>
          </w:p>
        </w:tc>
        <w:tc>
          <w:tcPr>
            <w:tcW w:w="16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31" w:lineRule="exact"/>
        <w:rPr>
          <w:sz w:val="20"/>
          <w:szCs w:val="20"/>
          <w:color w:val="auto"/>
        </w:rPr>
      </w:pPr>
    </w:p>
    <w:p>
      <w:pPr>
        <w:ind w:left="1060" w:right="60" w:hanging="424"/>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Notes” refers to the 8.50% senior notes due 2020 in an aggregate principal amount of US$825,000,000 issued by Studio City Finance on November 26, 2012 and as to which no amount remains outstanding following the redemption of all remaining outstanding amounts in March 2019;</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Notes Tender Offer” refers to the conditional tender offer by Studio City Finance to purchase for cash any and all of the outstanding 2012 Notes commenced in January 2019 and which expired in February 2019;</w:t>
      </w:r>
    </w:p>
    <w:p>
      <w:pPr>
        <w:spacing w:after="0" w:line="75" w:lineRule="exact"/>
        <w:rPr>
          <w:rFonts w:ascii="Arial" w:cs="Arial" w:eastAsia="Arial" w:hAnsi="Arial"/>
          <w:sz w:val="18"/>
          <w:szCs w:val="18"/>
          <w:color w:val="auto"/>
        </w:rPr>
      </w:pPr>
    </w:p>
    <w:p>
      <w:pPr>
        <w:ind w:left="1060" w:right="140" w:hanging="424"/>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“2013 Project Facility” refers to the senior secured project facility, dated January 28, 2013 and as amended from time to time, entered into between, among others, Studio City Company, as borrower, and certain subsidiaries as guarantors, comprising a term loan facility of HK$10,080,460,000 (approximately US$1,300 million) and revolving credit facility of HK$775,420,000 (approximately US$100 million), and which has been amended, restated and extended by the 2016 Credit Facility;</w:t>
      </w:r>
    </w:p>
    <w:p>
      <w:pPr>
        <w:spacing w:after="0" w:line="92"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“2016 Credit Facility” refers to the facility agreement dated November 23, 2016 with, among others, Bank of China Limited, Macau Branch, to amend, restate and extend the 2013 Project Facility to provide for senior secured credit facilities in an aggregate amount of HK$234.0 million, which consist of a HK$233.0 million (approximately US$29.8 million) revolving credit facility and a HK$1.0 million (approximately US$128,000) term loan facility;</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“2016 Notes” refers to the (i) 5.875% senior secured notes due 2019 in an aggregate principal amount of US$350,000,000, or the 2016</w:t>
      </w:r>
    </w:p>
    <w:p>
      <w:pPr>
        <w:spacing w:after="0" w:line="34" w:lineRule="exact"/>
        <w:rPr>
          <w:rFonts w:ascii="Arial" w:cs="Arial" w:eastAsia="Arial" w:hAnsi="Arial"/>
          <w:sz w:val="17"/>
          <w:szCs w:val="17"/>
          <w:color w:val="auto"/>
        </w:rPr>
      </w:pPr>
    </w:p>
    <w:p>
      <w:pPr>
        <w:ind w:left="1060" w:right="320"/>
        <w:spacing w:after="0" w:line="261" w:lineRule="auto"/>
        <w:rPr>
          <w:rFonts w:ascii="Arial" w:cs="Arial" w:eastAsia="Arial" w:hAnsi="Arial"/>
          <w:sz w:val="17"/>
          <w:szCs w:val="17"/>
          <w:color w:val="auto"/>
        </w:rPr>
      </w:pPr>
      <w:r>
        <w:rPr>
          <w:rFonts w:ascii="Arial" w:cs="Arial" w:eastAsia="Arial" w:hAnsi="Arial"/>
          <w:sz w:val="18"/>
          <w:szCs w:val="18"/>
          <w:color w:val="auto"/>
        </w:rPr>
        <w:t>5.875% Notes, and (ii) 7.250% senior secured notes due 2021 in an aggregate principal amount of US$850,000,000, or the 2016 7.250% Notes, both issued by Studio City Company on November 30, 2016;</w:t>
      </w:r>
    </w:p>
    <w:p>
      <w:pPr>
        <w:spacing w:after="0" w:line="89" w:lineRule="exact"/>
        <w:rPr>
          <w:rFonts w:ascii="Arial" w:cs="Arial" w:eastAsia="Arial" w:hAnsi="Arial"/>
          <w:sz w:val="17"/>
          <w:szCs w:val="17"/>
          <w:color w:val="auto"/>
        </w:rPr>
      </w:pPr>
    </w:p>
    <w:p>
      <w:pPr>
        <w:ind w:left="1060" w:right="6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“2019 Notes” refers to the 7.25% senior notes due 2024 in an aggregate principal amount of US$600,000,000 issued by Studio City Finance on February 11, 2019;</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four Class A ordinary shares;</w:t>
      </w:r>
    </w:p>
    <w:p>
      <w:pPr>
        <w:spacing w:after="0" w:line="130" w:lineRule="exact"/>
        <w:rPr>
          <w:rFonts w:ascii="Arial" w:cs="Arial" w:eastAsia="Arial" w:hAnsi="Arial"/>
          <w:sz w:val="18"/>
          <w:szCs w:val="18"/>
          <w:color w:val="auto"/>
        </w:rPr>
      </w:pPr>
    </w:p>
    <w:p>
      <w:pPr>
        <w:ind w:left="1060" w:right="70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“Altrira Macau” refers to an integrated casino and hotel development located in Taipa, Macau, that caters to Asian VIP rolling chip customer;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“Articles” refers to our amended and restated memorandum and articles of association adopted on October 15,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and “board of directors” refer to the board of directors of our Company or a duly constituted committee thereof;</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“China” and “PRC” refer to the People’s Republic of China, excluding Hong Kong, Macau and Taiwan from a geographical point of view;</w:t>
      </w:r>
    </w:p>
    <w:p>
      <w:pPr>
        <w:spacing w:after="0" w:line="153" w:lineRule="exact"/>
        <w:rPr>
          <w:rFonts w:ascii="Arial" w:cs="Arial" w:eastAsia="Arial" w:hAnsi="Arial"/>
          <w:sz w:val="16"/>
          <w:szCs w:val="16"/>
          <w:color w:val="auto"/>
        </w:rPr>
      </w:pPr>
    </w:p>
    <w:p>
      <w:pPr>
        <w:ind w:left="1060" w:right="40" w:hanging="424"/>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“City of Dreams” refers to a casino, hotel, retail and entertainment integrated resort located in Cotai, Macau, which currently features casino areas and four luxury hotels, including a collection of retail brands, a wet stage performance theater and other entertainment venues;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“Cotai” refers to an area of reclaimed land located between the islands of Taipa and Coloane in Macau;</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“Hong Kong” refers to the Hong Kong Special Administrative Region of the PRC;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“Macau” refers to the Macau Special Administrative Region of the PRC;</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2"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“Master Service Providers” refer to certain of our affiliates with whom we entered into a master service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83" w:lineRule="exact"/>
        <w:rPr>
          <w:rFonts w:ascii="Arial" w:cs="Arial" w:eastAsia="Arial" w:hAnsi="Arial"/>
          <w:sz w:val="17"/>
          <w:szCs w:val="17"/>
          <w:color w:val="auto"/>
        </w:rPr>
      </w:pPr>
    </w:p>
    <w:p>
      <w:pPr>
        <w:ind w:left="1060" w:right="3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“MCO Cotai” refers to MCO Cotai Investments Limited (formerly known as MCE Cotai Investments Limited), a subsidiary of Melco Resorts and a shareholder of our Company;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International” refers to Melco International Development Limited, a Hong Kong-listed company;</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Resorts” refers to Melco Resorts &amp; Entertainment Limited, a Cayman Islands company and with its American depositary shares listed on the NASDAQ Global Select Market;</w:t>
      </w:r>
    </w:p>
    <w:p>
      <w:pPr>
        <w:spacing w:after="0" w:line="75" w:lineRule="exact"/>
        <w:rPr>
          <w:rFonts w:ascii="Arial" w:cs="Arial" w:eastAsia="Arial" w:hAnsi="Arial"/>
          <w:sz w:val="18"/>
          <w:szCs w:val="18"/>
          <w:color w:val="auto"/>
        </w:rPr>
      </w:pPr>
    </w:p>
    <w:p>
      <w:pPr>
        <w:ind w:left="1060" w:right="220" w:hanging="424"/>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Resorts Macau” or the “Gaming Operator” refers to Melco Resorts (Macau) Limited, a company incorporated under the laws of Macau that is a subsidiary of Melco Resorts, the holder of a subconcession under the Subconcession Contract and the operator of Studio City Casino. The equity interest of the Gaming Operator is 90% owned by Melco Resorts and 10% owned by Mr. Lawrence Ho, the managing director of the Gaming Operator;</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“MOP” or “Macau Pataca(s)” refers to the legal currency of Macau;</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“MSC Cotai” refers to our subsidiary, MSC Cotai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Cotai” refers to New Cotai, LLC, a Delaware limited liability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Cotai Holdings” refers to New Cotai Holdings, LLC, a Delaware limited liability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“Renminbi” and “RMB” refer to the legal currency of China;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entertainment, retail and gaming resort in Cotai,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Casino” refers to the gaming areas being operated within Studio City;</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Company” refers to our subsidiary, Studio City Company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a Macau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Entertainment” refers to our subsidiary, Studio City Entertainment Limited, a Macau company;</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Finance” refers to our subsidiary, Studio City Finance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Hotels” refers to our subsidiary, Studio City Hotels Limited, a Macau company;</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Investments” refers to our subsidiary, Studio City Investments Limited, which is a company incorporated in the British Virgin Islands with limited liability;</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“Subconcession Contract” refers to the subconcession contract executed between the Gaming Operator and Wynn Resorts (Macau) S.A., or Wynn Resorts Macau, on September 8, 2006, that provides for the terms and conditions of the subconcession granted to the Gaming Operator by Wynn Resorts Macau;</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24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GAAP” refers to the U.S. generally accepted accounting principles; and</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 “our,” “our Company” and “the Company” refer to Studio City International Holdings Limited and, as the context requires, its predecessor entities and its consolidated subsidiaries.</w:t>
      </w:r>
    </w:p>
    <w:p>
      <w:pPr>
        <w:spacing w:after="0" w:line="17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2016, 2017 and 2018 and as of December 31, 2017 and 2018.</w:t>
      </w:r>
    </w:p>
    <w:p>
      <w:pPr>
        <w:spacing w:after="0" w:line="170"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“average daily rate” or “ADR”</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“electronic gaming table”</w:t>
      </w:r>
    </w:p>
    <w:p>
      <w:pPr>
        <w:spacing w:after="0" w:line="333" w:lineRule="exact"/>
        <w:rPr>
          <w:sz w:val="20"/>
          <w:szCs w:val="20"/>
          <w:color w:val="auto"/>
        </w:rPr>
      </w:pPr>
    </w:p>
    <w:p>
      <w:pPr>
        <w:ind w:left="200" w:right="500"/>
        <w:spacing w:after="0" w:line="453" w:lineRule="auto"/>
        <w:rPr>
          <w:sz w:val="20"/>
          <w:szCs w:val="20"/>
          <w:color w:val="auto"/>
        </w:rPr>
      </w:pPr>
      <w:r>
        <w:rPr>
          <w:rFonts w:ascii="Arial" w:cs="Arial" w:eastAsia="Arial" w:hAnsi="Arial"/>
          <w:sz w:val="16"/>
          <w:szCs w:val="16"/>
          <w:color w:val="auto"/>
        </w:rPr>
        <w:t>“gaming machine” “gaming machine handle” “gaming machine win rate”</w:t>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“marker”</w:t>
      </w:r>
    </w:p>
    <w:p>
      <w:pPr>
        <w:spacing w:after="0" w:line="117" w:lineRule="exact"/>
        <w:rPr>
          <w:sz w:val="20"/>
          <w:szCs w:val="20"/>
          <w:color w:val="auto"/>
        </w:rPr>
      </w:pPr>
    </w:p>
    <w:p>
      <w:pPr>
        <w:ind w:left="200" w:right="760"/>
        <w:spacing w:after="0" w:line="483" w:lineRule="auto"/>
        <w:rPr>
          <w:sz w:val="20"/>
          <w:szCs w:val="20"/>
          <w:color w:val="auto"/>
        </w:rPr>
      </w:pPr>
      <w:r>
        <w:rPr>
          <w:rFonts w:ascii="Arial" w:cs="Arial" w:eastAsia="Arial" w:hAnsi="Arial"/>
          <w:sz w:val="16"/>
          <w:szCs w:val="16"/>
          <w:color w:val="auto"/>
        </w:rPr>
        <w:t>“mass market patron” “mass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-659130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occupied, including complimentary rooms, i.e., average price of occupied rooms per day</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jc w:val="both"/>
        <w:ind w:right="700"/>
        <w:spacing w:after="0" w:line="286" w:lineRule="auto"/>
        <w:rPr>
          <w:sz w:val="20"/>
          <w:szCs w:val="20"/>
          <w:color w:val="auto"/>
        </w:rPr>
      </w:pPr>
      <w:r>
        <w:rPr>
          <w:rFonts w:ascii="Arial" w:cs="Arial" w:eastAsia="Arial" w:hAnsi="Arial"/>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casino employee who takes and pays out wagers or otherwise oversees a gaming table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cash to purchase gaming chips and promotional vouchers that is deposited in a gaming table’s drop box, plus gaming chips purchased at the casino cage</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box or container that serves as a repository for cash, chip purchase vouchers, credit markers and forms used to record movements in the chip inventory on each table game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with an electronic or computerized wagering and payment system that allow players to place bets from multiple-player gaming seats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p>
      <w:pPr>
        <w:spacing w:after="0" w:line="3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 or subconcessionaire</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resort which provides customers with a combination of hotel accommodations, casinos or gaming areas, retail and dining facilities, MICE space, entertainment venues and spas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player sourced by gaming promoters to play in the VIP gaming rooms or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evidence of indebtedness by a player to the casino or gaming 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customer who plays in the mass market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consists of both table games and gaming machines played by mass market players primarily for cash stakes</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680" w:space="720"/>
            <w:col w:w="78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“mass market table games drop”</w:t>
      </w:r>
    </w:p>
    <w:p>
      <w:pPr>
        <w:spacing w:after="0" w:line="117" w:lineRule="exact"/>
        <w:rPr>
          <w:sz w:val="20"/>
          <w:szCs w:val="20"/>
          <w:color w:val="auto"/>
        </w:rPr>
      </w:pPr>
    </w:p>
    <w:p>
      <w:pPr>
        <w:ind w:left="380" w:right="360" w:hanging="179"/>
        <w:spacing w:after="0" w:line="277" w:lineRule="auto"/>
        <w:rPr>
          <w:sz w:val="20"/>
          <w:szCs w:val="20"/>
          <w:color w:val="auto"/>
        </w:rPr>
      </w:pPr>
      <w:r>
        <w:rPr>
          <w:rFonts w:ascii="Arial" w:cs="Arial" w:eastAsia="Arial" w:hAnsi="Arial"/>
          <w:sz w:val="18"/>
          <w:szCs w:val="18"/>
          <w:color w:val="auto"/>
        </w:rPr>
        <w:t>“mass market table games hold percentage”</w:t>
      </w:r>
    </w:p>
    <w:p>
      <w:pPr>
        <w:spacing w:after="0" w:line="200" w:lineRule="exact"/>
        <w:rPr>
          <w:sz w:val="20"/>
          <w:szCs w:val="20"/>
          <w:color w:val="auto"/>
        </w:rPr>
      </w:pPr>
    </w:p>
    <w:p>
      <w:pPr>
        <w:spacing w:after="0" w:line="295" w:lineRule="exact"/>
        <w:rPr>
          <w:sz w:val="20"/>
          <w:szCs w:val="20"/>
          <w:color w:val="auto"/>
        </w:rPr>
      </w:pPr>
    </w:p>
    <w:p>
      <w:pPr>
        <w:ind w:left="200"/>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left="200" w:right="86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380" w:right="300" w:hanging="179"/>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62" w:lineRule="exact"/>
        <w:rPr>
          <w:sz w:val="20"/>
          <w:szCs w:val="20"/>
          <w:color w:val="auto"/>
        </w:rPr>
      </w:pPr>
    </w:p>
    <w:p>
      <w:pPr>
        <w:ind w:left="200" w:right="60"/>
        <w:spacing w:after="0" w:line="402" w:lineRule="auto"/>
        <w:rPr>
          <w:sz w:val="20"/>
          <w:szCs w:val="20"/>
          <w:color w:val="auto"/>
        </w:rPr>
      </w:pPr>
      <w:r>
        <w:rPr>
          <w:rFonts w:ascii="Arial" w:cs="Arial" w:eastAsia="Arial" w:hAnsi="Arial"/>
          <w:sz w:val="18"/>
          <w:szCs w:val="18"/>
          <w:color w:val="auto"/>
        </w:rPr>
        <w:t>“rolling chip” or “VIP rolling chip” “rolling chip patron”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-730885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 rolling chip player who is a direct customer of the concessionaires or subconcessionaires and is attracted to the casino through direct marketing efforts and relationships with the gaming operator</w:t>
      </w:r>
    </w:p>
    <w:p>
      <w:pPr>
        <w:spacing w:after="0" w:line="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available, thereby representing a combination of hotel average daily room rates and occupancy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player who primarily plays on a rolling chip or VIP rolling chip tables and typically plays for higher stakes than mass market gaming patrons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 agreement for the operation of games of fortune and chance in casinos between the entity holding the concession, or the concessionaire, and a</w:t>
      </w:r>
    </w:p>
    <w:p>
      <w:pPr>
        <w:spacing w:after="0" w:line="10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820" w:space="580"/>
            <w:col w:w="7740"/>
          </w:cols>
          <w:pgMar w:left="240" w:top="459"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48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w w:val="89"/>
              </w:rPr>
              <w:t>subconcessionaire, pursuant to which the subconcessionaire is authorized to operate games of fortune and</w:t>
            </w: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chance in casinos in Macau</w:t>
            </w:r>
          </w:p>
        </w:tc>
      </w:tr>
      <w:tr>
        <w:trPr>
          <w:trHeight w:val="310"/>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“table games win”</w:t>
            </w:r>
          </w:p>
        </w:tc>
        <w:tc>
          <w:tcPr>
            <w:tcW w:w="8480" w:type="dxa"/>
            <w:vAlign w:val="bottom"/>
          </w:tcPr>
          <w:p>
            <w:pPr>
              <w:ind w:left="860"/>
              <w:spacing w:after="0"/>
              <w:rPr>
                <w:sz w:val="20"/>
                <w:szCs w:val="20"/>
                <w:color w:val="auto"/>
              </w:rPr>
            </w:pPr>
            <w:r>
              <w:rPr>
                <w:rFonts w:ascii="Arial" w:cs="Arial" w:eastAsia="Arial" w:hAnsi="Arial"/>
                <w:sz w:val="18"/>
                <w:szCs w:val="18"/>
                <w:color w:val="auto"/>
                <w:w w:val="93"/>
              </w:rPr>
              <w:t>the amount of wagers won net of wagers lost on gaming tables that is retained and recorded as casino</w:t>
            </w: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revenues</w:t>
            </w:r>
          </w:p>
        </w:tc>
      </w:tr>
      <w:tr>
        <w:trPr>
          <w:trHeight w:val="310"/>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“VIP gaming room”</w:t>
            </w:r>
          </w:p>
        </w:tc>
        <w:tc>
          <w:tcPr>
            <w:tcW w:w="8480" w:type="dxa"/>
            <w:vAlign w:val="bottom"/>
          </w:tcPr>
          <w:p>
            <w:pPr>
              <w:ind w:left="860"/>
              <w:spacing w:after="0"/>
              <w:rPr>
                <w:sz w:val="20"/>
                <w:szCs w:val="20"/>
                <w:color w:val="auto"/>
              </w:rPr>
            </w:pPr>
            <w:r>
              <w:rPr>
                <w:rFonts w:ascii="Arial" w:cs="Arial" w:eastAsia="Arial" w:hAnsi="Arial"/>
                <w:sz w:val="18"/>
                <w:szCs w:val="18"/>
                <w:color w:val="auto"/>
                <w:w w:val="98"/>
              </w:rPr>
              <w:t>gaming rooms or areas that have restricted access to rolling chip patrons and typically offer more</w:t>
            </w: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personalized service than the general mass market gaming areas</w:t>
            </w:r>
          </w:p>
        </w:tc>
      </w:tr>
      <w:tr>
        <w:trPr>
          <w:trHeight w:val="365"/>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80" w:type="dxa"/>
            <w:vAlign w:val="bottom"/>
          </w:tcPr>
          <w:p>
            <w:pPr>
              <w:ind w:left="3120"/>
              <w:spacing w:after="0"/>
              <w:rPr>
                <w:sz w:val="20"/>
                <w:szCs w:val="20"/>
                <w:color w:val="auto"/>
              </w:rPr>
            </w:pPr>
            <w:r>
              <w:rPr>
                <w:rFonts w:ascii="Arial" w:cs="Arial" w:eastAsia="Arial" w:hAnsi="Arial"/>
                <w:sz w:val="18"/>
                <w:szCs w:val="18"/>
                <w:color w:val="auto"/>
              </w:rPr>
              <w:t>6</w:t>
            </w:r>
          </w:p>
        </w:tc>
      </w:tr>
    </w:tbl>
    <w:p>
      <w:pPr>
        <w:ind w:left="3120"/>
        <w:spacing w:after="0"/>
        <w:rPr>
          <w:sz w:val="20"/>
          <w:szCs w:val="20"/>
          <w:color w:val="auto"/>
        </w:rPr>
        <w:sectPr>
          <w:pgSz w:w="11900" w:h="16838" w:orient="portrait"/>
          <w:cols w:equalWidth="0" w:num="1">
            <w:col w:w="11020"/>
          </w:cols>
          <w:pgMar w:left="240" w:top="446" w:right="6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881"/>
        <w:spacing w:after="0" w:line="288" w:lineRule="auto"/>
        <w:rPr>
          <w:sz w:val="20"/>
          <w:szCs w:val="20"/>
          <w:color w:val="auto"/>
        </w:rPr>
      </w:pPr>
      <w:r>
        <w:rPr>
          <w:rFonts w:ascii="Arial" w:cs="Arial" w:eastAsia="Arial" w:hAnsi="Arial"/>
          <w:sz w:val="16"/>
          <w:szCs w:val="16"/>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high-growth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69"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60"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growth of the gaming and leisure market in Macau and visitation in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operate Studio City;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all required governmental approval, authorizations and licenses for the remaining project;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adequate financing for the remaining project;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the remaining project in accordance with our business plan, completion time and within budget;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conditions and covenants under the existing and future indebtedness;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 estimates for the remaining project, including projected variances from budgeted costs;</w:t>
      </w:r>
    </w:p>
    <w:p>
      <w:pPr>
        <w:spacing w:after="0" w:line="130" w:lineRule="exact"/>
        <w:rPr>
          <w:rFonts w:ascii="Arial" w:cs="Arial" w:eastAsia="Arial" w:hAnsi="Arial"/>
          <w:sz w:val="18"/>
          <w:szCs w:val="18"/>
          <w:color w:val="auto"/>
        </w:rPr>
      </w:pPr>
    </w:p>
    <w:p>
      <w:pPr>
        <w:ind w:left="1060" w:right="8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definitive contracts with contractors with sufficient skill, financial strength and relevant experience for the construction of the remaining project;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and credit market volatility;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if and when required;</w:t>
      </w:r>
    </w:p>
    <w:p>
      <w:pPr>
        <w:spacing w:after="0" w:line="130" w:lineRule="exact"/>
        <w:rPr>
          <w:rFonts w:ascii="Arial" w:cs="Arial" w:eastAsia="Arial" w:hAnsi="Arial"/>
          <w:sz w:val="18"/>
          <w:szCs w:val="18"/>
          <w:color w:val="auto"/>
        </w:rPr>
      </w:pPr>
    </w:p>
    <w:p>
      <w:pPr>
        <w:ind w:left="1060" w:right="20" w:hanging="424"/>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casino hotel and resort projects in Macau and elsewhere in Asia, including the three concessionaires (SJM, Wynn Resorts Macau and Galaxy) and subconcessionaires (including MGM Grand Paradise, S.A., or MGM Grand, and Venetian Macau Limited, or Venetian Macau) in Macau;</w:t>
      </w:r>
    </w:p>
    <w:p>
      <w:pPr>
        <w:spacing w:after="0" w:line="86"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policies and regulation relating to the gaming industry, including gaming license approvals and the legalization of gaming in other jurisdictions, and leisure market in Macau;</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and increase our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offer new services and attractions;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growth in, market size of and trends in the market in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and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of and trends of competition in the gaming and leisure market in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Macau;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225"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color w:val="auto"/>
        </w:rPr>
        <w:t>The following selected consolidated statement of operations data for the years ended December 31, 2018, 2017 and 2016 and balance sheet data as of December 31, 2018 and 2017 have been derived from our audited consolidated financial statements included elsewhere in this annual report beginning on page F-1. The Company adopted a new revenue recognition standard issued by the Financial Accounting Standards Board (the “New Revenue Standard”) on January 1, 2018 under the modified retrospective method. Results for the periods beginning on or after January 1, 2018 are presented under the New Revenue Standard, while prior year amounts are not adjusted and continue to be reported in accordance with the previous basis.</w:t>
      </w:r>
    </w:p>
    <w:p>
      <w:pPr>
        <w:spacing w:after="0" w:line="193" w:lineRule="exact"/>
        <w:rPr>
          <w:sz w:val="20"/>
          <w:szCs w:val="20"/>
          <w:color w:val="auto"/>
        </w:rPr>
      </w:pPr>
    </w:p>
    <w:p>
      <w:pPr>
        <w:ind w:left="200" w:right="80" w:firstLine="881"/>
        <w:spacing w:after="0" w:line="293" w:lineRule="auto"/>
        <w:rPr>
          <w:sz w:val="20"/>
          <w:szCs w:val="20"/>
          <w:color w:val="auto"/>
        </w:rPr>
      </w:pPr>
      <w:r>
        <w:rPr>
          <w:rFonts w:ascii="Arial" w:cs="Arial" w:eastAsia="Arial" w:hAnsi="Arial"/>
          <w:sz w:val="16"/>
          <w:szCs w:val="16"/>
          <w:color w:val="auto"/>
        </w:rPr>
        <w:t>The selected consolidated statement of operations data for the years ended December 31, 2015 and 2014 and the balance sheet data as of December 31, 2016 and 2015 have been derived from our consolidated financial statements not included in this annual report. The consolidated balance sheet data as of December 31, 2014 was not included in this section because Studio City did not commence operations until October 2015.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588"/>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(2)</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08"/>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2"/>
                <w:szCs w:val="12"/>
                <w:b w:val="1"/>
                <w:bCs w:val="1"/>
                <w:color w:val="auto"/>
              </w:rPr>
              <w:t>(1)</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of US$, except for share and per share data)</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Total revenues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571,213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539,814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424,531</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69,334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1,767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(433,351)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(459,364)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(479,297)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(258,611)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(30,152)</w:t>
            </w: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137,862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80,450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(54,766)</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(189,277)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(28,385)</w:t>
            </w: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(20,745)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(76,437)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(242,789)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(232,560)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(66,036)</w:t>
            </w: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Net income attributable to participation interest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(853)</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 Studio City International Holdings Limited</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(21,598)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(76,437)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(242,789)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(232,560)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(66,036)</w:t>
            </w:r>
          </w:p>
        </w:tc>
      </w:tr>
      <w:tr>
        <w:trPr>
          <w:trHeight w:val="130"/>
        </w:trPr>
        <w:tc>
          <w:tcPr>
            <w:tcW w:w="20" w:type="dxa"/>
            <w:vAlign w:val="bottom"/>
          </w:tcPr>
          <w:p>
            <w:pPr>
              <w:spacing w:after="0"/>
              <w:rPr>
                <w:sz w:val="11"/>
                <w:szCs w:val="11"/>
                <w:color w:val="auto"/>
              </w:rPr>
            </w:pPr>
          </w:p>
        </w:tc>
        <w:tc>
          <w:tcPr>
            <w:tcW w:w="5220" w:type="dxa"/>
            <w:vAlign w:val="bottom"/>
          </w:tcPr>
          <w:p>
            <w:pPr>
              <w:spacing w:after="0" w:line="130" w:lineRule="exact"/>
              <w:rPr>
                <w:sz w:val="20"/>
                <w:szCs w:val="20"/>
                <w:color w:val="auto"/>
              </w:rPr>
            </w:pPr>
            <w:r>
              <w:rPr>
                <w:rFonts w:ascii="Arial" w:cs="Arial" w:eastAsia="Arial" w:hAnsi="Arial"/>
                <w:sz w:val="14"/>
                <w:szCs w:val="14"/>
                <w:color w:val="auto"/>
                <w:w w:val="98"/>
              </w:rPr>
              <w:t>Net loss attributable to Studio City International Holdings Limited per Class A ordinary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5220" w:type="dxa"/>
            <w:vAlign w:val="bottom"/>
          </w:tcPr>
          <w:p>
            <w:pPr>
              <w:ind w:left="120"/>
              <w:spacing w:after="0"/>
              <w:rPr>
                <w:sz w:val="20"/>
                <w:szCs w:val="20"/>
                <w:color w:val="auto"/>
              </w:rPr>
            </w:pPr>
            <w:r>
              <w:rPr>
                <w:rFonts w:ascii="Arial" w:cs="Arial" w:eastAsia="Arial" w:hAnsi="Arial"/>
                <w:sz w:val="14"/>
                <w:szCs w:val="14"/>
                <w:color w:val="auto"/>
              </w:rPr>
              <w:t xml:space="preserve">share </w:t>
            </w:r>
            <w:r>
              <w:rPr>
                <w:rFonts w:ascii="Arial" w:cs="Arial" w:eastAsia="Arial" w:hAnsi="Arial"/>
                <w:sz w:val="12"/>
                <w:szCs w:val="12"/>
                <w:color w:val="auto"/>
              </w:rPr>
              <w:t>(4)</w:t>
            </w: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(0.113)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(0.422)</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(1.339)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(1.283)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(0.419)</w:t>
            </w: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 xml:space="preserve">Net loss attributable to Studio City International Holdings Limited per ADS </w:t>
            </w:r>
            <w:r>
              <w:rPr>
                <w:rFonts w:ascii="Arial" w:cs="Arial" w:eastAsia="Arial" w:hAnsi="Arial"/>
                <w:sz w:val="12"/>
                <w:szCs w:val="12"/>
                <w:color w:val="auto"/>
              </w:rPr>
              <w:t>(3)(4)</w:t>
            </w: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(0.451)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(1.687)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(5.357)</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(5.132)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(1.676)</w:t>
            </w:r>
          </w:p>
        </w:tc>
      </w:tr>
      <w:tr>
        <w:trPr>
          <w:trHeight w:val="130"/>
        </w:trPr>
        <w:tc>
          <w:tcPr>
            <w:tcW w:w="20" w:type="dxa"/>
            <w:vAlign w:val="bottom"/>
          </w:tcPr>
          <w:p>
            <w:pPr>
              <w:spacing w:after="0"/>
              <w:rPr>
                <w:sz w:val="11"/>
                <w:szCs w:val="11"/>
                <w:color w:val="auto"/>
              </w:rPr>
            </w:pPr>
          </w:p>
        </w:tc>
        <w:tc>
          <w:tcPr>
            <w:tcW w:w="5220" w:type="dxa"/>
            <w:vAlign w:val="bottom"/>
          </w:tcPr>
          <w:p>
            <w:pPr>
              <w:spacing w:after="0" w:line="130" w:lineRule="exact"/>
              <w:rPr>
                <w:sz w:val="20"/>
                <w:szCs w:val="20"/>
                <w:color w:val="auto"/>
              </w:rPr>
            </w:pPr>
            <w:r>
              <w:rPr>
                <w:rFonts w:ascii="Arial" w:cs="Arial" w:eastAsia="Arial" w:hAnsi="Arial"/>
                <w:sz w:val="14"/>
                <w:szCs w:val="14"/>
                <w:color w:val="auto"/>
                <w:w w:val="97"/>
              </w:rPr>
              <w:t>Weighted average Class A ordinary shares outstanding used in net loss attributable to</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5220" w:type="dxa"/>
            <w:vAlign w:val="bottom"/>
          </w:tcPr>
          <w:p>
            <w:pPr>
              <w:ind w:left="120"/>
              <w:spacing w:after="0"/>
              <w:rPr>
                <w:sz w:val="20"/>
                <w:szCs w:val="20"/>
                <w:color w:val="auto"/>
              </w:rPr>
            </w:pPr>
            <w:r>
              <w:rPr>
                <w:rFonts w:ascii="Arial" w:cs="Arial" w:eastAsia="Arial" w:hAnsi="Arial"/>
                <w:sz w:val="14"/>
                <w:szCs w:val="14"/>
                <w:color w:val="auto"/>
                <w:w w:val="98"/>
              </w:rPr>
              <w:t xml:space="preserve">Studio City International Holdings Limited per Class A ordinary share calculation </w:t>
            </w:r>
            <w:r>
              <w:rPr>
                <w:rFonts w:ascii="Arial" w:cs="Arial" w:eastAsia="Arial" w:hAnsi="Arial"/>
                <w:sz w:val="12"/>
                <w:szCs w:val="12"/>
                <w:color w:val="auto"/>
                <w:w w:val="98"/>
              </w:rPr>
              <w:t>(4)</w:t>
            </w:r>
            <w:r>
              <w:rPr>
                <w:rFonts w:ascii="Arial" w:cs="Arial" w:eastAsia="Arial" w:hAnsi="Arial"/>
                <w:sz w:val="14"/>
                <w:szCs w:val="14"/>
                <w:color w:val="auto"/>
                <w:w w:val="98"/>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191,533,455</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9"/>
              </w:rPr>
              <w:t>181,279,400</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9"/>
              </w:rPr>
              <w:t>181,279,400</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2"/>
              </w:rPr>
              <w:t>181,279,400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157,590,200</w:t>
            </w:r>
          </w:p>
        </w:tc>
        <w:tc>
          <w:tcPr>
            <w:tcW w:w="100" w:type="dxa"/>
            <w:vAlign w:val="bottom"/>
            <w:shd w:val="clear" w:color="auto" w:fill="CCEEFF"/>
          </w:tcPr>
          <w:p>
            <w:pPr>
              <w:spacing w:after="0"/>
              <w:rPr>
                <w:sz w:val="12"/>
                <w:szCs w:val="12"/>
                <w:color w:val="auto"/>
              </w:rPr>
            </w:pPr>
          </w:p>
        </w:tc>
      </w:tr>
    </w:tbl>
    <w:p>
      <w:pPr>
        <w:spacing w:after="0" w:line="229"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commenced operations in October 2015.</w:t>
      </w:r>
    </w:p>
    <w:p>
      <w:pPr>
        <w:spacing w:after="0" w:line="130" w:lineRule="exact"/>
        <w:rPr>
          <w:rFonts w:ascii="Arial" w:cs="Arial" w:eastAsia="Arial" w:hAnsi="Arial"/>
          <w:sz w:val="18"/>
          <w:szCs w:val="18"/>
          <w:color w:val="auto"/>
        </w:rPr>
      </w:pPr>
    </w:p>
    <w:p>
      <w:pPr>
        <w:ind w:left="640" w:right="80" w:hanging="436"/>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adopted the New Revenue Standard on January 1, 2018 under the modified retrospective method. Amounts for the periods beginning on or after January 1, 2018 are presented under the New Revenue Standard, while prior year amounts are not adjusted and continue to be reported in accordance with the previous basis. There was no material impact on our results of operations for the year ended December 31, 2018 as a result of the adoption of the New Revenue Standard.</w:t>
      </w:r>
    </w:p>
    <w:p>
      <w:pPr>
        <w:spacing w:after="0" w:line="92"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ADS represents four Class A ordinary shares.</w:t>
      </w:r>
    </w:p>
    <w:p>
      <w:pPr>
        <w:spacing w:after="0" w:line="130" w:lineRule="exact"/>
        <w:rPr>
          <w:rFonts w:ascii="Arial" w:cs="Arial" w:eastAsia="Arial" w:hAnsi="Arial"/>
          <w:sz w:val="18"/>
          <w:szCs w:val="18"/>
          <w:color w:val="auto"/>
        </w:rPr>
      </w:pPr>
    </w:p>
    <w:p>
      <w:pPr>
        <w:ind w:left="640" w:right="60" w:hanging="436"/>
        <w:spacing w:after="0" w:line="25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connection with the Company’s initial public offering on October 22, 2018, the Company underwent a series of organizational transactions. For the calculation of net loss attributable to Studio City International Holdings Limited per Class A ordinary share for periods prior to the initial public offering, including the year ended December 31, 2018 for which a portion of the period preceded initial public offering, the Company has retrospectively presented net loss attributable to Studio City International Holdings Limited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91" w:lineRule="auto"/>
        <w:rPr>
          <w:sz w:val="20"/>
          <w:szCs w:val="20"/>
          <w:color w:val="auto"/>
        </w:rPr>
      </w:pPr>
      <w:r>
        <w:rPr>
          <w:rFonts w:ascii="Arial" w:cs="Arial" w:eastAsia="Arial" w:hAnsi="Arial"/>
          <w:sz w:val="16"/>
          <w:szCs w:val="16"/>
          <w:color w:val="auto"/>
        </w:rPr>
        <w:t>per Class A ordinary share and the share capital as if the organizational transactions had occurred at the beginning of the earliest period presented. Such retrospective presentation reflects the redesignation of the then issued 18,127.94 ordinary shares of US$1 par value each into 181,279,400 Class A ordinary shares of US$0.0001 par value each for the years ended December 31, 2017, 2016 and 2015; and the redesignation of the weighted average number of ordinary shares outstanding of 15,759.02 ordinary shares of US$1 par value each used in net loss per share calculation into 157,590,200 Class A ordinary shares of US$0.0001 par value each for the year ended December 31, 2014. For periods prior to the initial public offering date, the retrospective presentation does not include the exchange of 72,511,760 Class A ordinary shares into 72,511,760 Class B ordinary shares of US$0.0001 par value each and the issuance of 115,000,000 Class A ordinary shares in the initial public offering.</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980" w:type="dxa"/>
            <w:vAlign w:val="bottom"/>
            <w:tcBorders>
              <w:bottom w:val="single" w:sz="8" w:color="auto"/>
            </w:tcBorders>
            <w:gridSpan w:val="2"/>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3"/>
          </w:tcPr>
          <w:p>
            <w:pPr>
              <w:jc w:val="right"/>
              <w:ind w:right="150"/>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Sheets Data:</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459,041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460,927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397,218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661,074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Bank deposits with original maturities over three months</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9,884</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301,096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Amounts due from affiliated companies</w:t>
            </w:r>
          </w:p>
        </w:tc>
        <w:tc>
          <w:tcPr>
            <w:tcW w:w="840" w:type="dxa"/>
            <w:vAlign w:val="bottom"/>
          </w:tcPr>
          <w:p>
            <w:pPr>
              <w:jc w:val="right"/>
              <w:spacing w:after="0"/>
              <w:rPr>
                <w:sz w:val="20"/>
                <w:szCs w:val="20"/>
                <w:color w:val="auto"/>
              </w:rPr>
            </w:pPr>
            <w:r>
              <w:rPr>
                <w:rFonts w:ascii="Arial" w:cs="Arial" w:eastAsia="Arial" w:hAnsi="Arial"/>
                <w:sz w:val="18"/>
                <w:szCs w:val="18"/>
                <w:color w:val="auto"/>
              </w:rPr>
              <w:t>42,339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37,826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2,343,297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2,466,640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2,624,781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2,731,509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2,175,858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2,280,116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2,419,410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2,518,578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 use right,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2,802,338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2,927,567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3,021,999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3,392,583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438,972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178,070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193,439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Current portion of long-term debts, net</w:t>
            </w:r>
          </w:p>
        </w:tc>
        <w:tc>
          <w:tcPr>
            <w:tcW w:w="840" w:type="dxa"/>
            <w:vAlign w:val="bottom"/>
          </w:tcPr>
          <w:p>
            <w:pPr>
              <w:jc w:val="right"/>
              <w:spacing w:after="0"/>
              <w:rPr>
                <w:sz w:val="20"/>
                <w:szCs w:val="20"/>
                <w:color w:val="auto"/>
              </w:rPr>
            </w:pPr>
            <w:r>
              <w:rPr>
                <w:rFonts w:ascii="Arial" w:cs="Arial" w:eastAsia="Arial" w:hAnsi="Arial"/>
                <w:sz w:val="18"/>
                <w:szCs w:val="18"/>
                <w:color w:val="auto"/>
              </w:rPr>
              <w:t>347,740</w:t>
            </w:r>
          </w:p>
        </w:tc>
        <w:tc>
          <w:tcPr>
            <w:tcW w:w="16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affiliated companies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Long-term debt, net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1,261,904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1,999,354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1,992,123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1,982,573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1,705,937</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2,187,524</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2,205,519</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2,333,236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shareholders’ equity </w:t>
            </w:r>
            <w:r>
              <w:rPr>
                <w:rFonts w:ascii="Arial" w:cs="Arial" w:eastAsia="Arial" w:hAnsi="Arial"/>
                <w:sz w:val="15"/>
                <w:szCs w:val="15"/>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740,043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816,480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1,059,347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Participation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252,929</w:t>
            </w:r>
          </w:p>
        </w:tc>
        <w:tc>
          <w:tcPr>
            <w:tcW w:w="16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shareholders’ equity and participation interest </w:t>
            </w:r>
            <w:r>
              <w:rPr>
                <w:rFonts w:ascii="Arial" w:cs="Arial" w:eastAsia="Arial" w:hAnsi="Arial"/>
                <w:sz w:val="15"/>
                <w:szCs w:val="15"/>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1,096,401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740,043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816,480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1,059,347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Total liabilities, shareholders’ equity and participation interest </w:t>
            </w:r>
            <w:r>
              <w:rPr>
                <w:rFonts w:ascii="Arial" w:cs="Arial" w:eastAsia="Arial" w:hAnsi="Arial"/>
                <w:sz w:val="15"/>
                <w:szCs w:val="15"/>
                <w:color w:val="auto"/>
              </w:rPr>
              <w:t>(1)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2,802,338</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2,927,567</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3,021,999</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300" w:hanging="436"/>
        <w:spacing w:after="0" w:line="30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adopted the New Revenue Standard on January 1, 2018 under the modified retrospective method and recognized an increase to the opening balance of accumulated losses of US$3.3 million due to the cumulative effect of adopting the New Revenue Standard.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200" w:right="180" w:firstLine="881"/>
        <w:spacing w:after="0" w:line="259" w:lineRule="auto"/>
        <w:rPr>
          <w:sz w:val="20"/>
          <w:szCs w:val="20"/>
          <w:color w:val="auto"/>
        </w:rPr>
      </w:pPr>
      <w:r>
        <w:rPr>
          <w:rFonts w:ascii="Arial" w:cs="Arial" w:eastAsia="Arial" w:hAnsi="Arial"/>
          <w:sz w:val="18"/>
          <w:szCs w:val="18"/>
          <w:color w:val="auto"/>
        </w:rPr>
        <w:t>Our reporting currency is the U.S. Dollar and functional currencies are the U.S. Dollar, Hong Kong Dollar and Macau Pataca. This annual report on Form 20-F contains translations of certain Macau Pataca, Hong Kong Dollar and Renminbi amounts into U.S. Dollars for the convenience of the reader. Unless otherwise stated, all translations of Hong Kong Dollar and Renminbi amounts into U.S. Dollars in this annual report on Form 20-F were made at the rates of HK$7.8315 to US$1.00 and RMB6.8785 to US$1.00, respectively.</w:t>
      </w:r>
    </w:p>
    <w:p>
      <w:pPr>
        <w:spacing w:after="0" w:line="187"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established. However, in May 2005, the Hong Kong Monetary Authority broadened the trading band from the original rate of HK$7.80 per U.S. dollar to a rate range of HK$7.75 to HK$7.85 per U.S. dollar. The Hong Kong government has stated its intention to maintain the link at that rate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7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noon buying rate on December 31, 2018 in New York City for cable transfers in H.K. dollars per U.S. dollars, provided in the H.10 weekly statistical release of the Federal Reserve Board of the United States as certified for customs purposes by the Federal Reserve Bank of New York, was HK$7.8305 to US$1.00. On March 22, 2019, the noon buying rate was HK$7.8466 to US$1.00. We make no representation that any H.K. dollar or U.S. dollar amounts could have been, or could be, converted into U.S. dollar or H.K. dollar, as the case may be, at any particular rate, the rates stated below, or at all.</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information concerning the noon buying rate for H.K. dollars for the period indicated.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Noon Buying Rate</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20" w:type="dxa"/>
            <w:vAlign w:val="bottom"/>
            <w:gridSpan w:val="3"/>
            <w:vMerge w:val="continue"/>
          </w:tcPr>
          <w:p>
            <w:pPr>
              <w:spacing w:after="0"/>
              <w:rPr>
                <w:sz w:val="11"/>
                <w:szCs w:val="11"/>
                <w:color w:val="auto"/>
              </w:rPr>
            </w:pPr>
          </w:p>
        </w:tc>
        <w:tc>
          <w:tcPr>
            <w:tcW w:w="17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Period End</w:t>
            </w: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12"/>
                <w:szCs w:val="12"/>
                <w:b w:val="1"/>
                <w:bCs w:val="1"/>
                <w:color w:val="auto"/>
              </w:rPr>
              <w:t>(1)</w:t>
            </w:r>
          </w:p>
        </w:tc>
        <w:tc>
          <w:tcPr>
            <w:tcW w:w="440" w:type="dxa"/>
            <w:vAlign w:val="bottom"/>
          </w:tcPr>
          <w:p>
            <w:pPr>
              <w:spacing w:after="0"/>
              <w:rPr>
                <w:sz w:val="11"/>
                <w:szCs w:val="11"/>
                <w:color w:val="auto"/>
              </w:rPr>
            </w:pPr>
          </w:p>
        </w:tc>
        <w:tc>
          <w:tcPr>
            <w:tcW w:w="56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1"/>
                <w:szCs w:val="11"/>
                <w:color w:val="auto"/>
              </w:rPr>
            </w:pPr>
          </w:p>
        </w:tc>
        <w:tc>
          <w:tcPr>
            <w:tcW w:w="56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59"/>
              <w:spacing w:after="0" w:line="149" w:lineRule="exact"/>
              <w:rPr>
                <w:sz w:val="20"/>
                <w:szCs w:val="20"/>
                <w:color w:val="auto"/>
              </w:rPr>
            </w:pPr>
            <w:r>
              <w:rPr>
                <w:rFonts w:ascii="Arial" w:cs="Arial" w:eastAsia="Arial" w:hAnsi="Arial"/>
                <w:sz w:val="14"/>
                <w:szCs w:val="14"/>
                <w:b w:val="1"/>
                <w:bCs w:val="1"/>
                <w:i w:val="1"/>
                <w:iCs w:val="1"/>
                <w:color w:val="auto"/>
              </w:rPr>
              <w:t>(H.K. dollar per US$1.00)</w:t>
            </w: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 (through March 22, 2019)</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7.8496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7.8477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7.8496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7.8305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7.8194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7.8321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7.8393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7.8375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7.8433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2018</w:t>
            </w:r>
          </w:p>
        </w:tc>
        <w:tc>
          <w:tcPr>
            <w:tcW w:w="408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7.8305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7.8376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7.8499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2017</w:t>
            </w:r>
          </w:p>
        </w:tc>
        <w:tc>
          <w:tcPr>
            <w:tcW w:w="40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2016</w:t>
            </w:r>
          </w:p>
        </w:tc>
        <w:tc>
          <w:tcPr>
            <w:tcW w:w="408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7.7534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7.7620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7.8270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2015</w:t>
            </w:r>
          </w:p>
        </w:tc>
        <w:tc>
          <w:tcPr>
            <w:tcW w:w="40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2014</w:t>
            </w:r>
          </w:p>
        </w:tc>
        <w:tc>
          <w:tcPr>
            <w:tcW w:w="4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7.7531</w:t>
            </w:r>
          </w:p>
        </w:tc>
        <w:tc>
          <w:tcPr>
            <w:tcW w:w="4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7.7545</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7.7669</w:t>
            </w:r>
          </w:p>
        </w:tc>
        <w:tc>
          <w:tcPr>
            <w:tcW w:w="4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7.7495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right="320" w:hanging="436"/>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averages are calculated from month-end rates. Monthly averages are calculated using the average of the daily rates during the relevant period.</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 March 22, 2019, the noon buying rate for Renminbi was RMB6.7162 to US$1.00.</w:t>
      </w:r>
    </w:p>
    <w:p>
      <w:pPr>
        <w:spacing w:after="0" w:line="225"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Pataca is pegged to the H.K. dollar at a rate of HK$1.00 = MOP1.03. All translations from Patacas to U.S. dollars in this annual report on Form 20-F were made at the exchange rate of MOP8.0665 = US$1.00. The Federal Reserve Bank of New York does not certify for customs purposes a noon buying rate for cable transfers in Patacas.</w:t>
      </w:r>
    </w:p>
    <w:p>
      <w:pPr>
        <w:spacing w:after="0" w:line="181"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We make no representation that the Macau Pataca, Hong Kong Dollar, Renminbi or U.S. Dollar amounts referred to in this annual report on Form 20-F could have been, or could be, converted into U.S. Dollars, Macau Patacas, Renminbi and Hong Kong Dollars, as the case may be, at any particular rate or at all.</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business, financial condition and results of operations can be affected materially and adversely by any of the following risk factors.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have a short operating history compared to many of our competitors and are therefore subject to significant risks and uncertainties. Our short operating history may not be indicative of our future operating results and prospects.</w:t>
      </w:r>
    </w:p>
    <w:p>
      <w:pPr>
        <w:spacing w:after="0" w:line="62"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We have a short business operating history compared to many of our competitors, and there is limited historical information available about us upon which you can base your evaluation of our business and prospects. Studio City commenced operations in October 2015.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 or the performance of our remaining project once it commences operations.</w:t>
      </w:r>
    </w:p>
    <w:p>
      <w:pPr>
        <w:spacing w:after="0" w:line="158" w:lineRule="exact"/>
        <w:rPr>
          <w:sz w:val="20"/>
          <w:szCs w:val="20"/>
          <w:color w:val="auto"/>
        </w:rPr>
      </w:pPr>
    </w:p>
    <w:p>
      <w:pPr>
        <w:jc w:val="both"/>
        <w:ind w:left="200" w:right="240" w:firstLine="881"/>
        <w:spacing w:after="0" w:line="264" w:lineRule="auto"/>
        <w:rPr>
          <w:sz w:val="20"/>
          <w:szCs w:val="20"/>
          <w:color w:val="auto"/>
        </w:rPr>
      </w:pPr>
      <w:r>
        <w:rPr>
          <w:rFonts w:ascii="Arial" w:cs="Arial" w:eastAsia="Arial" w:hAnsi="Arial"/>
          <w:sz w:val="18"/>
          <w:szCs w:val="18"/>
          <w:color w:val="auto"/>
        </w:rPr>
        <w:t>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w:t>
      </w:r>
    </w:p>
    <w:p>
      <w:pPr>
        <w:spacing w:after="0" w:line="87"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economic uncertainties;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competitive market conditions;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covenants under our existing and future debt issuances and credit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changing financial requirements and raise additional capital, as required;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the development of our remaining project for Studio City on time and in compliance with the conditions under the relevant land concession contract;</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the necessary authorizations, approvals and licenses from the relevant governmental authorities for the development of our remaining project for Studio City;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customers and qualified staff;</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our business as well as regulatory compliance as a public company;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assure compliance with, and respond to changes in, the regulatory environment and government policies.</w:t>
      </w:r>
    </w:p>
    <w:p>
      <w:pPr>
        <w:spacing w:after="0" w:line="225" w:lineRule="exact"/>
        <w:rPr>
          <w:sz w:val="20"/>
          <w:szCs w:val="20"/>
          <w:color w:val="auto"/>
        </w:rPr>
      </w:pPr>
    </w:p>
    <w:p>
      <w:pPr>
        <w:ind w:left="200" w:right="360" w:firstLine="881"/>
        <w:spacing w:after="0" w:line="264" w:lineRule="auto"/>
        <w:rPr>
          <w:sz w:val="20"/>
          <w:szCs w:val="20"/>
          <w:color w:val="auto"/>
        </w:rPr>
      </w:pPr>
      <w:r>
        <w:rPr>
          <w:rFonts w:ascii="Arial" w:cs="Arial" w:eastAsia="Arial" w:hAnsi="Arial"/>
          <w:sz w:val="18"/>
          <w:szCs w:val="18"/>
          <w:color w:val="auto"/>
        </w:rPr>
        <w:t>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 and cash flows.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b w:val="1"/>
          <w:bCs w:val="1"/>
          <w:i w:val="1"/>
          <w:iCs w:val="1"/>
          <w:color w:val="auto"/>
        </w:rPr>
        <w:t>Because neither we nor any of our subsidiaries hold a gaming license in Macau, Studio City Casino is operated by the Gaming Operator through the Services and Right to Use Arrangements under the Gaming Operator’s subconcession. Any failure by the Gaming Operator to comply with its obligations as a subconcessionaire or any failure by the Gaming Operator or us to comply with its or our respective obligations under the Services and Right to Use Arrangements, including any regulatory requirements thereunder, may have a material adverse effect on the operation of Studio City Casino.</w:t>
      </w:r>
    </w:p>
    <w:p>
      <w:pPr>
        <w:spacing w:after="0" w:line="80" w:lineRule="exact"/>
        <w:rPr>
          <w:sz w:val="20"/>
          <w:szCs w:val="20"/>
          <w:color w:val="auto"/>
        </w:rPr>
      </w:pPr>
    </w:p>
    <w:p>
      <w:pPr>
        <w:ind w:left="200" w:right="180" w:firstLine="881"/>
        <w:spacing w:after="0" w:line="302" w:lineRule="auto"/>
        <w:rPr>
          <w:sz w:val="20"/>
          <w:szCs w:val="20"/>
          <w:color w:val="auto"/>
        </w:rPr>
      </w:pPr>
      <w:r>
        <w:rPr>
          <w:rFonts w:ascii="Arial" w:cs="Arial" w:eastAsia="Arial" w:hAnsi="Arial"/>
          <w:sz w:val="16"/>
          <w:szCs w:val="16"/>
          <w:color w:val="auto"/>
        </w:rPr>
        <w:t>The Gaming Operator and our subsidiary, Studio City Entertainment, have entered into the Services and Right to Use Arrangements under which the Gaming Operator has agreed to operate Studio City Casino since we do not hold a gaming license in Macau. Under such arrangements, the Gaming Operator deducts gaming tax and the costs incurred in connection with its operations from Studio City Casino’s gross gaming revenues. We receive the residual amount and recognize such residual amount as revenues from provision of gaming related services.</w:t>
      </w:r>
    </w:p>
    <w:p>
      <w:pPr>
        <w:spacing w:after="0" w:line="154" w:lineRule="exact"/>
        <w:rPr>
          <w:sz w:val="20"/>
          <w:szCs w:val="20"/>
          <w:color w:val="auto"/>
        </w:rPr>
      </w:pPr>
    </w:p>
    <w:p>
      <w:pPr>
        <w:ind w:left="200" w:right="20" w:firstLine="881"/>
        <w:spacing w:after="0" w:line="286" w:lineRule="auto"/>
        <w:rPr>
          <w:sz w:val="20"/>
          <w:szCs w:val="20"/>
          <w:color w:val="auto"/>
        </w:rPr>
      </w:pPr>
      <w:r>
        <w:rPr>
          <w:rFonts w:ascii="Arial" w:cs="Arial" w:eastAsia="Arial" w:hAnsi="Arial"/>
          <w:sz w:val="16"/>
          <w:szCs w:val="16"/>
          <w:color w:val="auto"/>
        </w:rPr>
        <w:t>The Services and Right to Use Arrangements were approved by the Macau government and are subject to the satisfaction of certain conditions imposed by the Macau government on the Gaming Operator and us in connection with granting its approval. Such conditions include but are not limited to Studio City Entertainment being subject to Macau government supervision applicable to gaming concessionaires and subconcessionaires. As a substantial part of our revenues and cash flows are generated from the Gaming Operator’s operation of Studio City Casino, any failure by the Gaming Operator to comply with any statutory, contractual or any other duties imposed on it as a subconcessionaire or any failure by the Gaming Operator or us to comply with its or our respective obligations under the Services and Right to Use Arrangements, including but not limited to any conditions imposed by the Macau government in granting its approval for our entry into the Services and Right to Use Arrangements, may result in the approval for the Services and Right to Use Arrangements being revoked by the Macau government and consequently an inability to receive any amounts thereunder or provide any gaming facilities at Studio City and thus have a material adverse effect on the operation of Studio City Casino including its suspension or cessation, and may cause the suspension or termination of the Gaming Operator’s subconcession. In 2008, the Macau government announced that services agreements with respect to gaming activities would no longer be approved or authorized. As a result, if the Services and Right to Use Arrangements or the Gaming Operator’s subconcession is terminated, we may not be able to enter into a new services agreement with another concessionaire or subconcessionaire. Even if such moratorium is lifted, we may not be able to enter into an arrangement for the operation of Studio City Casino with another concessionaire or subconcessionaire on terms that are as comparable or acceptable to us or at all. For details of the terms of the Services and Right to Use Arrangements, see “Item 7. Major Shareholders and Related Party Transactions — B. Related Party Transactions.”</w:t>
      </w:r>
    </w:p>
    <w:p>
      <w:pPr>
        <w:spacing w:after="0" w:line="169" w:lineRule="exact"/>
        <w:rPr>
          <w:sz w:val="20"/>
          <w:szCs w:val="20"/>
          <w:color w:val="auto"/>
        </w:rPr>
      </w:pPr>
    </w:p>
    <w:p>
      <w:pPr>
        <w:ind w:left="200" w:right="100" w:firstLine="881"/>
        <w:spacing w:after="0" w:line="342" w:lineRule="auto"/>
        <w:rPr>
          <w:sz w:val="20"/>
          <w:szCs w:val="20"/>
          <w:color w:val="auto"/>
        </w:rPr>
      </w:pPr>
      <w:r>
        <w:rPr>
          <w:rFonts w:ascii="Arial" w:cs="Arial" w:eastAsia="Arial" w:hAnsi="Arial"/>
          <w:sz w:val="16"/>
          <w:szCs w:val="16"/>
          <w:color w:val="auto"/>
        </w:rPr>
        <w:t>Furthermore, the Gaming Operator has exclusive access to the customer database of the gaming operations at Studio City Casino and in the event of termination of the arrangement under the Services and Right to Use Arrangements, we may not be able to gain access to such database.</w:t>
      </w:r>
    </w:p>
    <w:p>
      <w:pPr>
        <w:spacing w:after="0" w:line="124" w:lineRule="exact"/>
        <w:rPr>
          <w:sz w:val="20"/>
          <w:szCs w:val="20"/>
          <w:color w:val="auto"/>
        </w:rPr>
      </w:pPr>
    </w:p>
    <w:p>
      <w:pPr>
        <w:ind w:left="200" w:right="180" w:firstLine="881"/>
        <w:spacing w:after="0" w:line="257" w:lineRule="auto"/>
        <w:rPr>
          <w:sz w:val="20"/>
          <w:szCs w:val="20"/>
          <w:color w:val="auto"/>
        </w:rPr>
      </w:pPr>
      <w:r>
        <w:rPr>
          <w:rFonts w:ascii="Arial" w:cs="Arial" w:eastAsia="Arial" w:hAnsi="Arial"/>
          <w:sz w:val="18"/>
          <w:szCs w:val="18"/>
          <w:color w:val="auto"/>
        </w:rPr>
        <w:t>Any material dispute with the Gaming Operator or any failure by the Gaming Operator to comply with its obligations under its subconcession or by the Gaming Operator or us to comply with its or our respective obligations under the Services and Right to Use Arrangements, including but not limited to any conditions imposed by the Macau government in granting its approval for our entry into the Services and Right to Use Arrangements, may have a material adverse effect on the operation of Studio City Casino and in turn affect our financial condition and results of operations.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services provided by subsidiaries of Melco Resorts, including hiring and training of personnel for Studio City.</w:t>
      </w:r>
    </w:p>
    <w:p>
      <w:pPr>
        <w:spacing w:after="0" w:line="117" w:lineRule="exact"/>
        <w:rPr>
          <w:sz w:val="20"/>
          <w:szCs w:val="20"/>
          <w:color w:val="auto"/>
        </w:rPr>
      </w:pPr>
    </w:p>
    <w:p>
      <w:pPr>
        <w:ind w:left="200" w:right="500" w:firstLine="881"/>
        <w:spacing w:after="0" w:line="277" w:lineRule="auto"/>
        <w:rPr>
          <w:sz w:val="20"/>
          <w:szCs w:val="20"/>
          <w:color w:val="auto"/>
        </w:rPr>
      </w:pPr>
      <w:r>
        <w:rPr>
          <w:rFonts w:ascii="Arial" w:cs="Arial" w:eastAsia="Arial" w:hAnsi="Arial"/>
          <w:sz w:val="18"/>
          <w:szCs w:val="18"/>
          <w:color w:val="auto"/>
        </w:rPr>
        <w:t>According to the Services and Right to Use Arrangements, the Gaming Operator, a subsidiary of Melco Resorts, is responsible for the operation of the Studio City Casino facilities, including hiring, employing, training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and supervising casino personnel. The Gaming Operator deducts gaming tax and the costs incurred in connection with its operations, including staff costs from Studio City Casino’s gross gaming revenues. We expect the Gaming Operator to continue managing all recruitment and training-related matters for staff that have been deployed at Studio City Casino.</w:t>
      </w:r>
    </w:p>
    <w:p>
      <w:pPr>
        <w:spacing w:after="0" w:line="181" w:lineRule="exact"/>
        <w:rPr>
          <w:sz w:val="20"/>
          <w:szCs w:val="20"/>
          <w:color w:val="auto"/>
        </w:rPr>
      </w:pPr>
    </w:p>
    <w:p>
      <w:pPr>
        <w:ind w:left="200" w:right="60" w:firstLine="881"/>
        <w:spacing w:after="0" w:line="270" w:lineRule="auto"/>
        <w:rPr>
          <w:sz w:val="20"/>
          <w:szCs w:val="20"/>
          <w:color w:val="auto"/>
        </w:rPr>
      </w:pPr>
      <w:r>
        <w:rPr>
          <w:rFonts w:ascii="Arial" w:cs="Arial" w:eastAsia="Arial" w:hAnsi="Arial"/>
          <w:sz w:val="17"/>
          <w:szCs w:val="17"/>
          <w:color w:val="auto"/>
        </w:rPr>
        <w:t>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w:t>
      </w:r>
    </w:p>
    <w:p>
      <w:pPr>
        <w:spacing w:after="0" w:line="182"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w:t>
      </w:r>
    </w:p>
    <w:p>
      <w:pPr>
        <w:spacing w:after="0" w:line="289"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The costs associated with the Services and Right to Use Arrangements and the Management and Shared Services Arrangements may not be indicative of the actual costs we could have incurred as an independent company.</w:t>
      </w:r>
    </w:p>
    <w:p>
      <w:pPr>
        <w:spacing w:after="0" w:line="62" w:lineRule="exact"/>
        <w:rPr>
          <w:sz w:val="20"/>
          <w:szCs w:val="20"/>
          <w:color w:val="auto"/>
        </w:rPr>
      </w:pPr>
    </w:p>
    <w:p>
      <w:pPr>
        <w:ind w:left="200" w:right="400" w:firstLine="881"/>
        <w:spacing w:after="0" w:line="342" w:lineRule="auto"/>
        <w:rPr>
          <w:sz w:val="20"/>
          <w:szCs w:val="20"/>
          <w:color w:val="auto"/>
        </w:rPr>
      </w:pPr>
      <w:r>
        <w:rPr>
          <w:rFonts w:ascii="Arial" w:cs="Arial" w:eastAsia="Arial" w:hAnsi="Arial"/>
          <w:sz w:val="16"/>
          <w:szCs w:val="16"/>
          <w:color w:val="auto"/>
        </w:rPr>
        <w:t>Under the Services and Right to Use Arrangements, the Gaming Operator deducts gaming tax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200" w:right="100" w:firstLine="88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jc w:val="both"/>
        <w:ind w:left="200" w:right="280" w:firstLine="881"/>
        <w:spacing w:after="0" w:line="312" w:lineRule="auto"/>
        <w:rPr>
          <w:sz w:val="20"/>
          <w:szCs w:val="20"/>
          <w:color w:val="auto"/>
        </w:rPr>
      </w:pPr>
      <w:r>
        <w:rPr>
          <w:rFonts w:ascii="Arial" w:cs="Arial" w:eastAsia="Arial" w:hAnsi="Arial"/>
          <w:sz w:val="16"/>
          <w:szCs w:val="16"/>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concentration risk in relation to our sole operation of Studio City.</w:t>
      </w:r>
    </w:p>
    <w:p>
      <w:pPr>
        <w:spacing w:after="0" w:line="11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w:t>
      </w:r>
    </w:p>
    <w:p>
      <w:pPr>
        <w:spacing w:after="0" w:line="87" w:lineRule="exact"/>
        <w:rPr>
          <w:sz w:val="20"/>
          <w:szCs w:val="20"/>
          <w:color w:val="auto"/>
        </w:rPr>
      </w:pPr>
    </w:p>
    <w:p>
      <w:pPr>
        <w:jc w:val="right"/>
        <w:ind w:left="5620" w:right="5400" w:hanging="4984"/>
        <w:spacing w:after="0" w:line="536" w:lineRule="auto"/>
        <w:tabs>
          <w:tab w:leader="none" w:pos="10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dependence on the gaming, tourism and leisure market in Macau; 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diversification of our business and sources of revenue;</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economic and political conditions in Macau, China or Asia, or an increase in competition within the gaming industry in Macau or generally in Asia;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inaccessibility to Macau due to inclement weather, road construction or closure of primary access routes;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air, land or ferry passenger traffic to Macau due to higher ticket costs, fears concerning travel or otherwise;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travel restrictions to Macau and austerity measures imposed now or in the future by the governments in China or other countries in Asia;</w:t>
      </w:r>
    </w:p>
    <w:p>
      <w:pPr>
        <w:spacing w:after="0" w:line="153" w:lineRule="exact"/>
        <w:rPr>
          <w:rFonts w:ascii="Arial" w:cs="Arial" w:eastAsia="Arial" w:hAnsi="Arial"/>
          <w:sz w:val="16"/>
          <w:szCs w:val="16"/>
          <w:color w:val="auto"/>
        </w:rPr>
      </w:pPr>
    </w:p>
    <w:p>
      <w:pPr>
        <w:ind w:left="1060" w:right="8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tightened control of cross-border fund transfers and/or foreign exchange regulations or policies effected by the Chinese or Macau governments;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measures taken by the Chinese government to deter gaming activities or marketing of gaming activities to mainland Chinese residents;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Macau governmental laws and regulations, or interpretations thereof;</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 including typhoons, outbreaks of infectious diseases or terrorism, affecting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relaxation of regulations on gaming laws in other regional economies that could compete with the Macau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restrictions on growth of gaming markets, including policies on gaming table allocation and caps;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activities and other spending at Studio City Casino.</w:t>
      </w:r>
    </w:p>
    <w:p>
      <w:pPr>
        <w:spacing w:after="0" w:line="225"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Any of these conditions or events could have a material adverse effect on our business, cash flow, financial condition, results of operations and prospects.</w:t>
      </w:r>
    </w:p>
    <w:p>
      <w:pPr>
        <w:spacing w:after="0" w:line="170" w:lineRule="exact"/>
        <w:rPr>
          <w:sz w:val="20"/>
          <w:szCs w:val="20"/>
          <w:color w:val="auto"/>
        </w:rPr>
      </w:pPr>
    </w:p>
    <w:p>
      <w:pPr>
        <w:ind w:left="200" w:right="900" w:firstLine="881"/>
        <w:spacing w:after="0" w:line="277" w:lineRule="auto"/>
        <w:rPr>
          <w:sz w:val="20"/>
          <w:szCs w:val="20"/>
          <w:color w:val="auto"/>
        </w:rPr>
      </w:pPr>
      <w:r>
        <w:rPr>
          <w:rFonts w:ascii="Arial" w:cs="Arial" w:eastAsia="Arial" w:hAnsi="Arial"/>
          <w:sz w:val="18"/>
          <w:szCs w:val="18"/>
          <w:color w:val="auto"/>
        </w:rPr>
        <w:t>In addition, as Macau is a limited gaming concession market nearing its land capacity for the development of integrated resorts, opportunities to expand our operations, if any, may be limited.</w:t>
      </w:r>
    </w:p>
    <w:p>
      <w:pPr>
        <w:spacing w:after="0" w:line="279" w:lineRule="exact"/>
        <w:rPr>
          <w:sz w:val="20"/>
          <w:szCs w:val="20"/>
          <w:color w:val="auto"/>
        </w:rPr>
      </w:pPr>
    </w:p>
    <w:p>
      <w:pPr>
        <w:ind w:left="200" w:right="40"/>
        <w:spacing w:after="0" w:line="375" w:lineRule="auto"/>
        <w:rPr>
          <w:sz w:val="20"/>
          <w:szCs w:val="20"/>
          <w:color w:val="auto"/>
        </w:rPr>
      </w:pPr>
      <w:r>
        <w:rPr>
          <w:rFonts w:ascii="Arial" w:cs="Arial" w:eastAsia="Arial" w:hAnsi="Arial"/>
          <w:sz w:val="15"/>
          <w:szCs w:val="15"/>
          <w:b w:val="1"/>
          <w:bCs w:val="1"/>
          <w:i w:val="1"/>
          <w:iCs w:val="1"/>
          <w:color w:val="auto"/>
        </w:rPr>
        <w:t>The Gaming Operator has informed us that it will cease the operation of VIP rolling chip tables at the Studio City Casino on January 15, 2020. The discontinuation of such VIP rolling chip operations is likely to materially and adversely affect our financial condition and results of operations.</w:t>
      </w:r>
    </w:p>
    <w:p>
      <w:pPr>
        <w:spacing w:after="0" w:line="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VIP rolling chip operations, including both junket and premium direct VIP offerings, were introduced at Studio City Casino in early November 2016. Such VIP rolling chip operations are operated by the Gaming Operator under the Services and Right to Use Arrangements. The VIP tables used in such operations were initially allocated by the Macau government for operation by the Gaming Operator at gaming areas of the Gaming Operator’s other properties in Macau. In January 2019, the Gaming Operator informed us that it will cease VIP rolling chip operations at the Studio City Casino on January 15, 2020.</w:t>
      </w:r>
    </w:p>
    <w:p>
      <w:pPr>
        <w:spacing w:after="0" w:line="188"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250 mass market gaming tables permitted to be operated at the Studio City Casino by the Gaming Operator are designated for mass market purposes only and there is no assurance or expectation that such tables may be operated as VIP rolling chip tables in the future as the Macau government has determined that tables authorized for mass market gaming operations may not be utilized for VIP gaming operations. Amounts received from the Studio City Casino VIP gaming operations, as determined under the Services and Right to Use Arrangements, amounted to US$36.6 million and US$35.7 million in 2017 and 2018, respectively.</w:t>
      </w:r>
    </w:p>
    <w:p>
      <w:pPr>
        <w:spacing w:after="0" w:line="188"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We expect the discontinuation of the VIP rolling chip operations at Studio City Casino to have a material adverse effect on our business, prospects, financial condition, results of operations and cash flows.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Studio City Casino’s VIP rolling chip operations, while they continue, may cause volatility in our financial condition and results of operations due to changes in the economic and regulatory environments and Studio City Casino’s ability to attract and retain VIP rolling chip players.</w:t>
      </w:r>
    </w:p>
    <w:p>
      <w:pPr>
        <w:spacing w:after="0" w:line="16" w:lineRule="exact"/>
        <w:rPr>
          <w:sz w:val="20"/>
          <w:szCs w:val="20"/>
          <w:color w:val="auto"/>
        </w:rPr>
      </w:pPr>
    </w:p>
    <w:p>
      <w:pPr>
        <w:ind w:left="200" w:right="20" w:firstLine="881"/>
        <w:spacing w:after="0" w:line="269" w:lineRule="auto"/>
        <w:rPr>
          <w:sz w:val="20"/>
          <w:szCs w:val="20"/>
          <w:color w:val="auto"/>
        </w:rPr>
      </w:pPr>
      <w:r>
        <w:rPr>
          <w:rFonts w:ascii="Arial" w:cs="Arial" w:eastAsia="Arial" w:hAnsi="Arial"/>
          <w:sz w:val="17"/>
          <w:szCs w:val="17"/>
          <w:color w:val="auto"/>
        </w:rPr>
        <w:t>Studio City Casino has and, while it continues to conduct VIP rolling chip operations until those operations cease pursuant to the notice we received from the Gaming Operator in January 2019, is expected to incur costs associated with the VIP rolling chip operations, while the expected revenues to be generated from the VIP rolling chip operations may be volatile primarily due to high bets and the resulting high winnings and losses. Gross win per VIP table per day was approximately US$40,000 and US$38,000 in 2017 and 2018, respectively. VIP rolling chip operations are also more vulnerable to changes in the economic environment and therefore inherently more volatile than mass market operations. For example, according to statistics compiled from the DICJ, VIP rolling chip gross gaming revenues declined slightly in Macau from 2015 to 2016 while mass market gross gaming revenues increased slightly during the same period. Moreover, VIP rolling chip operations involve commissions to the gaming promoters and, as a result, the margins associated with VIP rolling chip operations are usually lower than the margins for mass market operations and may also be volatile from period-to-period due to significant variances in winnings and losses. As a result, Studio City Casino’s business, results of operations and cash flows may become more volatile, while it continues to conduct VIP rolling chip operations, compared to that of other casinos with only mass market gaming operations.</w:t>
      </w:r>
    </w:p>
    <w:p>
      <w:pPr>
        <w:spacing w:after="0" w:line="183"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Further, the VIP rolling chip players pool is limited and we cannot assure you that the existing VIP rolling chip players at Studio City Casino will be recurring players. If Studio City Casino loses its existing VIP rolling chip players or fails to attract new VIP rolling chip players while VIP rolling chip operations are ongoing, our revenues and cash flows from the provision of gaming-related services could be materially and adversely affected. In addition, the VIP rolling chip segment may be particularly susceptible to certain changes in government policies, regulations and enforcement actions. For instance, the anti-corruption campaign of the Chinese government has had a negative effect on the VIP rolling chip segment in Macau. Any further campaigns may negatively affect the numbers of VIP rolling chip players in Macau and in turn, materially and adversely affect our business.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history of net losses and may not achieve profitability in the future.</w:t>
      </w:r>
    </w:p>
    <w:p>
      <w:pPr>
        <w:spacing w:after="0" w:line="117"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Studio City may not be financially successful or generate the cash flows that we anticipate. We had net losses attributable to Studio City International Holdings Limited of US$21.6 million, US$76.4 million, US$242.8 million and US$232.6 million for the years ended December 31, 2018, 2017, 2016 and 2015, respectively, primarily because Studio City only commenced operations in October 2015 and is still in its ramp-up period. In addition, we incurred negative operating cash flows of US$113.1 million in 2015.</w:t>
      </w:r>
    </w:p>
    <w:p>
      <w:pPr>
        <w:spacing w:after="0" w:line="187" w:lineRule="exact"/>
        <w:rPr>
          <w:sz w:val="20"/>
          <w:szCs w:val="20"/>
          <w:color w:val="auto"/>
        </w:rPr>
      </w:pPr>
    </w:p>
    <w:p>
      <w:pPr>
        <w:ind w:left="200" w:right="120" w:firstLine="881"/>
        <w:spacing w:after="0" w:line="342" w:lineRule="auto"/>
        <w:rPr>
          <w:sz w:val="20"/>
          <w:szCs w:val="20"/>
          <w:color w:val="auto"/>
        </w:rPr>
      </w:pPr>
      <w:r>
        <w:rPr>
          <w:rFonts w:ascii="Arial" w:cs="Arial" w:eastAsia="Arial" w:hAnsi="Arial"/>
          <w:sz w:val="16"/>
          <w:szCs w:val="16"/>
          <w:color w:val="auto"/>
        </w:rPr>
        <w:t>We expect our costs and expenses to increase in absolute amounts due to (i) the continued expansion of our operations, which will cause us to incur increased costs and expenses associated with the operation of our businesses; and (ii) the continued development of our remaining project.</w:t>
      </w:r>
    </w:p>
    <w:p>
      <w:pPr>
        <w:spacing w:after="0" w:line="124"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We also expect that our capital expenditures will continue to increase as we continue to expand our existing operations and develop our remaining project.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 profitability. These factors may adversely affect our ability to achieve profitability and service debt obligations and interest payments under any of our existing or future financing facilities.</w:t>
      </w:r>
    </w:p>
    <w:p>
      <w:pPr>
        <w:spacing w:after="0" w:line="26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existing indebtedness and may incur additional indebtedness, which could have significant effects on our business and future operations.</w:t>
      </w:r>
    </w:p>
    <w:p>
      <w:pPr>
        <w:spacing w:after="0" w:line="62"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have a substantial amount of existing indebtedness. As of December 31, 2018, we had total outstanding indebtedness of approximately US$1,625.1 million, representing the outstanding principal balances of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existing notes and credit facility. In addition, on February 11, 2019, Studio City Finance issued US$600.0 million in aggregate principal amount of the 2019 Notes, the net proceeds of which were partly used to pay the tendering noteholders from the 2012 Notes Tender Offer in February 2019, which amounted to US$216.5 million in aggregate principal amount of the 2012 Notes, and to redeem the remaining outstanding principal amount of the 2012 Notes in March 2019, which amounted to US$208.5 million in aggregate principal amount. See “Item 5. Operating and Financial Review and Prospects</w:t>
      </w:r>
    </w:p>
    <w:p>
      <w:pPr>
        <w:spacing w:after="0" w:line="2" w:lineRule="exact"/>
        <w:rPr>
          <w:sz w:val="20"/>
          <w:szCs w:val="20"/>
          <w:color w:val="auto"/>
        </w:rPr>
      </w:pPr>
    </w:p>
    <w:p>
      <w:pPr>
        <w:ind w:left="200" w:right="400"/>
        <w:spacing w:after="0" w:line="255" w:lineRule="auto"/>
        <w:rPr>
          <w:sz w:val="20"/>
          <w:szCs w:val="20"/>
          <w:color w:val="auto"/>
        </w:rPr>
      </w:pPr>
      <w:r>
        <w:rPr>
          <w:rFonts w:ascii="Arial" w:cs="Arial" w:eastAsia="Arial" w:hAnsi="Arial"/>
          <w:sz w:val="18"/>
          <w:szCs w:val="18"/>
          <w:color w:val="auto"/>
        </w:rPr>
        <w:t>— B. Liquidity and Capital Resources — Indebtedness.” Significant interest and principal payments are required to meet our obligations under the existing indebtedness. Our substantial indebtedness could have important consequences for you and significant effects on our business and future operations. For example:</w:t>
      </w:r>
    </w:p>
    <w:p>
      <w:pPr>
        <w:spacing w:after="0" w:line="95" w:lineRule="exact"/>
        <w:rPr>
          <w:sz w:val="20"/>
          <w:szCs w:val="20"/>
          <w:color w:val="auto"/>
        </w:rPr>
      </w:pPr>
    </w:p>
    <w:p>
      <w:pPr>
        <w:ind w:left="1060" w:right="20" w:hanging="424"/>
        <w:spacing w:after="0" w:line="264"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we fail to meet our payment obligations or otherwise default under the agreements governing our existing indebtedness, the applicable lenders or note holders under our indebtedness will have the right to accelerate the repayment of such indebtedness and exercise other rights and remedies against us;</w:t>
      </w:r>
    </w:p>
    <w:p>
      <w:pPr>
        <w:spacing w:after="0" w:line="86" w:lineRule="exact"/>
        <w:rPr>
          <w:rFonts w:ascii="Arial" w:cs="Arial" w:eastAsia="Arial" w:hAnsi="Arial"/>
          <w:sz w:val="18"/>
          <w:szCs w:val="18"/>
          <w:color w:val="auto"/>
        </w:rPr>
      </w:pPr>
    </w:p>
    <w:p>
      <w:pPr>
        <w:ind w:left="1060" w:right="260" w:hanging="424"/>
        <w:spacing w:after="0" w:line="342" w:lineRule="auto"/>
        <w:tabs>
          <w:tab w:leader="none" w:pos="10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we may be limited in our ability to obtain additional financing, if needed, to fund our working capital requirements, capital expenditures, debt service, general corporate or other obligations, including our obligations with respect to the existing indebtedness;</w:t>
      </w:r>
    </w:p>
    <w:p>
      <w:pPr>
        <w:spacing w:after="0" w:line="29" w:lineRule="exact"/>
        <w:rPr>
          <w:rFonts w:ascii="Arial" w:cs="Arial" w:eastAsia="Arial" w:hAnsi="Arial"/>
          <w:sz w:val="16"/>
          <w:szCs w:val="16"/>
          <w:color w:val="auto"/>
        </w:rPr>
      </w:pPr>
    </w:p>
    <w:p>
      <w:pPr>
        <w:ind w:left="1060" w:right="260" w:hanging="424"/>
        <w:spacing w:after="0" w:line="308" w:lineRule="auto"/>
        <w:tabs>
          <w:tab w:leader="none" w:pos="10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we are required to use all or a substantial portion of our cash flow from operations of Studio City to service our indebtedness, which will reduce the available cash flow to fund our operations, capital expenditures and other general corporate purposes;</w:t>
      </w:r>
    </w:p>
    <w:p>
      <w:pPr>
        <w:spacing w:after="0" w:line="51" w:lineRule="exact"/>
        <w:rPr>
          <w:rFonts w:ascii="Arial" w:cs="Arial" w:eastAsia="Arial" w:hAnsi="Arial"/>
          <w:sz w:val="17"/>
          <w:szCs w:val="17"/>
          <w:color w:val="auto"/>
        </w:rPr>
      </w:pPr>
    </w:p>
    <w:p>
      <w:pPr>
        <w:ind w:left="1060" w:right="240" w:hanging="424"/>
        <w:spacing w:after="0" w:line="277"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may be limited in our ability to respond to changing business and economic conditions and to withstand competitive pressures, which may affect our financial condition;</w:t>
      </w:r>
    </w:p>
    <w:p>
      <w:pPr>
        <w:spacing w:after="0" w:line="75" w:lineRule="exact"/>
        <w:rPr>
          <w:rFonts w:ascii="Arial" w:cs="Arial" w:eastAsia="Arial" w:hAnsi="Arial"/>
          <w:sz w:val="18"/>
          <w:szCs w:val="18"/>
          <w:color w:val="auto"/>
        </w:rPr>
      </w:pPr>
    </w:p>
    <w:p>
      <w:pPr>
        <w:ind w:left="1060" w:hanging="424"/>
        <w:spacing w:after="0" w:line="308" w:lineRule="auto"/>
        <w:tabs>
          <w:tab w:leader="none" w:pos="10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under certain existing indebtedness, the interest rates we pay in respect of the indebtedness which we are not required to hedge will fluctuate with the current market rates and, accordingly, our interest expense will increase if market interest rates increase;</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 and</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event that we or one of our subsidiaries were to default, it may result in the loss of all or a substantial portion of our and/or our subsidiaries’ assets over which our creditors have taken or will take security.</w:t>
      </w:r>
    </w:p>
    <w:p>
      <w:pPr>
        <w:spacing w:after="0" w:line="170" w:lineRule="exact"/>
        <w:rPr>
          <w:sz w:val="20"/>
          <w:szCs w:val="20"/>
          <w:color w:val="auto"/>
        </w:rPr>
      </w:pPr>
    </w:p>
    <w:p>
      <w:pPr>
        <w:ind w:left="200" w:right="420" w:firstLine="881"/>
        <w:spacing w:after="0" w:line="264" w:lineRule="auto"/>
        <w:rPr>
          <w:sz w:val="20"/>
          <w:szCs w:val="20"/>
          <w:color w:val="auto"/>
        </w:rPr>
      </w:pPr>
      <w:r>
        <w:rPr>
          <w:rFonts w:ascii="Arial" w:cs="Arial" w:eastAsia="Arial" w:hAnsi="Arial"/>
          <w:sz w:val="18"/>
          <w:szCs w:val="18"/>
          <w:color w:val="auto"/>
        </w:rPr>
        <w:t>Under the terms of the indentures governing our existing indebtedness, we will be permitted to incur additional indebtedness if certain conditions are met, some of which may be senior secured indebtedness. If we incur additional indebtedness, certain risks described above will be exacerbated.</w:t>
      </w:r>
    </w:p>
    <w:p>
      <w:pPr>
        <w:spacing w:after="0" w:line="181"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If we are unable to comply with our existing and/or future indebtedness obligations and other agreements,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Certain covenants under our agreements governing our existing indebtedness restrict our ability to engage in certain transactions and may impair our ability to respond to changing business and economic conditions.</w:t>
      </w:r>
    </w:p>
    <w:p>
      <w:pPr>
        <w:spacing w:after="0" w:line="62" w:lineRule="exact"/>
        <w:rPr>
          <w:sz w:val="20"/>
          <w:szCs w:val="20"/>
          <w:color w:val="auto"/>
        </w:rPr>
      </w:pPr>
    </w:p>
    <w:p>
      <w:pPr>
        <w:ind w:left="200" w:right="680" w:firstLine="881"/>
        <w:spacing w:after="0" w:line="308" w:lineRule="auto"/>
        <w:rPr>
          <w:sz w:val="20"/>
          <w:szCs w:val="20"/>
          <w:color w:val="auto"/>
        </w:rPr>
      </w:pPr>
      <w:r>
        <w:rPr>
          <w:rFonts w:ascii="Arial" w:cs="Arial" w:eastAsia="Arial" w:hAnsi="Arial"/>
          <w:sz w:val="17"/>
          <w:szCs w:val="17"/>
          <w:color w:val="auto"/>
        </w:rPr>
        <w:t>Certain covenants under our agreements governing our existing indebtedness impose operating and financial restrictions on us. The restrictions that are imposed under these debt instruments include, among other things, limitations on our ability to:</w:t>
      </w:r>
    </w:p>
    <w:p>
      <w:pPr>
        <w:spacing w:after="0" w:line="52"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on account of our equity interests;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specified restricted payments;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other businesses or make investments;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25" w:lineRule="exact"/>
        <w:rPr>
          <w:sz w:val="20"/>
          <w:szCs w:val="20"/>
          <w:color w:val="auto"/>
        </w:rPr>
      </w:pPr>
    </w:p>
    <w:p>
      <w:pPr>
        <w:ind w:left="200" w:right="160" w:firstLine="881"/>
        <w:spacing w:after="0" w:line="302" w:lineRule="auto"/>
        <w:rPr>
          <w:sz w:val="20"/>
          <w:szCs w:val="20"/>
          <w:color w:val="auto"/>
        </w:rPr>
      </w:pPr>
      <w:r>
        <w:rPr>
          <w:rFonts w:ascii="Arial" w:cs="Arial" w:eastAsia="Arial" w:hAnsi="Arial"/>
          <w:sz w:val="16"/>
          <w:szCs w:val="16"/>
          <w:color w:val="auto"/>
        </w:rPr>
        <w:t>Certain of our credit facilities and debt instruments are secured by mortgages, assignment of land use rights, leases or equivalents, security over shares, charges over bank accounts, security over assets and other customary security over the assets of our subsidiaries. In the event of a default under such credit facilities and debt instruments, the holders of such secured indebtedness would first be entitled to payment from their collateral security and only then would holders of certain of our subsidiaries’ unsecured debt be entitled to payment from their remaining assets.</w:t>
      </w:r>
    </w:p>
    <w:p>
      <w:pPr>
        <w:spacing w:after="0" w:line="154"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generate a portion of our revenues from, and are subject to risks in operating, non-gaming offerings.</w:t>
      </w:r>
    </w:p>
    <w:p>
      <w:pPr>
        <w:spacing w:after="0" w:line="117"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We generate a portion of our revenues from non-gaming offerings and our financial performance in part depends on our ability to attract new and repeat customers to the non-gaming facilities at Studio City. Both visitation and the level of spending at our themed attractions, hotel, retail shops, restaurants and other leisure and entertainment facilities are key drivers of revenues and profitability, and reductions in either could have a material adverse effect on our business, prospects, results of operations and cash flows. In addition, the cessation</w:t>
      </w:r>
    </w:p>
    <w:p>
      <w:pPr>
        <w:spacing w:after="0" w:line="2"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of the operation of VIP tables by the Gaming Operator at Studio City Casino in January 2020, or any reduction in such operation prior to such cessation, could have a material adverse effect on visitation and the level of spending at our leisure and entertainment facilities as rolling chip patrons have become increasingly significant growth drivers for our high-end retail and fine-dining offerings. We do not have a long track record in operating these non-gaming facilities and may not be able to attract new and recurring customers to our non-gaming facilities at Studio City. Our success in non-gaming offerings depends on, among others, the effectiveness of our</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advertising and marketing initiatives, 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 Reel and Batman Dark Flight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w:t>
      </w:r>
    </w:p>
    <w:p>
      <w:pPr>
        <w:spacing w:after="0" w:line="297" w:lineRule="exact"/>
        <w:rPr>
          <w:sz w:val="20"/>
          <w:szCs w:val="20"/>
          <w:color w:val="auto"/>
        </w:rPr>
      </w:pPr>
    </w:p>
    <w:p>
      <w:pPr>
        <w:jc w:val="both"/>
        <w:ind w:left="200" w:right="60"/>
        <w:spacing w:after="0" w:line="302" w:lineRule="auto"/>
        <w:rPr>
          <w:sz w:val="20"/>
          <w:szCs w:val="20"/>
          <w:color w:val="auto"/>
        </w:rPr>
      </w:pPr>
      <w:r>
        <w:rPr>
          <w:rFonts w:ascii="Arial" w:cs="Arial" w:eastAsia="Arial" w:hAnsi="Arial"/>
          <w:sz w:val="16"/>
          <w:szCs w:val="16"/>
          <w:b w:val="1"/>
          <w:bCs w:val="1"/>
          <w:i w:val="1"/>
          <w:iCs w:val="1"/>
          <w:color w:val="auto"/>
        </w:rPr>
        <w:t>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w:t>
      </w:r>
    </w:p>
    <w:p>
      <w:pPr>
        <w:spacing w:after="0" w:line="46"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The reputation and integrity of the parties who are or will be engaged in gaming activities at Studio City Casino are important to the continued operations of the casino in compliance with Gaming Operator’s subconcession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 doubt, this may reflect negatively on the Gaming Operator and our own probity when assessed by gaming regulators. A party associated with Studio City Casino may fall below the gaming regulators’ suitability standards.</w:t>
      </w:r>
    </w:p>
    <w:p>
      <w:pPr>
        <w:spacing w:after="0" w:line="178" w:lineRule="exact"/>
        <w:rPr>
          <w:sz w:val="20"/>
          <w:szCs w:val="20"/>
          <w:color w:val="auto"/>
        </w:rPr>
      </w:pPr>
    </w:p>
    <w:p>
      <w:pPr>
        <w:ind w:left="200" w:right="60" w:firstLine="881"/>
        <w:spacing w:after="0" w:line="253" w:lineRule="auto"/>
        <w:rPr>
          <w:sz w:val="20"/>
          <w:szCs w:val="20"/>
          <w:color w:val="auto"/>
        </w:rPr>
      </w:pPr>
      <w:r>
        <w:rPr>
          <w:rFonts w:ascii="Arial" w:cs="Arial" w:eastAsia="Arial" w:hAnsi="Arial"/>
          <w:sz w:val="18"/>
          <w:szCs w:val="18"/>
          <w:color w:val="auto"/>
        </w:rPr>
        <w:t>In particular, the reputation of the gaming promoters operating in Studio City Casino is important to the Gaming Operator’s ability to continue to operate in compliance with its subconcession and our own reputation. While we endeavor, and we expect that the Gaming Operator also endeavors, to ensure high standards of probity and integrity in such gaming promoters, we cannot assure you that such gaming promoters will always maintain such high standards. If the probity of a gaming promoter associated with Studio City Casino was in doubt or such promoter failed to operate in compliance with Macau laws consistently, this may be considered by regulators or investors to reflect negatively on the Gaming Operator’s and on our own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or the Gaming Operator’s or our standards of probity, integrity and legal compliance will not have a material adverse impact on our reputation and business operations.</w:t>
      </w:r>
    </w:p>
    <w:p>
      <w:pPr>
        <w:spacing w:after="0" w:line="197" w:lineRule="exact"/>
        <w:rPr>
          <w:sz w:val="20"/>
          <w:szCs w:val="20"/>
          <w:color w:val="auto"/>
        </w:rPr>
      </w:pPr>
    </w:p>
    <w:p>
      <w:pPr>
        <w:ind w:left="200" w:right="260" w:firstLine="881"/>
        <w:spacing w:after="0" w:line="342" w:lineRule="auto"/>
        <w:rPr>
          <w:sz w:val="20"/>
          <w:szCs w:val="20"/>
          <w:color w:val="auto"/>
        </w:rPr>
      </w:pPr>
      <w:r>
        <w:rPr>
          <w:rFonts w:ascii="Arial" w:cs="Arial" w:eastAsia="Arial" w:hAnsi="Arial"/>
          <w:sz w:val="16"/>
          <w:szCs w:val="16"/>
          <w:color w:val="auto"/>
        </w:rPr>
        <w:t>If any of the above were to occur, we, the Gaming Operator and our shareholders may suffer harm to our, the Gaming Operator’s and our shareholders’ reputation, as well as impaired relationships with, and possibly sanctions from, gaming regulators with authority over operations.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b w:val="1"/>
          <w:bCs w:val="1"/>
          <w:i w:val="1"/>
          <w:iCs w:val="1"/>
          <w:color w:val="auto"/>
        </w:rPr>
        <w:t>We are developing the remaining project for Studio City under the terms of a land concession contract which require us to fully develop the land on which Studio City is located by July 24, 2021.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buildings and structures on such land.</w:t>
      </w:r>
    </w:p>
    <w:p>
      <w:pPr>
        <w:spacing w:after="0" w:line="63"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Land concessions in Macau are issued by the Macau government and generally have terms of 25 years and are renewable for further consecutive periods of ten years. Land concessions further stipulate a period within which the development of the land must be completed. In accordance with the Studio City land concession contract, the land on which Studio City is located must be fully developed by July 24, 2021. While we opened Studio City in October 2015, development for the remaining land of Studio City is still ongoing and in the early stages. There is no guarantee we will complete the development of the remaining project for the land of Studio City by the deadline. In the event that additional time is required to complete the development of the remaining project for Studio City, we will have to apply for an extension of the relevant development period which shall be subject to Macau government review and approval at its discretion. While the Macau government may grant extensions if we meet certain legal requirements and the application for the extension is made in accordance with the relevant rules and regulations, there can be no assurance that the Macau government will grant us any necessary extension of the development period or not exercise its right to terminate the Studio City land concession. In the event that no extension is granted or the Studio City land concession is terminated, we could lose all or substantially all of our investment in Studio City, including our interest in land and buildings and may not be able to continue to operate Studio City as planned, which will materially adversely affect our business and prospects, results of operations and financial condition.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development of the remaining project is subject to significant risks and uncertainties.</w:t>
      </w:r>
    </w:p>
    <w:p>
      <w:pPr>
        <w:spacing w:after="0" w:line="117"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Under our current plan for the remaining project, the remaining project is expected to consist of two hotel towers with approximately 900 rooms and suites and a gaming area. In addition, we currently envision the remaining project to also contain a waterpark with indoor and outdoor areas. Other non-gaming attractions expected to be part of the remaining project include MICE space, retail and food and beverage outlets and a cineplex.</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development and construction risks of this remaining project at Studio City include:</w:t>
      </w:r>
    </w:p>
    <w:p>
      <w:pPr>
        <w:spacing w:after="0" w:line="131" w:lineRule="exact"/>
        <w:rPr>
          <w:sz w:val="20"/>
          <w:szCs w:val="20"/>
          <w:color w:val="auto"/>
        </w:rPr>
      </w:pPr>
    </w:p>
    <w:p>
      <w:pPr>
        <w:ind w:left="1060" w:right="54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or delay in obtaining the necessary permits, authorizations, approvals and licenses from the relevant governmental authorities, including for any extension of the development period;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30" w:lineRule="exact"/>
        <w:rPr>
          <w:rFonts w:ascii="Arial" w:cs="Arial" w:eastAsia="Arial" w:hAnsi="Arial"/>
          <w:sz w:val="18"/>
          <w:szCs w:val="18"/>
          <w:color w:val="auto"/>
        </w:rPr>
      </w:pPr>
    </w:p>
    <w:p>
      <w:pPr>
        <w:ind w:left="1060" w:right="82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leisure, real estate development or construction projects;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in relation to compliance with environmental rules and regulations in our development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and price increases in, energy, materials and skilled and unskilled labor, and inflation in key supply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with and defaults by or between suppliers, contractors and subcontractors and other counter-parties;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of viruses;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fires, typhoons and other natural disasters, including weather interferences or delays;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225"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We are in the early stages of development of the remaining project. However, there is no assurance that our expected development plan will be successful and that we will be able to secure commercial terms favorable to us from our potential business or financing sources. In addition, we expect that our capital expenditures and depreciation and amortization expenses will increase as we continue to develop our remaining project. As of December 31, 2018, we have incurred approximately US$39.6 million of aggregate costs relating to the development of our remaining project, primarily related to the initial design and planning costs. Based on our current plan for the remaining project, we currently expect a project budget of approximately US$1.35 billion to US$1.40 billion for the development of the remaining project (exclusive of any pre-opening costs and financing costs) and an estimated construction period of approximately 32 months. As we obtain additional debt and/or equity financing, our leverage may intensify, our financing-related costs may increase and your equity interest in us may be diluted, as the case may be. Furthermore, there is no guarantee that we may be able to respond adequately to competitive or unfavorable market conditions to successfully operate and capitalize on our investment in the remaining project when it commences operations.</w:t>
      </w:r>
    </w:p>
    <w:p>
      <w:pPr>
        <w:spacing w:after="0" w:line="178" w:lineRule="exact"/>
        <w:rPr>
          <w:sz w:val="20"/>
          <w:szCs w:val="20"/>
          <w:color w:val="auto"/>
        </w:rPr>
      </w:pPr>
    </w:p>
    <w:p>
      <w:pPr>
        <w:ind w:left="200" w:right="20" w:firstLine="881"/>
        <w:spacing w:after="0" w:line="279" w:lineRule="auto"/>
        <w:rPr>
          <w:sz w:val="20"/>
          <w:szCs w:val="20"/>
          <w:color w:val="auto"/>
        </w:rPr>
      </w:pPr>
      <w:r>
        <w:rPr>
          <w:rFonts w:ascii="Arial" w:cs="Arial" w:eastAsia="Arial" w:hAnsi="Arial"/>
          <w:sz w:val="17"/>
          <w:szCs w:val="17"/>
          <w:color w:val="auto"/>
        </w:rPr>
        <w:t>The occurrence of any of these development or construction risks could increase the total costs, delay or prevent the construction or opening or otherwise affect the design and features of the remaining project at Studio City. We cannot guarantee that our construction costs or total project costs for the remaining project at Studio City will not increase above our budget. Any failure to complete the remaining project on time or within our budget could have a material adverse effect on our business and prospects, financial condition, results of operations and cash flows.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not be able to obtain adequate financing on satisfactory terms for our existing business and/or remaining project, or at all.</w:t>
      </w:r>
    </w:p>
    <w:p>
      <w:pPr>
        <w:spacing w:after="0" w:line="129" w:lineRule="exact"/>
        <w:rPr>
          <w:sz w:val="20"/>
          <w:szCs w:val="20"/>
          <w:color w:val="auto"/>
        </w:rPr>
      </w:pPr>
    </w:p>
    <w:p>
      <w:pPr>
        <w:ind w:left="200" w:right="180" w:firstLine="881"/>
        <w:spacing w:after="0" w:line="297" w:lineRule="auto"/>
        <w:rPr>
          <w:sz w:val="20"/>
          <w:szCs w:val="20"/>
          <w:color w:val="auto"/>
        </w:rPr>
      </w:pPr>
      <w:r>
        <w:rPr>
          <w:rFonts w:ascii="Arial" w:cs="Arial" w:eastAsia="Arial" w:hAnsi="Arial"/>
          <w:sz w:val="16"/>
          <w:szCs w:val="16"/>
          <w:color w:val="auto"/>
        </w:rPr>
        <w:t>In the past, we have funded our capital investment projects primarily through credit facilities and other debt financings. We will require additional funding in the future for the expansion of our current business and/or development of our remaining project,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w:t>
      </w:r>
    </w:p>
    <w:p>
      <w:pPr>
        <w:spacing w:after="0" w:line="158"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Any financing related to the remaining project at Studio City will also be subject to, among others, the terms of our existing and any future financings. In addition, our ability to obtain credit, debt or equity financing on acceptable terms depends on a variety of factors that are beyond our control, including market conditions, investors’ and lenders’ perceptions of, and demand for, bond, bank and equity securities of gaming companies, credit availability and interest rates. For example, changes in ratings outlooks may subject us to ratings agency downgrades, which could make it more difficult for us to obtain financing on acceptable terms.</w:t>
      </w:r>
    </w:p>
    <w:p>
      <w:pPr>
        <w:spacing w:after="0" w:line="188"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As a result, we cannot assure you that we will be able to obtain sufficient funding on terms satisfactory to us, or at all, to finance our existing business and/or remaining project. If we are unable to obtain such funding, our business, cash flow, financial condition, results of operations and prospects could be materially and adversely affected. We continue to explore opportunities and may, from time to time, seek to obtain new financings or refinance our outstanding debt through the international markets. Any such financing, and our evaluation thereof, will depend on the prevailing market conditions, our liquidity requirements, contractual restrictions and other factors. The amounts involved may be material.</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results of operations are subject to seasonality and other fluctuations.</w:t>
      </w:r>
    </w:p>
    <w:p>
      <w:pPr>
        <w:spacing w:after="0" w:line="117" w:lineRule="exact"/>
        <w:rPr>
          <w:sz w:val="20"/>
          <w:szCs w:val="20"/>
          <w:color w:val="auto"/>
        </w:rPr>
      </w:pPr>
    </w:p>
    <w:p>
      <w:pPr>
        <w:ind w:left="200" w:right="80" w:firstLine="881"/>
        <w:spacing w:after="0" w:line="288" w:lineRule="auto"/>
        <w:rPr>
          <w:sz w:val="20"/>
          <w:szCs w:val="20"/>
          <w:color w:val="auto"/>
        </w:rPr>
      </w:pPr>
      <w:r>
        <w:rPr>
          <w:rFonts w:ascii="Arial" w:cs="Arial" w:eastAsia="Arial" w:hAnsi="Arial"/>
          <w:sz w:val="16"/>
          <w:szCs w:val="16"/>
          <w:color w:val="auto"/>
        </w:rPr>
        <w:t>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w:t>
      </w:r>
    </w:p>
    <w:p>
      <w:pPr>
        <w:spacing w:after="0" w:line="277"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Macau’s infrastructure may not adequately support the development of Macau’s gaming and leisure industry, which may adversely affect our expected performance.</w:t>
      </w:r>
    </w:p>
    <w:p>
      <w:pPr>
        <w:spacing w:after="0" w:line="62"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Macau consists of a peninsula and two islands and is connected to China by two border crossings. Macau has an international airport and connections to China and Hong Kong by road, ferry and helicopter.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Studio City. For example, there has been a delay in the development of the Macau Light Rapid Transit, and the benefits expected to be brought by Studio City’s proximity to one of the planned Cotai hotel-casino resort stops may not be fully realized until the commencement of operations of such light rail stop. Any further delays or termination of Macau’s transportation infrastructure projects may have a material adverse effect on our business, prospects, financial condition, results of operations and cash flows.</w:t>
      </w:r>
    </w:p>
    <w:p>
      <w:pPr>
        <w:spacing w:after="0" w:line="167" w:lineRule="exact"/>
        <w:rPr>
          <w:sz w:val="20"/>
          <w:szCs w:val="20"/>
          <w:color w:val="auto"/>
        </w:rPr>
      </w:pPr>
    </w:p>
    <w:p>
      <w:pPr>
        <w:jc w:val="both"/>
        <w:ind w:left="200" w:right="120" w:firstLine="881"/>
        <w:spacing w:after="0" w:line="264" w:lineRule="auto"/>
        <w:rPr>
          <w:sz w:val="20"/>
          <w:szCs w:val="20"/>
          <w:color w:val="auto"/>
        </w:rPr>
      </w:pPr>
      <w:r>
        <w:rPr>
          <w:rFonts w:ascii="Arial" w:cs="Arial" w:eastAsia="Arial" w:hAnsi="Arial"/>
          <w:sz w:val="18"/>
          <w:szCs w:val="18"/>
          <w:color w:val="auto"/>
        </w:rPr>
        <w:t>Furthermore, the expected reduction in travel time from Hong Kong as well as throughout China to Macau following the completion of the Hong Kong-Zhuhai-Macau Bridge, which opened to traffic on October 23, 2018, may not materialize, and may not result in increased traffic to Macau and to Studio City as a result.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 and safety or food safety incidents at Studio City may lead to reputational damage and financial exposures.</w:t>
      </w:r>
    </w:p>
    <w:p>
      <w:pPr>
        <w:spacing w:after="0" w:line="117"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We provide goods and services to a significant number of customers on a daily basis at Studio City. In particular, with the number of attractions, entertainment and food and beverage offerings in Studio City, there are risks of health and safety incidents or adverse food safety events, such as food poisoning, slip and fall accidents or surges in crowd flow at popular ingress and egress points. While we have a number of measures and controls in place aimed at managing such risks, we cannot guarantee that our insurance is adequate to cover all losses, which may subject us to incur additional costs and damages, and negatively impact our financial performance. Such incidents may also lead to reduced customer flow and reputational damage to Studio City.</w:t>
      </w:r>
    </w:p>
    <w:p>
      <w:pPr>
        <w:spacing w:after="0" w:line="30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risks, including misappropriation of customer information or other breaches of information security, as well as regulatory and other risks.</w:t>
      </w:r>
    </w:p>
    <w:p>
      <w:pPr>
        <w:spacing w:after="0" w:line="62"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We rely on information technology and other systems (including those maintained by third-parties with whom we contract to provide data services) to maintain and transmit large volumes of customer information,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 computer viruses, technical malfunction, inadequate system capacity, power outages, natural disasters and inadvertent, negligent or intentional misuse, disclosure or dissemination of information or data by customers, company staff or employees of third-party vendors as well as ransomware attacks that encrypt, exfiltrate or otherwise render data unusable or unavailable. These risks can also be manifested in a variety of other ways, including through methods which may not yet be known to the cyber security community, and have become increasingly difficult to anticipate and prevent.</w:t>
      </w:r>
    </w:p>
    <w:p>
      <w:pPr>
        <w:spacing w:after="0" w:line="182" w:lineRule="exact"/>
        <w:rPr>
          <w:sz w:val="20"/>
          <w:szCs w:val="20"/>
          <w:color w:val="auto"/>
        </w:rPr>
      </w:pPr>
    </w:p>
    <w:p>
      <w:pPr>
        <w:ind w:left="200" w:right="80" w:firstLine="881"/>
        <w:spacing w:after="0" w:line="288" w:lineRule="auto"/>
        <w:rPr>
          <w:sz w:val="20"/>
          <w:szCs w:val="20"/>
          <w:color w:val="auto"/>
        </w:rPr>
      </w:pPr>
      <w:r>
        <w:rPr>
          <w:rFonts w:ascii="Arial" w:cs="Arial" w:eastAsia="Arial" w:hAnsi="Arial"/>
          <w:sz w:val="16"/>
          <w:szCs w:val="16"/>
          <w:color w:val="auto"/>
        </w:rPr>
        <w:t>The steps we take to deter and mitigate these risks may not be successful and our insurance coverage for protecting against cyber 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sales and results 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Studio City may lead to an adverse impact on our operating results if we are unable to deliver services to customers for an extended period of time.</w:t>
      </w:r>
    </w:p>
    <w:p>
      <w:pPr>
        <w:spacing w:after="0" w:line="169" w:lineRule="exact"/>
        <w:rPr>
          <w:sz w:val="20"/>
          <w:szCs w:val="20"/>
          <w:color w:val="auto"/>
        </w:rPr>
      </w:pPr>
    </w:p>
    <w:p>
      <w:pPr>
        <w:ind w:left="200" w:right="200" w:firstLine="881"/>
        <w:spacing w:after="0" w:line="257"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could become outdated. The occurrence of any of the cyber incidents described above could have a material adverse effect on our business, results of operations and cash flows.</w:t>
      </w:r>
    </w:p>
    <w:p>
      <w:pPr>
        <w:spacing w:after="0" w:line="188" w:lineRule="exact"/>
        <w:rPr>
          <w:sz w:val="20"/>
          <w:szCs w:val="20"/>
          <w:color w:val="auto"/>
        </w:rPr>
      </w:pPr>
    </w:p>
    <w:p>
      <w:pPr>
        <w:ind w:left="200" w:right="20" w:firstLine="881"/>
        <w:spacing w:after="0" w:line="290" w:lineRule="auto"/>
        <w:rPr>
          <w:sz w:val="20"/>
          <w:szCs w:val="20"/>
          <w:color w:val="auto"/>
        </w:rPr>
      </w:pPr>
      <w:r>
        <w:rPr>
          <w:rFonts w:ascii="Arial" w:cs="Arial" w:eastAsia="Arial" w:hAnsi="Arial"/>
          <w:sz w:val="16"/>
          <w:szCs w:val="16"/>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and staff, expose us to risks of litigation, significant fines and penalties and liability, result in the deterioration of our customers’ and staff’s confidence in us, and adversely affect our business, results of operations and financial condition. Any perceived or actual unauthorized disclosure of personally identifiable information of our staff, customers or website visitors could harm our reputation and credibility and reduce our ability to attract and retain staff and customers. As these threats develop and grow,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employees.</w:t>
      </w:r>
    </w:p>
    <w:p>
      <w:pPr>
        <w:spacing w:after="0" w:line="274"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Failure to protect the integrity and security of company staff and customer information and comply with applicable privacy regulations may result in damage to reputation and/or subject us to fines, penalties, lawsuits, restrictions on our use or transfer of data and other risks.</w:t>
      </w:r>
    </w:p>
    <w:p>
      <w:pPr>
        <w:spacing w:after="0" w:line="16"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Our businesses collect, use and transmit large volumes of data, including credit card numbers and personal data in various information systems relating to our customers and staff, and such personal data may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collected and/or used in, and transmitted to or from, multiple jurisdictions. Our customers and staff have a high expectation that we will adequately protect their personal information. Such collection, use and/or transmission of personal data are governed by privacy laws and regulations and such laws and regulations change often, vary significantly by jurisdiction and often are newly enacted. For example, the European Union (EU)’s General Data Protection Regulation (“GDPR”), which became effective in May 2018, requires companies to meet new and more stringent requirements regarding the handling of personal data. The GDPR also captures data processing by non-EU firms with no EU establishment as long as such non-EU firms’ processing relates to “offering goods or services” or the “monitoring” of individuals in the EU. As GDPR is a newly enacted law, there is limited precedence on the interpretation and application of GDPR. In addition, we must also comply with other industry standards such as those for the credit card industry and other applicable data security standards.</w:t>
      </w:r>
    </w:p>
    <w:p>
      <w:pPr>
        <w:spacing w:after="0" w:line="179"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Compliance with applicable privacy regulations may increase our operating costs and/or adversely impact our ability to market our products, properties and services to our customers and guests. For example, these laws and regulations may restrict information sharing in ways that make it more difficult to obtain or share information concerning at risk individuals. In addition, non-compliance with applicable privacy regulations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30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62" w:lineRule="exact"/>
        <w:rPr>
          <w:sz w:val="20"/>
          <w:szCs w:val="20"/>
          <w:color w:val="auto"/>
        </w:rPr>
      </w:pPr>
    </w:p>
    <w:p>
      <w:pPr>
        <w:ind w:left="200" w:right="80" w:firstLine="881"/>
        <w:spacing w:after="0" w:line="290" w:lineRule="auto"/>
        <w:rPr>
          <w:sz w:val="20"/>
          <w:szCs w:val="20"/>
          <w:color w:val="auto"/>
        </w:rPr>
      </w:pPr>
      <w:r>
        <w:rPr>
          <w:rFonts w:ascii="Arial" w:cs="Arial" w:eastAsia="Arial" w:hAnsi="Arial"/>
          <w:sz w:val="16"/>
          <w:szCs w:val="16"/>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or financial condition.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its subconcession, its or our suitability to continue as a shareholder of certain subsidiaries and/or the suitability of key personnel to remain with the Gaming Operator. If any of these events were to occur, it would cause a material adverse effect on our business and prospects, financial condition and results of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qualified management and personnel cannot be retained at Studio City, our business could be significantly harmed.</w:t>
      </w:r>
    </w:p>
    <w:p>
      <w:pPr>
        <w:spacing w:after="0" w:line="117"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We place substantial reliance on the gaming, project development and hospitality industry experience and knowledge of the Macau market possessed by members of our board of directors, our senior management team as well as other management personnel who serve Studio City under the Management and Shared Services Arrangements. We may experience changes in our key management in the future for reasons beyond our control.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w:t>
      </w:r>
    </w:p>
    <w:p>
      <w:pPr>
        <w:spacing w:after="0" w:line="178"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Operation of Studio City also requires extensive operational management and staff. The supply of experienced skilled and unskilled personnel in Macau is severely limited. Many of the personnel occupy sensitive positions requiring qualifications sufficient to meet gaming regulatory and other requirements or are required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possess other skills for which substantial training and experience may be needed. Moreover, competition to recruit and retain qualified gaming and other personnel is likely to intensify further as competition in the Macau integrated resort market increases. In addition, concessionaires and subconcessionaires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recently been subject to certain labor demands and rallies. The inability to attract, retain and motivate qualified staff by the Gaming Operator and Master Service Providers could have a material adverse effect on our business.</w:t>
      </w:r>
    </w:p>
    <w:p>
      <w:pPr>
        <w:spacing w:after="0" w:line="165" w:lineRule="exact"/>
        <w:rPr>
          <w:sz w:val="20"/>
          <w:szCs w:val="20"/>
          <w:color w:val="auto"/>
        </w:rPr>
      </w:pPr>
    </w:p>
    <w:p>
      <w:pPr>
        <w:ind w:left="200" w:right="40" w:firstLine="881"/>
        <w:spacing w:after="0" w:line="270" w:lineRule="auto"/>
        <w:rPr>
          <w:sz w:val="20"/>
          <w:szCs w:val="20"/>
          <w:color w:val="auto"/>
        </w:rPr>
      </w:pPr>
      <w:r>
        <w:rPr>
          <w:rFonts w:ascii="Arial" w:cs="Arial" w:eastAsia="Arial" w:hAnsi="Arial"/>
          <w:sz w:val="17"/>
          <w:szCs w:val="17"/>
          <w:color w:val="auto"/>
        </w:rPr>
        <w:t>In addition, recruitment efforts for the operations of Studio City may be adversely impacted by Macau government’s policies with respect to the approval and renewal of work permits for non-resident workers. In its policy address for the financial year of 2016, the Macau government disclosed that it had turned down 59 renewal applications of non-resident skilled workers for the gaming industry in the period from January to August 2015, a three-fold increase on the number of applications declined the previous year. In its policy address for 2017, the Macau government announced that it would continue to submit the applications for employment of non-resident workers to a rigorous exam and to stimulate the promotion of local workers to management positions in the gaming industry, signaling a tighter control on the employment of non-resident workers. Further, in its policy addresses for 2018 and 2019, the Macau government has stressed once again that it will continue to monitor the proportion of management positions held by local workers in gaming operators and implement measures to ensure that such proportion is kept at a percentage not lower than 85% for senior and mid-management positions.</w:t>
      </w:r>
    </w:p>
    <w:p>
      <w:pPr>
        <w:spacing w:after="0" w:line="29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As we develop our remaining project, the construction of such project is subject to hazards that may cause personal injury or loss of life that expose us to liabilities and possible losses.</w:t>
      </w:r>
    </w:p>
    <w:p>
      <w:pPr>
        <w:spacing w:after="0" w:line="62"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The construction of large-scale properties, such as the remaining project for Studio City, can be dangerous. Construction workers at such sites are subject to hazards that may cause personal injury or loss of life, thereby subjecting the contractors and us to liabilities, possible losses, delays in completion of the projects and negative publicity. We believe, and require that, our contractors take safety precautions that are consistent with industry practice, but these safety precautions may not be adequate to prevent serious personal injuries or loss of life, damage to property or delays. We are in the early stages of development of the remaining project. However, if accidents occur during the construction of our remaining project, there may be serious delays, including delays imposed by regulators, liabilities and possible losses which may not be covered by insurance, and our business, prospects and reputation may be materially and adversely affected.</w:t>
      </w:r>
    </w:p>
    <w:p>
      <w:pPr>
        <w:spacing w:after="0" w:line="286" w:lineRule="exact"/>
        <w:rPr>
          <w:sz w:val="20"/>
          <w:szCs w:val="20"/>
          <w:color w:val="auto"/>
        </w:rPr>
      </w:pPr>
    </w:p>
    <w:p>
      <w:pPr>
        <w:ind w:left="200" w:right="380"/>
        <w:spacing w:after="0" w:line="308" w:lineRule="auto"/>
        <w:rPr>
          <w:sz w:val="20"/>
          <w:szCs w:val="20"/>
          <w:color w:val="auto"/>
        </w:rPr>
      </w:pPr>
      <w:r>
        <w:rPr>
          <w:rFonts w:ascii="Arial" w:cs="Arial" w:eastAsia="Arial" w:hAnsi="Arial"/>
          <w:sz w:val="17"/>
          <w:szCs w:val="17"/>
          <w:b w:val="1"/>
          <w:bCs w:val="1"/>
          <w:i w:val="1"/>
          <w:iCs w:val="1"/>
          <w:color w:val="auto"/>
        </w:rPr>
        <w:t>Any simultaneous planning, design, construction and development of our remaining project may stretch our management’s time and resources, which could lead to delays, increased costs and other inefficiencies in the development of these projects.</w:t>
      </w:r>
    </w:p>
    <w:p>
      <w:pPr>
        <w:spacing w:after="0" w:line="38" w:lineRule="exact"/>
        <w:rPr>
          <w:sz w:val="20"/>
          <w:szCs w:val="20"/>
          <w:color w:val="auto"/>
        </w:rPr>
      </w:pPr>
    </w:p>
    <w:p>
      <w:pPr>
        <w:ind w:left="200" w:right="20" w:firstLine="881"/>
        <w:spacing w:after="0" w:line="276" w:lineRule="auto"/>
        <w:rPr>
          <w:sz w:val="20"/>
          <w:szCs w:val="20"/>
          <w:color w:val="auto"/>
        </w:rPr>
      </w:pPr>
      <w:r>
        <w:rPr>
          <w:rFonts w:ascii="Arial" w:cs="Arial" w:eastAsia="Arial" w:hAnsi="Arial"/>
          <w:sz w:val="17"/>
          <w:szCs w:val="17"/>
          <w:color w:val="auto"/>
        </w:rPr>
        <w:t>There may be overlap in the planning, design, development and construction periods of our remaining project. Members of our senior management will be involved in planning and developing our remaining project at the same time, in addition to overseeing our day-to-day operations. Our management may be unable to devote sufficient time and attention to the remaining project, as well as Studio City, which may result in delays in the construction or opening of any of our future projects, cause construction cost overruns or cause the performance of Studio City to be lower than expected, which could have a material adverse effect on our business, financial condition and results of operations.</w:t>
      </w:r>
    </w:p>
    <w:p>
      <w:pPr>
        <w:spacing w:after="0" w:line="28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Our contractors may face difficulties in finding sufficient labor at an acceptable cost, which could cause delays and increase construction costs after we commence development of our remaining project.</w:t>
      </w:r>
    </w:p>
    <w:p>
      <w:pPr>
        <w:spacing w:after="0" w:line="62" w:lineRule="exact"/>
        <w:rPr>
          <w:sz w:val="20"/>
          <w:szCs w:val="20"/>
          <w:color w:val="auto"/>
        </w:rPr>
      </w:pPr>
    </w:p>
    <w:p>
      <w:pPr>
        <w:ind w:left="200" w:right="700" w:firstLine="881"/>
        <w:spacing w:after="0" w:line="277" w:lineRule="auto"/>
        <w:rPr>
          <w:sz w:val="20"/>
          <w:szCs w:val="20"/>
          <w:color w:val="auto"/>
        </w:rPr>
      </w:pPr>
      <w:r>
        <w:rPr>
          <w:rFonts w:ascii="Arial" w:cs="Arial" w:eastAsia="Arial" w:hAnsi="Arial"/>
          <w:sz w:val="18"/>
          <w:szCs w:val="18"/>
          <w:color w:val="auto"/>
        </w:rPr>
        <w:t>The contractors we retain to construct our projects may face difficulties and competition in finding qualified construction labor and managers as more projects commence construction in Macau and as substantial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construction activity continues in China. Immigration and labor regulations in Macau may cause our contractors to be unable to recruit sufficient laborers from China to make up for any shortage in available labor in Macau and to help reduce the costs of construction, which could cause delays and increase the construction costs of our remaining project.</w:t>
      </w:r>
    </w:p>
    <w:p>
      <w:pPr>
        <w:spacing w:after="0" w:line="289"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16" w:lineRule="exact"/>
        <w:rPr>
          <w:sz w:val="20"/>
          <w:szCs w:val="20"/>
          <w:color w:val="auto"/>
        </w:rPr>
      </w:pPr>
    </w:p>
    <w:p>
      <w:pPr>
        <w:ind w:left="200" w:firstLine="881"/>
        <w:spacing w:after="0" w:line="288" w:lineRule="auto"/>
        <w:rPr>
          <w:sz w:val="20"/>
          <w:szCs w:val="20"/>
          <w:color w:val="auto"/>
        </w:rPr>
      </w:pPr>
      <w:r>
        <w:rPr>
          <w:rFonts w:ascii="Arial" w:cs="Arial" w:eastAsia="Arial" w:hAnsi="Arial"/>
          <w:sz w:val="16"/>
          <w:szCs w:val="16"/>
          <w:color w:val="auto"/>
        </w:rPr>
        <w:t>As part of our branding strategy, we have applied for or registered a number of trademarks (including “Studio City” trademarks and “Where Cotai Begins”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 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 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w:t>
      </w:r>
    </w:p>
    <w:p>
      <w:pPr>
        <w:spacing w:after="0" w:line="169"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have sufficient insurance coverage.</w:t>
      </w:r>
    </w:p>
    <w:p>
      <w:pPr>
        <w:spacing w:after="0" w:line="117" w:lineRule="exact"/>
        <w:rPr>
          <w:sz w:val="20"/>
          <w:szCs w:val="20"/>
          <w:color w:val="auto"/>
        </w:rPr>
      </w:pPr>
    </w:p>
    <w:p>
      <w:pPr>
        <w:ind w:left="200" w:right="100" w:firstLine="881"/>
        <w:spacing w:after="0" w:line="293" w:lineRule="auto"/>
        <w:rPr>
          <w:sz w:val="20"/>
          <w:szCs w:val="20"/>
          <w:color w:val="auto"/>
        </w:rPr>
      </w:pPr>
      <w:r>
        <w:rPr>
          <w:rFonts w:ascii="Arial" w:cs="Arial" w:eastAsia="Arial" w:hAnsi="Arial"/>
          <w:sz w:val="16"/>
          <w:szCs w:val="16"/>
          <w:color w:val="auto"/>
        </w:rPr>
        <w:t>We currently have various insurance policies providing certain coverage typically required by gaming and hospitality operations in Macau. These insurance policies provide coverage that is subject to policy terms, 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The cost of coverage may in the future become so high that insurance policies we deem necessary for the operation of our projects may not be obtainable on commercially practicable terms, or at all, or policy limits may need to be reduced or exclusions from our coverage expanded.</w:t>
      </w:r>
    </w:p>
    <w:p>
      <w:pPr>
        <w:spacing w:after="0" w:line="165"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We cannot assure you that any such insurance policies we or Melco Resorts obtained or may obtain will be adequate to protect us from material losses. Certain acts and events could expose us to significant uninsured losses. In addition to the damages caused directly by a casualty loss such as fire or natural disasters, we may suffer a disruption of our business as a result of these events or be subject to claims by third parties who may be injured or harmed. While we intend to continue carrying business interruption insurance and general liability insurance, such insurance may not be available on commercially reasonable terms, or at all, and, in any event, may not be adequate to cover all losses that may result from such events.</w:t>
      </w:r>
    </w:p>
    <w:p>
      <w:pPr>
        <w:spacing w:after="0" w:line="158"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There is limited available insurance in Macau and our insurers in Macau may need to secure reinsurance in order to provide adequate cover for our property and development projects. Our credit agreements,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Subconcession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Subconcession Contract and may have a material adverse effect on our business, financial condition, results of operations and cash flows.</w:t>
      </w:r>
    </w:p>
    <w:p>
      <w:pPr>
        <w:spacing w:after="0" w:line="29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Studio City Entertainment’s tax exemption from complementary tax on income received from the Gaming Operator under the Services and Right to Use Arrangements will expire in 2021.</w:t>
      </w:r>
    </w:p>
    <w:p>
      <w:pPr>
        <w:spacing w:after="0" w:line="62"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 We cannot assure you that the complementary tax exemption to Studio City Entertainment will be extended beyond its expiration date. If the tax exemption cannot be extended and we are held liable for complementary tax, it may have a material adverse effect on our financial condition.</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From time to time, we may be involved in legal and other proceedings arising out of our operations.</w:t>
      </w:r>
    </w:p>
    <w:p>
      <w:pPr>
        <w:spacing w:after="0" w:line="117" w:lineRule="exact"/>
        <w:rPr>
          <w:sz w:val="20"/>
          <w:szCs w:val="20"/>
          <w:color w:val="auto"/>
        </w:rPr>
      </w:pPr>
    </w:p>
    <w:p>
      <w:pPr>
        <w:ind w:left="200" w:right="60" w:firstLine="881"/>
        <w:spacing w:after="0" w:line="287" w:lineRule="auto"/>
        <w:rPr>
          <w:sz w:val="20"/>
          <w:szCs w:val="20"/>
          <w:color w:val="auto"/>
        </w:rPr>
      </w:pPr>
      <w:r>
        <w:rPr>
          <w:rFonts w:ascii="Arial" w:cs="Arial" w:eastAsia="Arial" w:hAnsi="Arial"/>
          <w:sz w:val="16"/>
          <w:szCs w:val="16"/>
          <w:color w:val="auto"/>
        </w:rPr>
        <w:t>We may be involved in disputes with various parties involved in the construction and operation of Studio City, including contractual disputes with contractors, consultants, suppliers, retailers, food and beverage operators and 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development schedule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 regulatory bodies in the course of our operations, which may subject us to administrative proceedings and unfavorable decisions that result in penalties, suspension or restrictions on our operations, and/or delay the development of our remaining project at Studio City or closure of outlets at Studio City that are currently in operation. In such cases, our business, financial condition, results of operations and cash flows could be materially and adversely affected.</w:t>
      </w:r>
    </w:p>
    <w:p>
      <w:pPr>
        <w:spacing w:after="0" w:line="173"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In addition, if we are unsuccessful in defending against any claims alleging that we received misappropriated or misapplied funds, this may require further improvements to our existing anti-money laundering procedures, systems and controls and our business operations may be subject to greater scrutiny from relevant regulatory authorities, all of which may increase our compliance costs. We cannot assure you that any provisions we have made for such matters will be sufficient.</w:t>
      </w:r>
    </w:p>
    <w:p>
      <w:pPr>
        <w:spacing w:after="0" w:line="295"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Any failure or alleged failure to comply with the U.S. Foreign Corrupt Practices Act, or FCPA, could result in penalties, which could harm our reputation and have an adverse effect on our business, results of operations and financial condition.</w:t>
      </w:r>
    </w:p>
    <w:p>
      <w:pPr>
        <w:spacing w:after="0" w:line="62" w:lineRule="exact"/>
        <w:rPr>
          <w:sz w:val="20"/>
          <w:szCs w:val="20"/>
          <w:color w:val="auto"/>
        </w:rPr>
      </w:pPr>
    </w:p>
    <w:p>
      <w:pPr>
        <w:ind w:left="200" w:right="80" w:firstLine="881"/>
        <w:spacing w:after="0" w:line="255" w:lineRule="auto"/>
        <w:rPr>
          <w:sz w:val="20"/>
          <w:szCs w:val="20"/>
          <w:color w:val="auto"/>
        </w:rPr>
      </w:pPr>
      <w:r>
        <w:rPr>
          <w:rFonts w:ascii="Arial" w:cs="Arial" w:eastAsia="Arial" w:hAnsi="Arial"/>
          <w:sz w:val="18"/>
          <w:szCs w:val="18"/>
          <w:color w:val="auto"/>
        </w:rPr>
        <w:t>We are subject to regulations imposed by the FCPA, which prohibits companies and any individuals or entities acting on their behalf from offering or making improper payments or providing benefits to foreign officials for the purpose of obtaining or keeping business, along with various other anti-corruption laws. There has been a general increase in FCPA enforcement activities in recent years by the SEC and the U.S. Department of Justice. Both the number of FCPA cases and sanctions imposed have risen significantly. While we have adopted a compliance program to manage our obligations under the FCPA, we cannot assure you that our staff, contractors and agents will continually adhere to the compliance program. Should they not follow the program,</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we could be subject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Fluctuation in the value of the H.K. dollar, U.S. dollar, Macau Pataca or RMB may adversely affect our indebtedness, expenses and profitability.</w:t>
      </w:r>
    </w:p>
    <w:p>
      <w:pPr>
        <w:spacing w:after="0" w:line="140" w:lineRule="exact"/>
        <w:rPr>
          <w:sz w:val="20"/>
          <w:szCs w:val="20"/>
          <w:color w:val="auto"/>
        </w:rPr>
      </w:pPr>
    </w:p>
    <w:p>
      <w:pPr>
        <w:ind w:left="200" w:right="20" w:firstLine="881"/>
        <w:spacing w:after="0" w:line="287" w:lineRule="auto"/>
        <w:rPr>
          <w:sz w:val="20"/>
          <w:szCs w:val="20"/>
          <w:color w:val="auto"/>
        </w:rPr>
      </w:pPr>
      <w:r>
        <w:rPr>
          <w:rFonts w:ascii="Arial" w:cs="Arial" w:eastAsia="Arial" w:hAnsi="Arial"/>
          <w:sz w:val="16"/>
          <w:szCs w:val="16"/>
          <w:color w:val="auto"/>
        </w:rPr>
        <w:t>Although the majority of the revenues from the operation of Studio City are denominated in H.K. dollars, we have certain expenses and revenues denominated in Macau Patacas. In addition, a certain portion of our indebtedness and certain expenses are denominated in U.S. dollars, and the costs associated with repaying such debt and servicing interest payments are denominated in U.S. dollars. The value of the H.K. dollar and Macau Patacas against the U.S. dollar may fluctuate and may be affected by, among other things, changes in political and economic conditions. Although the exchange rate between the H.K. dollar and the U.S. dollar has been pegged since 1983 and the Macau Pataca is pegged to the H.K. dollar, we cannot assure you that the H.K. dollar will remain pegged to the U.S. dollar and that the Macau Pataca will remain pegged to the H.K. dollar. In addition, the currency market for Macau Patacas is relatively small and undeveloped and therefore our ability to convert large amounts of Macau Patacas into U.S. dollars over a relatively short period of time may be limited. As a result, we may experience difficulty in converting Macau Patacas into U.S. dollars, which could hinder our ability to service a portion of our indebtedness and certain expenses denominated in U.S. dollars. On the other hand, to the extent that we are required to convert U.S. dollar financings into H.K. dollars or Macau Patacas for our operations, fluctuations in the exchange rates between H.K. dollars or Macau Patacas against the U.S. dollar could have an adverse effect on the amounts we receive from the conversion.</w:t>
      </w:r>
    </w:p>
    <w:p>
      <w:pPr>
        <w:spacing w:after="0" w:line="173"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Furthermore, the depreciation of RMB against U.S. dollar or H.K. dollar will affect the purchasing power of visitors from the PRC, which in turn may affect the visitation and level of spending at Studio City. To date we have not engaged in hedging transactions with respect to foreign exchange exposure of our revenues and expenses in our day-to-day operations. Instead, we plan to maintain a certain amount of our operating funds in the same currencies in which we have obligations, thereby reducing our exposure to currency fluctuations.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w:t>
      </w:r>
    </w:p>
    <w:p>
      <w:pPr>
        <w:spacing w:after="0" w:line="297"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The audit reports included in this annual report have been prepared by auditors whose work may not be inspected fully by the Public Company Accounting Oversight Board and, as such, you may be deprived of the benefits of such inspection.</w:t>
      </w:r>
    </w:p>
    <w:p>
      <w:pPr>
        <w:spacing w:after="0" w:line="62"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Our independent registered public accounting firms that issue the audit reports included in our annual reports filed with the SEC as auditors of companies that are traded publicly in the United States and firms registered with the Public Company Accounting Oversight Board (United States), or the PCAOB, are required by the laws of the United States to undergo regular inspections by the PCAOB to assess their respective compliance with the laws of the United States and professional standards.</w:t>
      </w:r>
    </w:p>
    <w:p>
      <w:pPr>
        <w:spacing w:after="0" w:line="187"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Many other clients of our auditors have substantial operations within mainland China, and the PCAOB has been unable to complete inspections of the work of our auditors, and/or their affiliated independent registered public accounting firms in mainland China</w:t>
      </w:r>
      <w:r>
        <w:rPr>
          <w:rFonts w:ascii="Arial" w:cs="Arial" w:eastAsia="Arial" w:hAnsi="Arial"/>
          <w:sz w:val="17"/>
          <w:szCs w:val="17"/>
          <w:b w:val="1"/>
          <w:bCs w:val="1"/>
          <w:color w:val="auto"/>
        </w:rPr>
        <w:t>,</w:t>
      </w:r>
      <w:r>
        <w:rPr>
          <w:rFonts w:ascii="Arial" w:cs="Arial" w:eastAsia="Arial" w:hAnsi="Arial"/>
          <w:sz w:val="17"/>
          <w:szCs w:val="17"/>
          <w:color w:val="auto"/>
        </w:rPr>
        <w:t xml:space="preserve"> without the approval of the Chinese authorities. Thus, our auditors, and/or their affiliated independent registered public accounting firms in mainland China, and their audit work are not currently inspected fully by the PCAOB. On December 7, 2018, the SEC and the PCAOB issued a joint statement highlighting continued challenges faced by the U.S. regulation in their oversight of financial statement audits of U.S.-listed companies with significant operation in China. However, it remains unclear what further actions the SEC and PCAOB will take to address the problem.</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Inspections of other firms that the PCAOB has conducted outside mainland China have identified deficiencies in those firms’ audit procedures and quality control procedures, which can be addressed as part of the inspection process to improve future audit quality. The lack of PCAOB inspections in mainland China prevents the PCAOB from regularly evaluating our auditors’ audit procedures and quality control procedures as they relate to their work, and/or their affiliated independent registered public accounting firms’ work, in mainland China. As a result, investors may be deprived of the benefits of such regular inspections.</w:t>
      </w:r>
    </w:p>
    <w:p>
      <w:pPr>
        <w:spacing w:after="0" w:line="188"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The inability of the PCAOB to conduct full inspections of auditors in mainland China makes it more difficult to evaluate the effectiveness of our auditors’ audit procedures and quality control procedures as compared to auditors who primarily work in jurisdictions where the PCAOB has full inspection access. Investors may lose confidence in our reported financial information and the quality of our financial statements.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Gaming Industry in Macau</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The Subconcession Contract expires in 2022 and if the Gaming Operator is unable to secure an extension of its subconcession, or a new concession or subconcession, in 2022, or if the Macau government were to exercise its redemption right, the Gaming Operator would be unable to operate Studio City Casino.</w:t>
      </w:r>
    </w:p>
    <w:p>
      <w:pPr>
        <w:spacing w:after="0" w:line="73" w:lineRule="exact"/>
        <w:rPr>
          <w:sz w:val="20"/>
          <w:szCs w:val="20"/>
          <w:color w:val="auto"/>
        </w:rPr>
      </w:pPr>
    </w:p>
    <w:p>
      <w:pPr>
        <w:ind w:left="200" w:right="40" w:firstLine="881"/>
        <w:spacing w:after="0" w:line="271" w:lineRule="auto"/>
        <w:rPr>
          <w:sz w:val="20"/>
          <w:szCs w:val="20"/>
          <w:color w:val="auto"/>
        </w:rPr>
      </w:pPr>
      <w:r>
        <w:rPr>
          <w:rFonts w:ascii="Arial" w:cs="Arial" w:eastAsia="Arial" w:hAnsi="Arial"/>
          <w:sz w:val="17"/>
          <w:szCs w:val="17"/>
          <w:color w:val="auto"/>
        </w:rPr>
        <w:t>The Subconcession Contract expires on June 26, 2022. Unless it is extended beyond this date, a new concession or subconcession is granted and/or legislation on reversion of casino premises is amended, Studio City Casino’s gaming related equipment operated by the Gaming Operator under its subconcession will automatically revert to the Macau government without compensation. In addition, under the Subconcession Contract, from 2017, the Macau government has the right to redeem the Subconcession Contract by providing the Gaming Operator with at least one year’s prior notice. The Macau government has not issued formal guidelines or policies with respect to the renewal or extension of subconcessions. In the event the Gaming Operator is not able to renew or extend the Subconcession Contract on terms favorable or acceptable to it, or at all, or the Macau government redeems the Subconcession, our results of operations, financial condition, cash flows and prospects may be materially and adversely affected and we would be subject to additional refinancing risks with respect to our existing indebtedness.</w:t>
      </w:r>
    </w:p>
    <w:p>
      <w:pPr>
        <w:spacing w:after="0" w:line="2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Under the Gaming Operator’s subconcession, the Macau government may terminate the subconcession under certain circumstances without compensation to the Gaming Operator and may determine that Studio City Casino may not continue to operate under the Services and Right to Use Arrangements, which would prevent the operation of Studio City Casino.</w:t>
      </w:r>
    </w:p>
    <w:p>
      <w:pPr>
        <w:spacing w:after="0" w:line="73" w:lineRule="exact"/>
        <w:rPr>
          <w:sz w:val="20"/>
          <w:szCs w:val="20"/>
          <w:color w:val="auto"/>
        </w:rPr>
      </w:pPr>
    </w:p>
    <w:p>
      <w:pPr>
        <w:ind w:left="200" w:right="20" w:firstLine="881"/>
        <w:spacing w:after="0" w:line="268" w:lineRule="auto"/>
        <w:rPr>
          <w:sz w:val="20"/>
          <w:szCs w:val="20"/>
          <w:color w:val="auto"/>
        </w:rPr>
      </w:pPr>
      <w:r>
        <w:rPr>
          <w:rFonts w:ascii="Arial" w:cs="Arial" w:eastAsia="Arial" w:hAnsi="Arial"/>
          <w:sz w:val="17"/>
          <w:szCs w:val="17"/>
          <w:color w:val="auto"/>
        </w:rPr>
        <w:t>Under the Gaming Operator’s subconcession, the Macau government has the right to unilaterally terminate the subconcession in the event of non-compliance by the Gaming Operator with its basic obligations under the subconcession and applicable Macau laws. If such a termination were to occur, the Gaming Operator would be unable to operate casino gaming in Macau, including Studio City Casino. Termination events include, among others, the operation of gaming without permission or operation of a business which does not fall within the business scope of the subconcession; abandonment of approved business or suspension of operations of its gaming business in Macau without reasonable grounds for more than seven consecutive days or more than 14 non-consecutive days within one calendar year;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and systematic non-compliance with the Macau Gaming Law’s basic obligations. These events could lead to the termination of the Gaming Operator’s subconcession without compensation and the Gaming Operator would be unable to operate casino gaming in Macau, which would have a material adverse effect on our financial condition, results of operations and cash flows and could result in defaults under our indebtedness agreements and a partial or complete loss of our investments in Studio City. In many of these instances, the Subconcession Contract does not provide a specific cure period within which any such events may be cured and, instead, the Gaming Operator would rely on consultations and negotiations with the Macau government to remedy any such violation.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Under the terms of the Services and Right to Use Arrangements to which Studio City Entertainment, one of our subsidiaries, is a party, the Gaming Operator has agreed to operate Studio City Casino. If, upon termination of the Gaming Operator’s subconcession, Studio City Entertainment were not able to enter into similar arrangements with other gaming concessionaires or subconcessionaires in Macau, Studio City Casino may not be able to continue to operate.</w:t>
      </w:r>
    </w:p>
    <w:p>
      <w:pPr>
        <w:spacing w:after="0" w:line="187" w:lineRule="exact"/>
        <w:rPr>
          <w:sz w:val="20"/>
          <w:szCs w:val="20"/>
          <w:color w:val="auto"/>
        </w:rPr>
      </w:pPr>
    </w:p>
    <w:p>
      <w:pPr>
        <w:ind w:left="200" w:right="40" w:firstLine="881"/>
        <w:spacing w:after="0" w:line="293" w:lineRule="auto"/>
        <w:rPr>
          <w:sz w:val="20"/>
          <w:szCs w:val="20"/>
          <w:color w:val="auto"/>
        </w:rPr>
      </w:pPr>
      <w:r>
        <w:rPr>
          <w:rFonts w:ascii="Arial" w:cs="Arial" w:eastAsia="Arial" w:hAnsi="Arial"/>
          <w:sz w:val="16"/>
          <w:szCs w:val="16"/>
          <w:color w:val="auto"/>
        </w:rPr>
        <w:t>Further, if Studio City Entertainment were to be found unsuitable or to undertake actions that are inconsistent with the Gaming Operator’s subconcession terms and requirements, the Gaming Operator could suffer penalties, including the termination of its subconcession, and the Macau government may determine that Studio City Casino may not continue to operate under the Services and Right to Use Arrangements or at all. This would have a material adverse effect on our financial condition, results of operations and cash flows and could result in defaults under our indebtedness, and a partial or complete loss of our investments in Studio City. For details of the terms of the Services and Right to Use Arrangements, see “Item 7. Major Shareholders and Related Party Transactions — B. Related Party Transactions — Services and Right to Use Arrangements.”</w:t>
      </w:r>
    </w:p>
    <w:p>
      <w:pPr>
        <w:spacing w:after="0" w:line="165"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Under the Gaming Operator’s subconcession, the Macau government is allowed to request various changes in the plans and specifications of the properties operated by the Gaming Operator, including Studio City Casino, and to make various other decisions and determinations that may be binding on us. For example, Macau’s Chief Executive has the right to require the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subconcession.</w:t>
      </w:r>
    </w:p>
    <w:p>
      <w:pPr>
        <w:spacing w:after="0" w:line="179" w:lineRule="exact"/>
        <w:rPr>
          <w:sz w:val="20"/>
          <w:szCs w:val="20"/>
          <w:color w:val="auto"/>
        </w:rPr>
      </w:pPr>
    </w:p>
    <w:p>
      <w:pPr>
        <w:ind w:left="200" w:right="100" w:firstLine="881"/>
        <w:spacing w:after="0" w:line="273" w:lineRule="auto"/>
        <w:rPr>
          <w:sz w:val="20"/>
          <w:szCs w:val="20"/>
          <w:color w:val="auto"/>
        </w:rPr>
      </w:pPr>
      <w:r>
        <w:rPr>
          <w:rFonts w:ascii="Arial" w:cs="Arial" w:eastAsia="Arial" w:hAnsi="Arial"/>
          <w:sz w:val="17"/>
          <w:szCs w:val="17"/>
          <w:color w:val="auto"/>
        </w:rPr>
        <w:t>The Subconcession Contract also contains various covenants and other obligations as to which the determination of compliance is subjective, and any failure to comply with any such covenant or obligation could result in the termination of the subconcession. For example, requirements of compliance with general and special duties of cooperation and special duties of information may be subjective, and we cannot assure you that the Gaming Operator will always be able to operate gaming activities in a manner satisfactory to the Macau government. Accordingly, we will be impacted by the Gaming Operator’s continuing communications and good faith negotiations with the Macau government to ensure that the Gaming Operator is performing its obligations under the subconcession in a manner that would avoid any violations.</w:t>
      </w:r>
    </w:p>
    <w:p>
      <w:pPr>
        <w:spacing w:after="0" w:line="178"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Furthermore, pursuant to the Subconcession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Studio City Casino. If any disagreement arises between the Gaming Operator and the Macau government regarding the interpretation of, or its compliance with, a provision of the Subconcession Contract, we will be relying on its consultation and negotiation process with the applicable Macau governmental agency as described above. During any such consultation, however, the Gaming Operator will be obligated to comply with the terms of the Subconcession Contract as interpreted by the Macau government.</w:t>
      </w:r>
    </w:p>
    <w:p>
      <w:pPr>
        <w:spacing w:after="0" w:line="178"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Currently, under the Macau Gaming Law, upon the expiration or termination of the Gaming Operator’s subconcession by the Macau government, all of the Gaming Operator’s casino premises and gaming equipment, including Studio City Casino’s gaming area and equipment, would revert to the Macau government automatically without compensation to the Gaming Operator. Based on information from the Macau government, proposed amendments to the legislation regarding the reversion of casino premises are being considered. We expect that if such amendments take effect, upon the expiration or termination of the Gaming Operator’s subconcession by the Macau government, only the portion of casino premises within the Gaming Operator’s development as then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designated by the Macau government (including all gaming equipment) would revert to the Macau government automatically without compensation to the Gaming Operator.</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i w:val="1"/>
          <w:iCs w:val="1"/>
          <w:color w:val="auto"/>
        </w:rPr>
        <w:t>Studio City Casino faces intense competition in the gaming industry of Macau and elsewhere in Asia, and it may not be able to compete successfully.</w:t>
      </w:r>
    </w:p>
    <w:p>
      <w:pPr>
        <w:spacing w:after="0" w:line="152" w:lineRule="exact"/>
        <w:rPr>
          <w:sz w:val="20"/>
          <w:szCs w:val="20"/>
          <w:color w:val="auto"/>
        </w:rPr>
      </w:pPr>
    </w:p>
    <w:p>
      <w:pPr>
        <w:ind w:left="200" w:right="60" w:firstLine="881"/>
        <w:spacing w:after="0" w:line="289" w:lineRule="auto"/>
        <w:rPr>
          <w:sz w:val="20"/>
          <w:szCs w:val="20"/>
          <w:color w:val="auto"/>
        </w:rPr>
      </w:pPr>
      <w:r>
        <w:rPr>
          <w:rFonts w:ascii="Arial" w:cs="Arial" w:eastAsia="Arial" w:hAnsi="Arial"/>
          <w:sz w:val="16"/>
          <w:szCs w:val="16"/>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some of our competitors have opened new properties, expanded operations and/or announced their intention for further expansion and developments in Cotai, where Studio City is located. For example, Galaxy Casino, S.A., or Galaxy, opened Galaxy Macau Resort in Cotai in May 2011, Phase 2 of the Galaxy Macau Resort opened in May 2015 and Phase 3 of the Galaxy Macau Resort is currently being developed and expected to be completed and operational in 2020, while Phase 4 is expected to be completed and operational after 2021. Sands Cotai Central in Cotai opened in April 2012, Wynn Palace opened in August 2016, Parisian Macao opened in September 2016 and MGM Cotai opened in February 2018. In addition, Sociedade de Jogos de Macau, S.A., or SJM is currently developing its project in Cotai which is expected to open in 2019.</w:t>
      </w:r>
    </w:p>
    <w:p>
      <w:pPr>
        <w:spacing w:after="0" w:line="167" w:lineRule="exact"/>
        <w:rPr>
          <w:sz w:val="20"/>
          <w:szCs w:val="20"/>
          <w:color w:val="auto"/>
        </w:rPr>
      </w:pPr>
    </w:p>
    <w:p>
      <w:pPr>
        <w:ind w:left="200" w:right="160" w:firstLine="881"/>
        <w:spacing w:after="0" w:line="271" w:lineRule="auto"/>
        <w:rPr>
          <w:sz w:val="20"/>
          <w:szCs w:val="20"/>
          <w:color w:val="auto"/>
        </w:rPr>
      </w:pPr>
      <w:r>
        <w:rPr>
          <w:rFonts w:ascii="Arial" w:cs="Arial" w:eastAsia="Arial" w:hAnsi="Arial"/>
          <w:sz w:val="17"/>
          <w:szCs w:val="17"/>
          <w:color w:val="auto"/>
        </w:rPr>
        <w:t>Studio City Casino will also compete to some extent with casinos located in other countries, such as Singapore, the Philippines, Malaysia, South Korea, Vietnam, Cambodia, Australia, New Zealand, Japan and elsewhere in the world, including Las Vegas and Atlantic City in the United States. In addition, a law which conceptually enables the development of integrated resorts in Japan took effect in December 2016, with corresponding legislation providing a legislative framework for the development and implementation of integrated resorts in Japan taking effect in July 2018. Certain other markets may in the future legalize casino gaming, including Taiwan and Thailand. Certain of these gaming markets may not be subject to as stringent regulations as the Macau market. Studio City Casino will also compete with cruise ships operating out of Hong Kong and other areas of Asia that offer gaming. The proliferation of gaming venues in Asia could significantly and adversely affect our business, results of operations, financial condition, cash flows and prospects.</w:t>
      </w:r>
    </w:p>
    <w:p>
      <w:pPr>
        <w:spacing w:after="0" w:line="179" w:lineRule="exact"/>
        <w:rPr>
          <w:sz w:val="20"/>
          <w:szCs w:val="20"/>
          <w:color w:val="auto"/>
        </w:rPr>
      </w:pPr>
    </w:p>
    <w:p>
      <w:pPr>
        <w:ind w:left="200" w:right="140" w:firstLine="881"/>
        <w:spacing w:after="0" w:line="279" w:lineRule="auto"/>
        <w:rPr>
          <w:sz w:val="20"/>
          <w:szCs w:val="20"/>
          <w:color w:val="auto"/>
        </w:rPr>
      </w:pPr>
      <w:r>
        <w:rPr>
          <w:rFonts w:ascii="Arial" w:cs="Arial" w:eastAsia="Arial" w:hAnsi="Arial"/>
          <w:sz w:val="17"/>
          <w:szCs w:val="17"/>
          <w:color w:val="auto"/>
        </w:rPr>
        <w:t>Currently, Macau is the only region in Greater China offering legal casino gaming. Although the Chinese government has strictly enforced its regulations prohibiting domestic gaming operations, there may be casinos in parts of China that are operated illegally and without licenses. In addition, there is no assurance that China will not in the future permit domestic gaming operations. Competition from casinos in China, legal or illegal, could materially adversely affect our business, results of operations, financial condition, cash flows and prospects.</w:t>
      </w:r>
    </w:p>
    <w:p>
      <w:pPr>
        <w:spacing w:after="0" w:line="17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Furthermore, Melco Resorts, as well as the Gaming Operator, may take action to construct and operate new gaming projects or invest in such projects, located in other countries in the Asia region (including new gaming projects in Macau), which, along with their current operations, such as Altira Macau and City of Dreams, may increase the competition Studio City Casino will face. See “— Risks Relating to Our Relationship with Melco Resorts — We may have conflicts of interest with Melco Resorts and, because of Melco Resorts’ controlling ownership interest in our company, we may not be able to resolve such conflicts on favorable terms for us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9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Adverse changes or developments in gaming laws or regulations in Macau could be difficult to comply with or significantly increase costs, which could cause Studio City Casino to be unsuccessful.</w:t>
      </w:r>
    </w:p>
    <w:p>
      <w:pPr>
        <w:spacing w:after="0" w:line="62" w:lineRule="exact"/>
        <w:rPr>
          <w:sz w:val="20"/>
          <w:szCs w:val="20"/>
          <w:color w:val="auto"/>
        </w:rPr>
      </w:pPr>
    </w:p>
    <w:p>
      <w:pPr>
        <w:ind w:left="200" w:right="220" w:firstLine="881"/>
        <w:spacing w:after="0" w:line="279" w:lineRule="auto"/>
        <w:rPr>
          <w:sz w:val="20"/>
          <w:szCs w:val="20"/>
          <w:color w:val="auto"/>
        </w:rPr>
      </w:pPr>
      <w:r>
        <w:rPr>
          <w:rFonts w:ascii="Arial" w:cs="Arial" w:eastAsia="Arial" w:hAnsi="Arial"/>
          <w:sz w:val="17"/>
          <w:szCs w:val="17"/>
          <w:color w:val="auto"/>
        </w:rPr>
        <w:t>Current laws in Macau, such as licensing requirements, tax rates and other regulatory obligations, including those for anti-money laundering, could change or become more stringent resulting in additional regulations being imposed upon gaming operations in Macau, including Studio City Casino. Any such adverse developments in the regulation of the gaming industry could be difficult to comply with and could significantly increase costs, which could cause Studio City Casino to be unsuccessful and adversely affect our financial performance.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In September 2009, the Macau government set a cap on commission payments to gaming promoters of 1.25% of net rolling. This policy may limit the Gaming Operator’s ability to develop successful relationships with gaming promoters and attract VIP rolling chip players, which in turn may adversely affect the financial performance of the VIP rolling chip operations at Studio City Casino while they continue. Any failure to comply with these regulations may result in the imposition of liabilities, fines and other penalties and may materially and adversely affect the Gaming Operator’s subconcession. See “Item 4. Information on the Company — B. Business Overview — Gaming Promoters Regulations.”</w:t>
      </w:r>
    </w:p>
    <w:p>
      <w:pPr>
        <w:spacing w:after="0" w:line="173" w:lineRule="exact"/>
        <w:rPr>
          <w:sz w:val="20"/>
          <w:szCs w:val="20"/>
          <w:color w:val="auto"/>
        </w:rPr>
      </w:pPr>
    </w:p>
    <w:p>
      <w:pPr>
        <w:ind w:left="200" w:right="240" w:firstLine="881"/>
        <w:spacing w:after="0" w:line="255" w:lineRule="auto"/>
        <w:rPr>
          <w:sz w:val="20"/>
          <w:szCs w:val="20"/>
          <w:color w:val="auto"/>
        </w:rPr>
      </w:pPr>
      <w:r>
        <w:rPr>
          <w:rFonts w:ascii="Arial" w:cs="Arial" w:eastAsia="Arial" w:hAnsi="Arial"/>
          <w:sz w:val="18"/>
          <w:szCs w:val="18"/>
          <w:color w:val="auto"/>
        </w:rPr>
        <w:t>In addition, the Macau government imposed regulations and restrictions that affect the minimum age required for entrance into casinos in Macau, location requirements for sites with gaming machine lounges, data privacy and other matters. Any such legislation, regulation or restriction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Gaming Regulations.”</w:t>
      </w:r>
    </w:p>
    <w:p>
      <w:pPr>
        <w:spacing w:after="0" w:line="193"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Also, starting from January 1, 2019,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legislations. Such limitations imposed on smoking have and may deter potential gaming patrons who are smokers from frequenting casinos in Macau, which could adversely affect our business, results of operations and financial condition. See “Item 4. Information on the Company — B. Business Overview — Smoking Regulations.”</w:t>
      </w:r>
    </w:p>
    <w:p>
      <w:pPr>
        <w:spacing w:after="0" w:line="193"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Furthermore, in March 2010, the Macau government announced that the number of gaming tables operating in Macau should not exceed 5,500 until the end of the first quarter of 2013. On September 19, 2011, the Secretary for Economy and Finance of the Macau government announced that for a period of ten years thereafter, the total number of gaming tables to be authorized in Macau will increase by an amount equal to an average 3% per annum for ten years. The Macau government subsequently clarified that the allocation of tables over this ten-year period does not need to be uniform and tables may be pre-allocated to new properties in Macau. The Macau government has also determined that tables authorized by the Macau government for mass market gaming operations may not be utilized for VIP gaming operations. These restrictions are not legislated or enacted into statutes or ordinances and, as such, different policies, including in relation to the annual increase rate in the number of gaming tables, may be adopted, and existing policies amended, at any time by the relevant Macau government authorities.</w:t>
      </w:r>
    </w:p>
    <w:p>
      <w:pPr>
        <w:spacing w:after="0" w:line="179"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Current Macau laws and regulations concerning gaming and gaming concessions and matters such as prevention of money laundering are fairly recent or there is little precedent on the interpretation of these laws and 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 which could have a material adverse effect on the operation of Studio City Casino and on our financial condition, results of operations, cash flows and prospects.</w:t>
      </w:r>
    </w:p>
    <w:p>
      <w:pPr>
        <w:spacing w:after="0" w:line="178"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Our activities in Macau are subject to administrative review and approval by various departments of the Macau government. For example, our business activities and Studio City Casino are subject to the administrative review and approval by the DICJ, Macau health department, Macau labor bureau, Macau public works bureau, Macau fire department, Macau finance department and Macau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Studio City Casino is subject to operational risks commonly faced by other gaming facilities in Macau.</w:t>
      </w:r>
    </w:p>
    <w:p>
      <w:pPr>
        <w:spacing w:after="0" w:line="11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Studio City Casino faces operational risks commonly experienced in the gaming industry in Macau. Such risks include, but are not limited to, the following:</w:t>
      </w:r>
    </w:p>
    <w:p>
      <w:pPr>
        <w:spacing w:after="0" w:line="76" w:lineRule="exact"/>
        <w:rPr>
          <w:sz w:val="20"/>
          <w:szCs w:val="20"/>
          <w:color w:val="auto"/>
        </w:rPr>
      </w:pPr>
    </w:p>
    <w:p>
      <w:pPr>
        <w:ind w:left="1060" w:right="420" w:hanging="424"/>
        <w:spacing w:after="0" w:line="276"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Collect Gaming Receivables from Credit Customers. </w:t>
      </w:r>
      <w:r>
        <w:rPr>
          <w:rFonts w:ascii="Arial" w:cs="Arial" w:eastAsia="Arial" w:hAnsi="Arial"/>
          <w:sz w:val="17"/>
          <w:szCs w:val="17"/>
          <w:color w:val="auto"/>
        </w:rPr>
        <w:t>The Gaming Operator may grant gaming credit directly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at Studio City Casino, which will often be unsecured. The Gaming Operator may not be able to collect all of its gaming receivables from its credit customers at Studio City Casino, and we expect that the Gaming Operator will be able to enforce its gaming receivables only in a limited number of jurisdictions, including Macau and under certain circumstances, Hong Kong. The Gaming Operator’s inability to collect gaming receivables from credit customers may in turn affect our financial performance.</w:t>
      </w:r>
    </w:p>
    <w:p>
      <w:pPr>
        <w:spacing w:after="0" w:line="77" w:lineRule="exact"/>
        <w:rPr>
          <w:rFonts w:ascii="Arial" w:cs="Arial" w:eastAsia="Arial" w:hAnsi="Arial"/>
          <w:sz w:val="17"/>
          <w:szCs w:val="17"/>
          <w:color w:val="auto"/>
        </w:rPr>
      </w:pPr>
    </w:p>
    <w:p>
      <w:pPr>
        <w:ind w:left="1060" w:hanging="424"/>
        <w:spacing w:after="0" w:line="27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Limited Availability of Credit to Gaming Patrons. </w:t>
      </w:r>
      <w:r>
        <w:rPr>
          <w:rFonts w:ascii="Arial" w:cs="Arial" w:eastAsia="Arial" w:hAnsi="Arial"/>
          <w:sz w:val="17"/>
          <w:szCs w:val="17"/>
          <w:color w:val="auto"/>
        </w:rPr>
        <w:t>The Gaming Operator conducts its table gaming activities at Studio City Casino partially</w:t>
      </w:r>
      <w:r>
        <w:rPr>
          <w:rFonts w:ascii="Arial" w:cs="Arial" w:eastAsia="Arial" w:hAnsi="Arial"/>
          <w:sz w:val="17"/>
          <w:szCs w:val="17"/>
          <w:i w:val="1"/>
          <w:iCs w:val="1"/>
          <w:color w:val="auto"/>
        </w:rPr>
        <w:t xml:space="preserve"> </w:t>
      </w:r>
      <w:r>
        <w:rPr>
          <w:rFonts w:ascii="Arial" w:cs="Arial" w:eastAsia="Arial" w:hAnsi="Arial"/>
          <w:sz w:val="17"/>
          <w:szCs w:val="17"/>
          <w:color w:val="auto"/>
        </w:rPr>
        <w:t>on a credit basis. The Gaming Operator extends credit to its gaming promoters and such gaming promoters will also conduct their operations by extending credit to gaming patrons. Any general economic downturn and turmoil in the financial markets may result in broad limitations on the availability of credit from credit sources as well as lengthening the recovery cycle of extended credit. In particular, due to credit conditions in China and the tightening of cross-border fund transfers by the Chinese government to control capital outflows in recent years, the number of visitors to Macau from China, as well as the amounts they are willing to spend in casinos, may decrease, which could have a material adverse effect on our business, financial condition and results of operations.</w:t>
      </w:r>
    </w:p>
    <w:p>
      <w:pPr>
        <w:spacing w:after="0" w:line="83" w:lineRule="exact"/>
        <w:rPr>
          <w:rFonts w:ascii="Arial" w:cs="Arial" w:eastAsia="Arial" w:hAnsi="Arial"/>
          <w:sz w:val="17"/>
          <w:szCs w:val="17"/>
          <w:color w:val="auto"/>
        </w:rPr>
      </w:pPr>
    </w:p>
    <w:p>
      <w:pPr>
        <w:ind w:left="1060" w:hanging="424"/>
        <w:spacing w:after="0" w:line="269"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Dependence on Relationships with Gaming Promoters. </w:t>
      </w:r>
      <w:r>
        <w:rPr>
          <w:rFonts w:ascii="Arial" w:cs="Arial" w:eastAsia="Arial" w:hAnsi="Arial"/>
          <w:sz w:val="17"/>
          <w:szCs w:val="17"/>
          <w:color w:val="auto"/>
        </w:rPr>
        <w:t>With the rise in casino operations in Macau, the competition for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gaming promoters has increased and is expected to continue to increase. If the Gaming Operator is unable to utilize, maintain and/or develop relationships with gaming promoters for the Studio City Casino, the Gaming Operator will have to seek alternative ways to develop and maintain relationships with VIP rolling chip players, which may not be available, or if available, may not be as profitable as relationships developed through gaming promoters. Also, in the event the Macau government reduces the cap on the commission rates payable to gaming promoters, gaming promoters’ incentives to bring travelers to casinos in Macau would be further diminished and certain of the gaming promoters may be forced to cease operations or divert travelers to other regions. Increased regulatory scrutiny of gaming promoters in Macau has resulted, and may continue to result, in the cessation of business of certain gaming promoters, thereby resulting in the remaining gaming promoters having significant leverage and bargaining strength in negotiating agreements, including negotiating changes to existing agreements with the Gaming Operator, the loss of business to competitors or the loss of relationships with certain gaming promoters by the Gaming Operator for the Studio City Casino. These developments may have a material adverse effect on the business, prospects, results of operation and financial condition of Studio City Casino.</w:t>
      </w:r>
    </w:p>
    <w:p>
      <w:pPr>
        <w:spacing w:after="0" w:line="85" w:lineRule="exact"/>
        <w:rPr>
          <w:rFonts w:ascii="Arial" w:cs="Arial" w:eastAsia="Arial" w:hAnsi="Arial"/>
          <w:sz w:val="17"/>
          <w:szCs w:val="17"/>
          <w:color w:val="auto"/>
        </w:rPr>
      </w:pPr>
    </w:p>
    <w:p>
      <w:pPr>
        <w:ind w:left="1060" w:hanging="424"/>
        <w:spacing w:after="0" w:line="25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Inability to Control Win Rates. </w:t>
      </w:r>
      <w:r>
        <w:rPr>
          <w:rFonts w:ascii="Arial" w:cs="Arial" w:eastAsia="Arial" w:hAnsi="Arial"/>
          <w:sz w:val="18"/>
          <w:szCs w:val="18"/>
          <w:color w:val="auto"/>
        </w:rPr>
        <w:t>The gaming industry is characterized by an element of chance. In addition to the element of chance, win rates</w:t>
      </w:r>
      <w:r>
        <w:rPr>
          <w:rFonts w:ascii="Arial" w:cs="Arial" w:eastAsia="Arial" w:hAnsi="Arial"/>
          <w:sz w:val="18"/>
          <w:szCs w:val="18"/>
          <w:i w:val="1"/>
          <w:iCs w:val="1"/>
          <w:color w:val="auto"/>
        </w:rPr>
        <w:t xml:space="preserve"> </w:t>
      </w:r>
      <w:r>
        <w:rPr>
          <w:rFonts w:ascii="Arial" w:cs="Arial" w:eastAsia="Arial" w:hAnsi="Arial"/>
          <w:sz w:val="18"/>
          <w:szCs w:val="18"/>
          <w:color w:val="auto"/>
        </w:rPr>
        <w:t>will also be affected by the spread of table limits and factors that are beyond the operator’s control, such as a player’s skill and experience, the mix of games played, the financial resources of players, the volume and mix of bets played and the amount of time players spend on gambling. As a result of the variability in these factors, the actual win rates at Studio City Casino may differ from the theoretical win rates anticipated and could result in less winnings than anticipated.</w:t>
      </w:r>
    </w:p>
    <w:p>
      <w:pPr>
        <w:spacing w:after="0" w:line="93" w:lineRule="exact"/>
        <w:rPr>
          <w:rFonts w:ascii="Arial" w:cs="Arial" w:eastAsia="Arial" w:hAnsi="Arial"/>
          <w:sz w:val="18"/>
          <w:szCs w:val="18"/>
          <w:color w:val="auto"/>
        </w:rPr>
      </w:pPr>
    </w:p>
    <w:p>
      <w:pPr>
        <w:ind w:left="1060" w:right="100" w:hanging="424"/>
        <w:spacing w:after="0" w:line="25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Risk of Fraud or Cheating of Gaming Patrons and Staff. </w:t>
      </w:r>
      <w:r>
        <w:rPr>
          <w:rFonts w:ascii="Arial" w:cs="Arial" w:eastAsia="Arial" w:hAnsi="Arial"/>
          <w:sz w:val="18"/>
          <w:szCs w:val="18"/>
          <w:color w:val="auto"/>
        </w:rPr>
        <w:t>Gaming customers may attempt or commit fraud or cheat in order to increase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winnings, possibly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 addition, gaming promoters or other persons could, without the knowledge of the Gaming Operator,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enter into betting arrangements directly with patrons on the outcomes of games of chance, thus depriving Studio City Casino of revenues.</w:t>
      </w:r>
    </w:p>
    <w:p>
      <w:pPr>
        <w:spacing w:after="0" w:line="154" w:lineRule="exact"/>
        <w:rPr>
          <w:sz w:val="20"/>
          <w:szCs w:val="20"/>
          <w:color w:val="auto"/>
        </w:rPr>
      </w:pPr>
    </w:p>
    <w:p>
      <w:pPr>
        <w:ind w:left="1060" w:right="120" w:hanging="424"/>
        <w:spacing w:after="0" w:line="276"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Risk of Counterfeiting. </w:t>
      </w:r>
      <w:r>
        <w:rPr>
          <w:rFonts w:ascii="Arial" w:cs="Arial" w:eastAsia="Arial" w:hAnsi="Arial"/>
          <w:sz w:val="17"/>
          <w:szCs w:val="17"/>
          <w:color w:val="auto"/>
        </w:rPr>
        <w:t>All gaming activities at Studio City Casino’s table games are conducted exclusively with gaming chips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risk of alteration and counterfeiting. The 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w:t>
      </w:r>
    </w:p>
    <w:p>
      <w:pPr>
        <w:spacing w:after="0" w:line="77" w:lineRule="exact"/>
        <w:rPr>
          <w:rFonts w:ascii="Arial" w:cs="Arial" w:eastAsia="Arial" w:hAnsi="Arial"/>
          <w:sz w:val="17"/>
          <w:szCs w:val="17"/>
          <w:color w:val="auto"/>
        </w:rPr>
      </w:pPr>
    </w:p>
    <w:p>
      <w:pPr>
        <w:ind w:left="1060" w:right="320" w:hanging="424"/>
        <w:spacing w:after="0" w:line="279"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Risk of Malfunction of Gaming Machines</w:t>
      </w:r>
      <w:r>
        <w:rPr>
          <w:rFonts w:ascii="Arial" w:cs="Arial" w:eastAsia="Arial" w:hAnsi="Arial"/>
          <w:sz w:val="17"/>
          <w:szCs w:val="17"/>
          <w:color w:val="auto"/>
        </w:rPr>
        <w:t>. There is no assurance that the slot machines at Studio City will be functioning properly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w:t>
      </w:r>
    </w:p>
    <w:p>
      <w:pPr>
        <w:spacing w:after="0" w:line="171"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Any of these risks has the potential to materially and adversely affect Studio City Casino and our business, financial condition, results of operations, cash flows and prospects.</w:t>
      </w:r>
    </w:p>
    <w:p>
      <w:pPr>
        <w:spacing w:after="0" w:line="27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The Macau government could grant additional rights to conduct gaming in the future, which could significantly increase competition in Macau and cause Studio City Casino to lose or be unable to gain or maintain market share.</w:t>
      </w:r>
    </w:p>
    <w:p>
      <w:pPr>
        <w:spacing w:after="0" w:line="62"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Pursuant to the terms of the Macau Gaming Law, the Macau government is precluded from granting more than three gaming concessions. Each concessionaire was permitted to enter into a subconcession agreement with one subconcessionaire. The total number of concessions and subconcessions granted in Macau is currently six. The Macau government is currently considering the process of renewing, extending or granting gaming concessions or subconcessions for concessions and subconcessions expiring in 2022. The policies and laws of the Macau government could result in the grant of additional concessions or subconcessions, which could significantly increase competition in Macau and cause Studio City Casino to lose or be unable to maintain or gain market share, and as a result, adversely affect our business.</w:t>
      </w:r>
    </w:p>
    <w:p>
      <w:pPr>
        <w:spacing w:after="0" w:line="287"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b w:val="1"/>
          <w:bCs w:val="1"/>
          <w:i w:val="1"/>
          <w:iCs w:val="1"/>
          <w:color w:val="auto"/>
        </w:rPr>
        <w:t>We cannot assure you that anti-money laundering policies that have been implemented at Studio City Casino and its compliance with applicable anti-money laundering laws will be effective to prevent Studio City Casino from being exploited for money laundering purposes.</w:t>
      </w:r>
    </w:p>
    <w:p>
      <w:pPr>
        <w:spacing w:after="0" w:line="16" w:lineRule="exact"/>
        <w:rPr>
          <w:sz w:val="20"/>
          <w:szCs w:val="20"/>
          <w:color w:val="auto"/>
        </w:rPr>
      </w:pPr>
    </w:p>
    <w:p>
      <w:pPr>
        <w:ind w:left="200" w:right="160" w:firstLine="881"/>
        <w:spacing w:after="0" w:line="254" w:lineRule="auto"/>
        <w:rPr>
          <w:sz w:val="20"/>
          <w:szCs w:val="20"/>
          <w:color w:val="auto"/>
        </w:rPr>
      </w:pPr>
      <w:r>
        <w:rPr>
          <w:rFonts w:ascii="Arial" w:cs="Arial" w:eastAsia="Arial" w:hAnsi="Arial"/>
          <w:sz w:val="18"/>
          <w:szCs w:val="18"/>
          <w:color w:val="auto"/>
        </w:rPr>
        <w:t>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 of Macau. We cannot assure you that we will not be subject to any accusation or investigation related to any possible money laundering activities despite the anti-money laundering measures we have adopted and undertaken or that we will adopt and undertake in the future.</w:t>
      </w:r>
    </w:p>
    <w:p>
      <w:pPr>
        <w:spacing w:after="0" w:line="192"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The Gaming Operator also deals with significant amounts of cash in Studio City Casino’s operations and is subject to various reporting and anti-money laundering regulations. Any incidents of money laundering, accusations of money laundering or regulatory investigations into possible money laundering activities involving Studio City Casino, its staff, gaming promoters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subconcession held by the Gaming Operator. For more information regarding anti-money laundering regulations in Macau, see “Item 4.</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on the Company — B. Business Overview — Anti-money Laundering Regulations and Terrorism Financing.”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Relationship with Melco Resorts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heavily dependent on our shareholder, Melco Resorts, and expect to continue to be dependent on Melco Resorts.</w:t>
      </w:r>
    </w:p>
    <w:p>
      <w:pPr>
        <w:spacing w:after="0" w:line="117" w:lineRule="exact"/>
        <w:rPr>
          <w:sz w:val="20"/>
          <w:szCs w:val="20"/>
          <w:color w:val="auto"/>
        </w:rPr>
      </w:pPr>
    </w:p>
    <w:p>
      <w:pPr>
        <w:jc w:val="both"/>
        <w:ind w:left="200" w:right="180" w:firstLine="881"/>
        <w:spacing w:after="0" w:line="264" w:lineRule="auto"/>
        <w:rPr>
          <w:sz w:val="20"/>
          <w:szCs w:val="20"/>
          <w:color w:val="auto"/>
        </w:rPr>
      </w:pPr>
      <w:r>
        <w:rPr>
          <w:rFonts w:ascii="Arial" w:cs="Arial" w:eastAsia="Arial" w:hAnsi="Arial"/>
          <w:sz w:val="18"/>
          <w:szCs w:val="18"/>
          <w:color w:val="auto"/>
        </w:rPr>
        <w:t>Melco Resorts is a developer, owner and operator of casino gaming and entertainment casino resort facilities in Asia, and our business has benefited significantly from Melco Resorts’ strong market position in Macau and its expertise in both gaming and non-gaming businesses. We cannot assure you we will continue to receive the same level of support from Melco Resorts in the future.</w:t>
      </w:r>
    </w:p>
    <w:p>
      <w:pPr>
        <w:spacing w:after="0" w:line="181"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president and property chief financial officer, all of the Studio City dedicated staff are employed by the Master Service Providers under such arrangements. See “Item 7. Major Shareholders and Related Party Transactions — B. Related Party Transactions — Management and Shared Services Arrangements.”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 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w:t>
      </w:r>
    </w:p>
    <w:p>
      <w:pPr>
        <w:spacing w:after="0" w:line="183" w:lineRule="exact"/>
        <w:rPr>
          <w:sz w:val="20"/>
          <w:szCs w:val="20"/>
          <w:color w:val="auto"/>
        </w:rPr>
      </w:pPr>
    </w:p>
    <w:p>
      <w:pPr>
        <w:ind w:left="200" w:right="140" w:firstLine="881"/>
        <w:spacing w:after="0" w:line="293" w:lineRule="auto"/>
        <w:rPr>
          <w:sz w:val="20"/>
          <w:szCs w:val="20"/>
          <w:color w:val="auto"/>
        </w:rPr>
      </w:pPr>
      <w:r>
        <w:rPr>
          <w:rFonts w:ascii="Arial" w:cs="Arial" w:eastAsia="Arial" w:hAnsi="Arial"/>
          <w:sz w:val="16"/>
          <w:szCs w:val="16"/>
          <w:color w:val="auto"/>
        </w:rPr>
        <w:t>In addition, since we have only been a public company since October 2018, our management team will need to develop the expertise necessary to comply with the numerous regulatory and other requirements applicable to public companies, including requirements relating to corporate governance, listing standards and securities and investor relations issues. While we were a subsidiary of Melco Resorts, we were indirectly subject to requirements to maintain an effective internal control over financial reporting under Section 404 of the Sarbanes–Oxley Act of 2002. However, as a public company itself, our management will have to evaluate our internal control system independently with new thresholds of materiality and to implement necessary changes to our internal control system. We cannot guarantee that we will be able to do so in a timely and effective manner.</w:t>
      </w:r>
    </w:p>
    <w:p>
      <w:pPr>
        <w:spacing w:after="0" w:line="273"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auto"/>
        </w:rPr>
        <w:t>Our business has benefited significantly from our relationship with Melco Resorts. Any negative development in Melco Resorts’ market position or brand recognition may materially and adversely affect our marketing efforts and the strength of our brand.</w:t>
      </w:r>
    </w:p>
    <w:p>
      <w:pPr>
        <w:spacing w:after="0" w:line="38"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We are a subsidiary of Melco Resorts and have benefited significantly from our relationship with Melco Resorts in marketing our brand. For example, we have benefited by providing services to Melco Resorts’ 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will likely have an adverse impact on the effectiveness of our marketing as well as our reputation and our brand.</w:t>
      </w:r>
    </w:p>
    <w:p>
      <w:pPr>
        <w:spacing w:after="0" w:line="26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may have conflicts of interest with Melco Resorts and, because of Melco Resorts’ controlling ownership interest in our company, we may not be able to resolve such conflicts on favorable terms for us.</w:t>
      </w:r>
    </w:p>
    <w:p>
      <w:pPr>
        <w:spacing w:after="0" w:line="62"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Conflicts of interest may arise between Melco Resorts and us in a number of areas relating to our past and ongoing relationships. Potential conflicts of interest include:</w:t>
      </w:r>
    </w:p>
    <w:p>
      <w:pPr>
        <w:spacing w:after="0" w:line="76" w:lineRule="exact"/>
        <w:rPr>
          <w:sz w:val="20"/>
          <w:szCs w:val="20"/>
          <w:color w:val="auto"/>
        </w:rPr>
      </w:pPr>
    </w:p>
    <w:p>
      <w:pPr>
        <w:ind w:left="1060" w:right="28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Other Gaming, Retail and Entertainment Resorts in Macau. </w:t>
      </w:r>
      <w:r>
        <w:rPr>
          <w:rFonts w:ascii="Arial" w:cs="Arial" w:eastAsia="Arial" w:hAnsi="Arial"/>
          <w:sz w:val="18"/>
          <w:szCs w:val="18"/>
          <w:color w:val="auto"/>
        </w:rPr>
        <w:t>Melco Resorts owns other gaming, retail and entertainment resorts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Gaming Operator, as a subsidiary of Melco Resorts,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70" w:lineRule="auto"/>
        <w:rPr>
          <w:sz w:val="20"/>
          <w:szCs w:val="20"/>
          <w:color w:val="auto"/>
        </w:rPr>
      </w:pPr>
      <w:r>
        <w:rPr>
          <w:rFonts w:ascii="Arial" w:cs="Arial" w:eastAsia="Arial" w:hAnsi="Arial"/>
          <w:sz w:val="17"/>
          <w:szCs w:val="17"/>
          <w:color w:val="auto"/>
        </w:rPr>
        <w:t>operates casinos and gaming areas at such resorts owned by Melco Resorts. The ownership and operation of City of Dreams and Altira Macau by Melco Resorts and the Gaming Operator may divert their attention and resources. For example, VIP rolling chip operations at Studio City Casino are operated by the Gaming Operator under the Services and Right to Use Arrangements and the VIP tables used in such operations were initially allocated by the Macau government for operation by the Gaming Operator at gaming areas of the Gaming Operator’s other properties in Macau. The Gaming Operator may discontinue the operation of such VIP tables at Studio City by providing a 12 month advance notice at any time after October 1, 2018. In January 2019, the Gaming Operator informed us that it will cease the operation of VIP rolling chip tables at the Studio City Casino on January 15, 2020. Such discontinuation of operation of VIP tables at Studio City Casino and potential allocation of such VIP tables to other Melco Resorts properties, as well as any strategic decisions made by Melco Resorts to focus on their other projects in Macau rather than us, could materially and adversely affect our financial condition and results of operations.</w:t>
      </w:r>
    </w:p>
    <w:p>
      <w:pPr>
        <w:spacing w:after="0" w:line="83" w:lineRule="exact"/>
        <w:rPr>
          <w:sz w:val="20"/>
          <w:szCs w:val="20"/>
          <w:color w:val="auto"/>
        </w:rPr>
      </w:pPr>
    </w:p>
    <w:p>
      <w:pPr>
        <w:ind w:left="1060" w:right="20" w:hanging="424"/>
        <w:spacing w:after="0" w:line="269"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Allocation of Business Opportunities</w:t>
      </w:r>
      <w:r>
        <w:rPr>
          <w:rFonts w:ascii="Arial" w:cs="Arial" w:eastAsia="Arial" w:hAnsi="Arial"/>
          <w:sz w:val="17"/>
          <w:szCs w:val="17"/>
          <w:color w:val="auto"/>
        </w:rPr>
        <w:t>. Melco Resorts, as well as the Gaming Operator, may take action to construct and operate new gaming</w:t>
      </w:r>
      <w:r>
        <w:rPr>
          <w:rFonts w:ascii="Arial" w:cs="Arial" w:eastAsia="Arial" w:hAnsi="Arial"/>
          <w:sz w:val="17"/>
          <w:szCs w:val="17"/>
          <w:i w:val="1"/>
          <w:iCs w:val="1"/>
          <w:color w:val="auto"/>
        </w:rPr>
        <w:t xml:space="preserve"> </w:t>
      </w:r>
      <w:r>
        <w:rPr>
          <w:rFonts w:ascii="Arial" w:cs="Arial" w:eastAsia="Arial" w:hAnsi="Arial"/>
          <w:sz w:val="17"/>
          <w:szCs w:val="17"/>
          <w:color w:val="auto"/>
        </w:rPr>
        <w:t>projects or invest in such projects located in the Asian region (including new gaming projects in Macau) or elsewhere, which, along with their current operations, including City of Dreams and Altira Macau, may divert their attention and resources. For example, in 2015, Melco Resorts opened City of Dreams Manila, a casino, hotel, retail and entertainment resort in Manila, the Philippines. Melco Resorts has also provided, and may continue to provide, certain services to Melco International and its subsidiaries that are not our subsidiaries in relation to the City of Dreams Mediterranean project, which is scheduled to be launched in 2021, and the temporary and satellite casinos expected to be opened prior to the official launch of the City of Dreams Mediterranean project.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 Macau, Melco Resorts may make strategic decisions to focus on their other projects rather than us, which could adversely affect our development and operation of Studio City and future growth.</w:t>
      </w:r>
    </w:p>
    <w:p>
      <w:pPr>
        <w:spacing w:after="0" w:line="85" w:lineRule="exact"/>
        <w:rPr>
          <w:rFonts w:ascii="Arial" w:cs="Arial" w:eastAsia="Arial" w:hAnsi="Arial"/>
          <w:sz w:val="17"/>
          <w:szCs w:val="17"/>
          <w:color w:val="auto"/>
        </w:rPr>
      </w:pPr>
    </w:p>
    <w:p>
      <w:pPr>
        <w:ind w:left="1060" w:right="120" w:hanging="424"/>
        <w:spacing w:after="0" w:line="276"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We have entered into a number of related party transactions, including the Management and Shared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that we believe allow us to leverage off the experience and scale of Melco Resorts. While these arrangements were entered into at pre-agreed rates that we believe are commercially reasonable, the determination of such commercial terms were subject to judgment and estimates and we may have obtained different terms for similar types of services had we entered into such arrangements with independent third parties or had we not been a subsidiary of Melco Resorts.</w:t>
      </w:r>
    </w:p>
    <w:p>
      <w:pPr>
        <w:spacing w:after="0" w:line="77" w:lineRule="exact"/>
        <w:rPr>
          <w:rFonts w:ascii="Arial" w:cs="Arial" w:eastAsia="Arial" w:hAnsi="Arial"/>
          <w:sz w:val="17"/>
          <w:szCs w:val="17"/>
          <w:color w:val="auto"/>
        </w:rPr>
      </w:pPr>
    </w:p>
    <w:p>
      <w:pPr>
        <w:ind w:left="1060" w:hanging="424"/>
        <w:spacing w:after="0" w:line="287"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Our Board Members and Executive Officers May Have Conflicts of Interest</w:t>
      </w:r>
      <w:r>
        <w:rPr>
          <w:rFonts w:ascii="Arial" w:cs="Arial" w:eastAsia="Arial" w:hAnsi="Arial"/>
          <w:sz w:val="16"/>
          <w:szCs w:val="16"/>
          <w:color w:val="auto"/>
        </w:rPr>
        <w:t>. Certain of our directors are also the directors and/or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Melco Resorts and our property president also serves on Melco Resorts’ executive committee. In addition, our senior management team (including staff of Melco Resorts designated to Studio City under the Management and Shared Services Arrangements) also has reporting obligations to Melco Resorts. These relationships could create, or appear to create, conflicts of interest when these persons are faced with decisions with potentially different implications for Melco Resorts and us. See “— Risks Relating to Our Business — We rely on services provided by subsidiaries of Melco Resorts, including hiring and training of personnel for Studio City” and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of Melco Resorts, which may hinder their ability to eliminate all conflicts of interest presented by our relationships with Melco Resorts.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Developing Business Relationships with Melco Resorts’ Competitors</w:t>
      </w:r>
      <w:r>
        <w:rPr>
          <w:rFonts w:ascii="Arial" w:cs="Arial" w:eastAsia="Arial" w:hAnsi="Arial"/>
          <w:sz w:val="18"/>
          <w:szCs w:val="18"/>
          <w:color w:val="auto"/>
        </w:rPr>
        <w:t>. So long as Melco Resorts remains our controlling shareholder, we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limited in our ability to do business with its competitors, such as other gaming operators in Macau. This may limit our ability to market our services for the best interests of our company and our other shareholders.</w:t>
      </w:r>
    </w:p>
    <w:p>
      <w:pPr>
        <w:spacing w:after="0" w:line="181"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28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Certain of our directors and executive officers hold a substantial amount of share options, restricted shares and ordinary shares of Melco Resorts, which could create an appearance of potential conflicts of interests.</w:t>
      </w:r>
    </w:p>
    <w:p>
      <w:pPr>
        <w:spacing w:after="0" w:line="62" w:lineRule="exact"/>
        <w:rPr>
          <w:sz w:val="20"/>
          <w:szCs w:val="20"/>
          <w:color w:val="auto"/>
        </w:rPr>
      </w:pPr>
    </w:p>
    <w:p>
      <w:pPr>
        <w:ind w:left="200" w:right="80" w:firstLine="881"/>
        <w:spacing w:after="0" w:line="287" w:lineRule="auto"/>
        <w:rPr>
          <w:sz w:val="20"/>
          <w:szCs w:val="20"/>
          <w:color w:val="auto"/>
        </w:rPr>
      </w:pPr>
      <w:r>
        <w:rPr>
          <w:rFonts w:ascii="Arial" w:cs="Arial" w:eastAsia="Arial" w:hAnsi="Arial"/>
          <w:sz w:val="16"/>
          <w:szCs w:val="16"/>
          <w:color w:val="auto"/>
        </w:rPr>
        <w:t>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Services and Right to Use Arrangements, the Management and Shared Services Arrangements 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w:t>
      </w:r>
    </w:p>
    <w:p>
      <w:pPr>
        <w:spacing w:after="0" w:line="277"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Changes in Melco Resorts’ share ownership, including a change of control of its subsidiaries’ shares, could result in our inability to draw loans or cause events of default under our indebtedness, or could require us to prepay or make offers to repurchase certain indebtedness.</w:t>
      </w:r>
    </w:p>
    <w:p>
      <w:pPr>
        <w:spacing w:after="0" w:line="16" w:lineRule="exact"/>
        <w:rPr>
          <w:sz w:val="20"/>
          <w:szCs w:val="20"/>
          <w:color w:val="auto"/>
        </w:rPr>
      </w:pPr>
    </w:p>
    <w:p>
      <w:pPr>
        <w:ind w:left="200" w:right="80" w:firstLine="881"/>
        <w:spacing w:after="0" w:line="297" w:lineRule="auto"/>
        <w:rPr>
          <w:sz w:val="20"/>
          <w:szCs w:val="20"/>
          <w:color w:val="auto"/>
        </w:rPr>
      </w:pPr>
      <w:r>
        <w:rPr>
          <w:rFonts w:ascii="Arial" w:cs="Arial" w:eastAsia="Arial" w:hAnsi="Arial"/>
          <w:sz w:val="16"/>
          <w:szCs w:val="16"/>
          <w:color w:val="auto"/>
        </w:rPr>
        <w:t>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requirement to prepay the credit facilities in relation to such indebtedness in full.</w:t>
      </w:r>
    </w:p>
    <w:p>
      <w:pPr>
        <w:spacing w:after="0" w:line="158" w:lineRule="exact"/>
        <w:rPr>
          <w:sz w:val="20"/>
          <w:szCs w:val="20"/>
          <w:color w:val="auto"/>
        </w:rPr>
      </w:pPr>
    </w:p>
    <w:p>
      <w:pPr>
        <w:jc w:val="both"/>
        <w:ind w:left="200" w:right="180" w:firstLine="881"/>
        <w:spacing w:after="0" w:line="286" w:lineRule="auto"/>
        <w:rPr>
          <w:sz w:val="20"/>
          <w:szCs w:val="20"/>
          <w:color w:val="auto"/>
        </w:rPr>
      </w:pPr>
      <w:r>
        <w:rPr>
          <w:rFonts w:ascii="Arial" w:cs="Arial" w:eastAsia="Arial" w:hAnsi="Arial"/>
          <w:sz w:val="17"/>
          <w:szCs w:val="17"/>
          <w:color w:val="auto"/>
        </w:rPr>
        <w:t>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 specified under such indebtedness to the date of repurchase.</w:t>
      </w:r>
    </w:p>
    <w:p>
      <w:pPr>
        <w:spacing w:after="0" w:line="166" w:lineRule="exact"/>
        <w:rPr>
          <w:sz w:val="20"/>
          <w:szCs w:val="20"/>
          <w:color w:val="auto"/>
        </w:rPr>
      </w:pPr>
    </w:p>
    <w:p>
      <w:pPr>
        <w:ind w:left="200" w:right="140" w:firstLine="881"/>
        <w:spacing w:after="0" w:line="286" w:lineRule="auto"/>
        <w:rPr>
          <w:sz w:val="20"/>
          <w:szCs w:val="20"/>
          <w:color w:val="auto"/>
        </w:rPr>
      </w:pPr>
      <w:r>
        <w:rPr>
          <w:rFonts w:ascii="Arial" w:cs="Arial" w:eastAsia="Arial" w:hAnsi="Arial"/>
          <w:sz w:val="17"/>
          <w:szCs w:val="17"/>
          <w:color w:val="auto"/>
        </w:rPr>
        <w:t>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Conducting Business in Macau</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and adversely affected by any economic slowdown in Macau, China and nearby Asia regions as well as globally.</w:t>
      </w:r>
    </w:p>
    <w:p>
      <w:pPr>
        <w:spacing w:after="0" w:line="62" w:lineRule="exact"/>
        <w:rPr>
          <w:sz w:val="20"/>
          <w:szCs w:val="20"/>
          <w:color w:val="auto"/>
        </w:rPr>
      </w:pPr>
    </w:p>
    <w:p>
      <w:pPr>
        <w:ind w:left="200" w:right="20" w:firstLine="881"/>
        <w:spacing w:after="0" w:line="269" w:lineRule="auto"/>
        <w:rPr>
          <w:sz w:val="20"/>
          <w:szCs w:val="20"/>
          <w:color w:val="auto"/>
        </w:rPr>
      </w:pPr>
      <w:r>
        <w:rPr>
          <w:rFonts w:ascii="Arial" w:cs="Arial" w:eastAsia="Arial" w:hAnsi="Arial"/>
          <w:sz w:val="17"/>
          <w:szCs w:val="17"/>
          <w:color w:val="auto"/>
        </w:rPr>
        <w:t>All of our operations are in Macau. Accordingly, our business development plans, results of operations and financial condition may be materially adversely affected by significant political, social and economic developments in Macau and China. A slowdown in economic growth in China could adversely impact the number of visitors from China to Studio City as well as the amount they are willing to spend in our hotel, restaurants and other facilities as well as at Studio City Casino, which could have a material adverse effect on our results of the operations and financial condition. A number of measures taken by the Chinese government in recent years to control the rate of economic growth, including those designed to tighten credit and liquidity, have led to a slowdown of China’s economy. According to the National Bureau of Statistics of China, China’s GDP growth rate was 6.6% in 2018, which is lower than the 6.9% growth rate in 2017, and any slowdown in its future growth may have an adverse impact on financial markets, currency exchange rates, as well as the spending of visitors in Macau and Studio City. In addition, in 2018, the value of the Renminbi depreciated approximately 5.4% against the U.S. Dollar.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80"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In addition, the global macroeconomic environment is facing challenges, including the escalation of the European sovereign debt crisis since 2011, the end of quantitative easing by the U.S. Federal Reserve, the economic slowdown in the Eurozone in 2014 and the escalation of international trade conflicts, including the trade disputes between the United States and China and the potential further escalation of trade tariffs and related retaliatory measures between these two countries and globally.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which have resulted in volatility in oil and other markets, and over the conflicts involving Ukraine and Syria and potential conflicts involving the Korean peninsula. Any severe or prolonged slowdown in the global economy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Studio City Casino’s operations could be adversely affected by foreign exchange restrictions on the Renminbi.</w:t>
      </w:r>
    </w:p>
    <w:p>
      <w:pPr>
        <w:spacing w:after="0" w:line="117" w:lineRule="exact"/>
        <w:rPr>
          <w:sz w:val="20"/>
          <w:szCs w:val="20"/>
          <w:color w:val="auto"/>
        </w:rPr>
      </w:pPr>
    </w:p>
    <w:p>
      <w:pPr>
        <w:ind w:left="200" w:right="20" w:firstLine="881"/>
        <w:spacing w:after="0" w:line="268" w:lineRule="auto"/>
        <w:rPr>
          <w:sz w:val="20"/>
          <w:szCs w:val="20"/>
          <w:color w:val="auto"/>
        </w:rPr>
      </w:pPr>
      <w:r>
        <w:rPr>
          <w:rFonts w:ascii="Arial" w:cs="Arial" w:eastAsia="Arial" w:hAnsi="Arial"/>
          <w:sz w:val="17"/>
          <w:szCs w:val="17"/>
          <w:color w:val="auto"/>
        </w:rPr>
        <w:t>Gaming operators in Macau are currently prohibited from accepting wagers in Renminbi, the currency of China. There are currently restrictions on the export of the Renminbi outside of China, including to Macau. For example, Chinese citizens traveling abroad are only allowed to take a total of RMB20,000 plus the equivalent of up to US$5,000 out of China. Moreover, an annual limit of RMB100,000 (US$14,538) on the aggregate amount that can be withdrawn overseas from Chinese bank accounts was set by the Chinese government, with effect on January 1, 2018. In addition, the Chinese government’s ongoing anti-corruption campaign has led to tighter monetary transfer regulations, including real-time monitoring of certain financial channels, reducing the amount that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the Macau government has launched identity card checks with respect to certain ATM users and recently recommended banks perform adequate due diligence and monitoring of merchants with respect to usage of point-of-sales machines, such as cash registers where a customer is charged for goods or services purchased. These measures may limit liquidity availability and curb capital outflows. In addition, on June 12, 2017, a law with respect to the control of cross-border transportation of cash and other negotiable instruments to the bearer was enacted and came into effect on November 1, 2017. In accordance with such law, all individuals entering Macau with an amount in cash or negotiable instrument to the bearer equal to or higher than the amount of MOP120,000 (US$14,876) as determined by the Chief Executive of Macau are required to</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declare such amount to the customs authorities. For further details, please refer to “Item 4. Information on the Company — B. Business Overview — Control of Cross-border Transportation of Cash Regulations.” Restrictions on the export of the Renminbi and related measures may impede the flow of gaming customers from China to Macau, inhibit the growth of gaming in Macau and negatively impact the operation of Studio City Casino.</w:t>
      </w:r>
    </w:p>
    <w:p>
      <w:pPr>
        <w:spacing w:after="0" w:line="255"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Policies, campaigns and measures adopted by the PRC and/or Macau governments from time to time could materially and adversely affect our operations.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operating results may be adversely affected by:</w:t>
      </w:r>
    </w:p>
    <w:p>
      <w:pPr>
        <w:spacing w:after="0" w:line="131"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tightening of travel restrictions to Macau or austerity measures which may be imposed by the Chinese government;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government policies, laws and regulations, or in the interpretation or enforcement of these policies, laws and regulations;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cross-border fund transfer and/or foreign exchange regulations or policies effected by the Chinese and/or Macau governments;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measures taken by the Chinese government to deter marketing of gaming activities to mainland Chinese residents by foreign casinos;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rate or method of taxation by the Macau government.</w:t>
      </w:r>
    </w:p>
    <w:p>
      <w:pPr>
        <w:spacing w:after="0" w:line="225" w:lineRule="exact"/>
        <w:rPr>
          <w:sz w:val="20"/>
          <w:szCs w:val="20"/>
          <w:color w:val="auto"/>
        </w:rPr>
      </w:pPr>
    </w:p>
    <w:p>
      <w:pPr>
        <w:ind w:left="200" w:right="60" w:firstLine="881"/>
        <w:spacing w:after="0" w:line="268" w:lineRule="auto"/>
        <w:rPr>
          <w:sz w:val="20"/>
          <w:szCs w:val="20"/>
          <w:color w:val="auto"/>
        </w:rPr>
      </w:pPr>
      <w:r>
        <w:rPr>
          <w:rFonts w:ascii="Arial" w:cs="Arial" w:eastAsia="Arial" w:hAnsi="Arial"/>
          <w:sz w:val="17"/>
          <w:szCs w:val="17"/>
          <w:color w:val="auto"/>
        </w:rPr>
        <w:t>A significant number of the gaming customers of Studio City Casino come from, and are expected to continue to come from, China. Any travel restrictions imposed by China could disrupt the number of patrons visiting Studio City from China. Since mid-2003, under the Individual Visit Scheme, or IVS, Chinese citizens from certain cities have been able to travel to Macau individually instead of as part of a tour group. In mid-2008 through 2010, the Chinese government adjusted its visa policy and limited the number of visits Chinese citizens may make to Macau in a given time period. China also banned “zero fare tours,” popular among visitors to Macau from mainland China, whereby travelers avail the services of tour guides at minimal or no cost if they agree to shop in designated areas in exchange. Further, in 2014, the Chinese government and the Macau government tightened visa transit policies for mainland China residents. Starting on July 1, 2014, the Macau government has tightened transit visa rule implementation, limiting such travelers to a five-day stay, with documented proof that they were going to a third destination. From July 2015, Macau eased the restrictions and again allowed mainland Chinese passport holders who transit via the city to stay for up to seven days. While the Chinese government has in the past restricted and then loosened IVS travel frequently, it has recently indicated its intention to maintain tourism development by opening the IVS to more Chinese cities to visit Macau. In March 2016, for instance, the Ministry of Public Security of China announced a new practice to make it easier for some mainland Chinese citizens to apply for the IVS visa. It is unclear whether these and other measures will continue to be in effect or become more restrictive in the future. A decrease in the number of visitors from China would adversely affect Studio City’s results of operations.</w:t>
      </w:r>
    </w:p>
    <w:p>
      <w:pPr>
        <w:spacing w:after="0" w:line="185"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In addition, certain policies and campaigns implemented by the Chinese government may lead to a decline in the number of patrons visiting Studio City and the amount of spending by such patrons. The strength and profitability of the gaming business depends on consumer demand for integrated resorts in general and for the type of luxury amenities that a gaming operator offers. Recent initiatives and campaigns undertaken by the Chinese government have resulted in an overall dampening effect on the behavior of Chinese consumers and a decrease in their spending, particularly in luxury good sales and other discretionary spending. For example, the Chinese government’s ongoing anti-corruption campaign has had an overall chilling effect on the behavior of Chinese consumers and their spending patterns both domestically and abroad. In addition, the number of patrons visiting Studio City may be affected by the Chinese government’s focus on deterring marketing of gaming to mainland Chinese residents by casinos and its initiatives to tighten monetary transfer regulations, increase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86" w:lineRule="auto"/>
        <w:rPr>
          <w:sz w:val="20"/>
          <w:szCs w:val="20"/>
          <w:color w:val="auto"/>
        </w:rPr>
      </w:pPr>
      <w:r>
        <w:rPr>
          <w:rFonts w:ascii="Arial" w:cs="Arial" w:eastAsia="Arial" w:hAnsi="Arial"/>
          <w:sz w:val="17"/>
          <w:szCs w:val="17"/>
          <w:color w:val="auto"/>
        </w:rPr>
        <w:t>monitoring of various transactions, including bank or credit card transactions, reduce the amount that China-issued ATM cardholders can withdraw in each withdrawal and impose a limit on the annual aggregate amount that may be withdrawn. Recent conviction of staff of a foreign casino in China in relation to gaming related activities in China have created further regulatory uncertainty on marketing activities in China.</w:t>
      </w:r>
    </w:p>
    <w:p>
      <w:pPr>
        <w:spacing w:after="0" w:line="166"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the Gaming Operator’s subconcession may be subject to renegotiations with the Macau government in the future, including the premium amount the Gaming Operator will be obligated to pay the Macau government in order to continue operations at Studio City Casino. As Studio City Entertainment is expected to fund part of the premium for the operation of Studio City Casino, increased premium due to any renegotiations could have a material adverse effect on the results of our operations and financial condition.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Uncertainties in the legal systems in the PRC may expose us to risks.</w:t>
      </w:r>
    </w:p>
    <w:p>
      <w:pPr>
        <w:spacing w:after="0" w:line="11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Gaming related activities in the PRC, including marketing activities, are regulated by the PRC government and subject to various PRC laws and regulations. The PRC legal system continues to rapidly evolve and the interpretations of many laws, regulations and rules are not always uniform.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and operations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which affect gaming related activities in the PRC could have a material and adverse effect on our business and prospects, financial condition and results of operations.</w:t>
      </w:r>
    </w:p>
    <w:p>
      <w:pPr>
        <w:spacing w:after="0" w:line="182"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Any litigation or proceeding in the PRC may be protracted and result in substantial costs and diversion of our resources and management attention. Any such litigation or proceeding could have a material adverse effect on our business, reputation, financial condition and results of operations.</w:t>
      </w:r>
    </w:p>
    <w:p>
      <w:pPr>
        <w:spacing w:after="0" w:line="296"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Terrorism, violent criminal acts and the uncertainty of war and other factors affecting discretionary consumer spending and leisure travel may reduce visitation to Macau and harm our operating results.</w:t>
      </w:r>
    </w:p>
    <w:p>
      <w:pPr>
        <w:spacing w:after="0" w:line="62"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 strength and profitability of our business will depend on consumer demand for integrated resorts and leisure travel in general. Recent terrorist and violent criminal activities in Europe, the United States, Southeast Asia and elsewhere, military conflicts in the Middle East and natural disasters such as typhoons, tsunamis and earthquakes, among other things, have negatively affected travel and leisure expenditures. For example, in June 2017, there were multiple deaths at the Resorts World Manila entertainment complex in Pasay, Metro Manila, Philippines when a gunman caused a stampede and set fire to casino tables and slot machine chairs. Terrorism and other criminal acts of violence could have a negative impact on international travel and leisure expenditures, including lodging, gaming and tourism. We cannot predict the extent to which such acts may affect us, directly or indirectly, in the future.</w:t>
      </w:r>
    </w:p>
    <w:p>
      <w:pPr>
        <w:spacing w:after="0" w:line="189"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auto"/>
        </w:rPr>
        <w:t>An outbreak of widespread health epidemics, contagious disease or any other outbreak may have an adverse effect on the economies of Macau or nearby regions and may have a material adverse effect on our business, financial condition and results of operations.</w:t>
      </w:r>
    </w:p>
    <w:p>
      <w:pPr>
        <w:spacing w:after="0" w:line="16"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Our business could be materially and adversely affected by the outbreak of widespread health epidemics, such as swine flu, avian influenza, severe acute respiratory syndrome (SARS), Middle East respiratory syndrome (MERS), Zika or Ebola. The occurrence of such health epidemics, prolonged outbreak of an epidemic illness or other adverse public health developments in China or elsewhere in the world could materially disrupt our business and operations. Such events could significantly impact our industry and cause a temporary closure of the facilities we use for our operations, which would severely disrupt our operations and have a material adverse effect on our business, financial condition and results of operations. Guangdong Province, China, which is located across the Zhuhai Border from Macau, has confirmed several cases of avian flu.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78"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The perception that an outbreak of health epidemics or contagious disease may occur may also have an adverse effect on the economic conditions of countries in Asia. In addition, our operations could be disrupted if any of our staff or others involved in our operations were suspected of having the swine flu, avian influenza, SARS, MERS, Zika or Ebola as this could require us to quarantine some or all of such staff or persons or disinfect the facilities used for our operations. Furthermore, any future outbreak may restrict economic activities in affected regions, which could result in reduced business volume and the temporary closure of our offices or otherwise disrupt our business operations and adversely affect our results of operations.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Macau is susceptible to typhoons and heavy rainstorms that may damage our property and disrupt our operations.</w:t>
      </w:r>
    </w:p>
    <w:p>
      <w:pPr>
        <w:spacing w:after="0" w:line="117" w:lineRule="exact"/>
        <w:rPr>
          <w:sz w:val="20"/>
          <w:szCs w:val="20"/>
          <w:color w:val="auto"/>
        </w:rPr>
      </w:pPr>
    </w:p>
    <w:p>
      <w:pPr>
        <w:ind w:left="200" w:right="100" w:firstLine="881"/>
        <w:spacing w:after="0" w:line="271" w:lineRule="auto"/>
        <w:rPr>
          <w:sz w:val="20"/>
          <w:szCs w:val="20"/>
          <w:color w:val="auto"/>
        </w:rPr>
      </w:pPr>
      <w:r>
        <w:rPr>
          <w:rFonts w:ascii="Arial" w:cs="Arial" w:eastAsia="Arial" w:hAnsi="Arial"/>
          <w:sz w:val="17"/>
          <w:szCs w:val="17"/>
          <w:color w:val="auto"/>
        </w:rPr>
        <w:t>Macau’s subtropical climate and location on the South China Sea renders it susceptible to typhoons, heavy rainstorms and other natural disasters. In the event of a major typhoon, such as Typhoon Hato in August 2017, Typhoon Mangkhut in September 2018 or other natural disaster in Macau, Studio City may be severely disrupted and adversely affected and Studio City Casino may even be required 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a holding company. Our sole material asset is our equity interest in MSC Cotai and we will be accordingly dependent upon distributions from MSC Cotai to pay dividends and cover our corporate and other expenses.</w:t>
      </w:r>
    </w:p>
    <w:p>
      <w:pPr>
        <w:spacing w:after="0" w:line="62"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We are a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1" w:lineRule="auto"/>
        <w:rPr>
          <w:sz w:val="20"/>
          <w:szCs w:val="20"/>
          <w:color w:val="auto"/>
        </w:rPr>
      </w:pPr>
      <w:r>
        <w:rPr>
          <w:rFonts w:ascii="Arial" w:cs="Arial" w:eastAsia="Arial" w:hAnsi="Arial"/>
          <w:sz w:val="17"/>
          <w:szCs w:val="17"/>
          <w:color w:val="auto"/>
        </w:rPr>
        <w:t>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 holds an equity interest and (iii) the availability of funds to distribute. To the extent that we need funds and MSC Cotai or its 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w:t>
      </w:r>
    </w:p>
    <w:p>
      <w:pPr>
        <w:spacing w:after="0" w:line="287"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b w:val="1"/>
          <w:bCs w:val="1"/>
          <w:i w:val="1"/>
          <w:iCs w:val="1"/>
          <w:color w:val="auto"/>
        </w:rPr>
        <w:t>Our listing was authorized by the Macau government subject to certain conditions imposed on the Gaming Operator, us and our direct and indirect shareholders. Failure by the Gaming Operator, us or our direct and indirect shareholders to comply with such conditions may result in our obligation to delist the ADSs from the New York Stock Exchange or have a material adverse effect on the operation of Studio City Casino.</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listing was authorized by the Macau government subject to the continued satisfaction of certain conditions including the following:</w:t>
      </w:r>
    </w:p>
    <w:p>
      <w:pPr>
        <w:spacing w:after="0" w:line="142"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Mr. Lawrence Ho, directly or indirectly, continues to hold the majority of the equity interest in Melco International to control such entity.</w:t>
      </w:r>
    </w:p>
    <w:p>
      <w:pPr>
        <w:spacing w:after="0" w:line="237" w:lineRule="exact"/>
        <w:rPr>
          <w:sz w:val="20"/>
          <w:szCs w:val="20"/>
          <w:color w:val="auto"/>
        </w:rPr>
      </w:pPr>
    </w:p>
    <w:p>
      <w:pPr>
        <w:ind w:left="200" w:right="320" w:firstLine="881"/>
        <w:spacing w:after="0" w:line="312" w:lineRule="auto"/>
        <w:rPr>
          <w:sz w:val="20"/>
          <w:szCs w:val="20"/>
          <w:color w:val="auto"/>
        </w:rPr>
      </w:pPr>
      <w:r>
        <w:rPr>
          <w:rFonts w:ascii="Arial" w:cs="Arial" w:eastAsia="Arial" w:hAnsi="Arial"/>
          <w:sz w:val="16"/>
          <w:szCs w:val="16"/>
          <w:color w:val="auto"/>
        </w:rPr>
        <w:t>Under such authorization, the Gaming Operator is required to annually provide the Macau government with evidence with respect to the compliance with the above conditions. In addition, under such authorization, we and the Gaming Operator are also required to comply with the conditions imposed by the Macau government in connection with its approval of our entry into the Services and Right to Use Arrangements.</w:t>
      </w:r>
    </w:p>
    <w:p>
      <w:pPr>
        <w:spacing w:after="0" w:line="14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 Macau government also has the right to revoke the listing authorization if it deems that the listing is contrary to the public interest or in case of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which would prevent us from receiving any amounts thereunder, in a closure order being issued with respect to the Studio City Casino or in the suspension or termination of the Gaming Operator’s subconcession and consequently we may be unable to offer any gaming facilities at Studio City.</w:t>
      </w:r>
    </w:p>
    <w:p>
      <w:pPr>
        <w:spacing w:after="0" w:line="30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Participation in our initial public offering by our controlling shareholder and certain affiliates of another principal shareholder has reduced the available public float for our ADSs.</w:t>
      </w:r>
    </w:p>
    <w:p>
      <w:pPr>
        <w:spacing w:after="0" w:line="62"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MCO Cotai, our controlling shareholder, and certain affiliates of New Cotai, one of our principal shareholders, participated in our initial public offering and were allocated 25,550,000 ADSs, or 77.3%, of the total amount of ADSs offered in our initial public offering at the initial public offering price. In addition, of the 33,075,890 ADSs (representing 132,303,560 Class A ordinary shares) outstanding, 15,330,000 ADSs, or 46.3% of such outstanding ADSs, are owned by MCO Cotai and, as of December 31, 2018, 10,405,700 ADSs, or 31.5% of such outstanding ADSs, are owned by certain affiliates of New Cotai. See “Item 7. Major Shareholders and Related Party Transactions — A. Major Shareholders.”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881"/>
        <w:spacing w:after="0" w:line="308" w:lineRule="auto"/>
        <w:rPr>
          <w:sz w:val="20"/>
          <w:szCs w:val="20"/>
          <w:color w:val="auto"/>
        </w:rPr>
      </w:pPr>
      <w:r>
        <w:rPr>
          <w:rFonts w:ascii="Arial" w:cs="Arial" w:eastAsia="Arial" w:hAnsi="Arial"/>
          <w:sz w:val="17"/>
          <w:szCs w:val="17"/>
          <w:color w:val="auto"/>
        </w:rPr>
        <w:t>Such purchases and ownership reduced the otherwise available public float for our ADSs and the liquidity of our ADSs relative to what it would have been had these ADSs been purchased by other investors and thereby may adversely impact the trading price of our ADSs.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An active trading market for our ordinary shares or our ADSs may not develop and the trading price for our ADSs may fluctuate significantly.</w:t>
      </w:r>
    </w:p>
    <w:p>
      <w:pPr>
        <w:spacing w:after="0" w:line="14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Our ADSs are traded on the New York Stock Exchange. Prior to the completion of our initial public offering, there was no public market for our ADSs or our ordinary shares, and we cannot assure you that a liquid public market for our ADSs will develop. If an active public market for our ADSs does not develop, the market price and liquidity of our ADSs may be materially and adversely affected.</w:t>
      </w:r>
    </w:p>
    <w:p>
      <w:pPr>
        <w:spacing w:after="0" w:line="2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The New York Stock Exchange and may be subject to fluctuations in the future, which could result in substantial losses to investors.</w:t>
      </w:r>
    </w:p>
    <w:p>
      <w:pPr>
        <w:spacing w:after="0" w:line="62"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The trading price of our ADSs has been and may continue to be subject to wide fluctuations. Since our listing on October 18, 2018 to March 27, 2019, the trading prices of our ADSs ranged from US$12.73 to US$28.59 per ADS and the closing sale price on March 27, 2019 was US$16.28 per ADS.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Macau or China that have listed their securities in the United States. In addition to market and industry factors, the price and trading volume for our ADSs may be highly volatile for factors specific to our own operations, including the following:</w:t>
      </w:r>
    </w:p>
    <w:p>
      <w:pPr>
        <w:spacing w:after="0" w:line="84"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public float of our ADSs;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remaining project for Studio City;</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the Macau market or other Asian gaming markets, including the announcement or completion of major new projects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political or other factors that may affect Macau, where Studio City is located;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the gaming and leisure industry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Gaming Operator’s market share of the Macau gaming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detrimental adverse publicity about us, Studio City or our industries;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and Renminbi;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release or expiration of lock-up or other transfer restrictions on our outstanding equity securities or sales of additional equity securities;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litigation or regulatory investigations;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related to any of the above, irrespective of their veracity.</w:t>
      </w:r>
    </w:p>
    <w:p>
      <w:pPr>
        <w:spacing w:after="0" w:line="225" w:lineRule="exact"/>
        <w:rPr>
          <w:sz w:val="20"/>
          <w:szCs w:val="20"/>
          <w:color w:val="auto"/>
        </w:rPr>
      </w:pPr>
    </w:p>
    <w:p>
      <w:pPr>
        <w:ind w:left="200" w:right="360" w:firstLine="881"/>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124"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200" w:right="120" w:firstLine="881"/>
        <w:spacing w:after="0" w:line="257" w:lineRule="auto"/>
        <w:rPr>
          <w:sz w:val="20"/>
          <w:szCs w:val="20"/>
          <w:color w:val="auto"/>
        </w:rPr>
      </w:pPr>
      <w:r>
        <w:rPr>
          <w:rFonts w:ascii="Arial" w:cs="Arial" w:eastAsia="Arial" w:hAnsi="Arial"/>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our ADSs.</w:t>
      </w:r>
    </w:p>
    <w:p>
      <w:pPr>
        <w:spacing w:after="0" w:line="117" w:lineRule="exact"/>
        <w:rPr>
          <w:sz w:val="20"/>
          <w:szCs w:val="20"/>
          <w:color w:val="auto"/>
        </w:rPr>
      </w:pPr>
    </w:p>
    <w:p>
      <w:pPr>
        <w:ind w:left="200" w:right="40" w:firstLine="881"/>
        <w:spacing w:after="0" w:line="293"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5"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growing our business. Even if such allegations are ultimately proven to be groundless, allegations against us could severely impact our business operations, and any investment in our ADSs could be greatly reduced or even rendered worthless.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left="200" w:right="40" w:firstLine="881"/>
        <w:spacing w:after="0" w:line="288" w:lineRule="auto"/>
        <w:rPr>
          <w:sz w:val="20"/>
          <w:szCs w:val="20"/>
          <w:color w:val="auto"/>
        </w:rPr>
      </w:pPr>
      <w:r>
        <w:rPr>
          <w:rFonts w:ascii="Arial" w:cs="Arial" w:eastAsia="Arial" w:hAnsi="Arial"/>
          <w:sz w:val="16"/>
          <w:szCs w:val="16"/>
          <w:color w:val="auto"/>
        </w:rPr>
        <w:t>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7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In addition, parties to the Participation Agreement have agreed to resolve any disputes by arbitration.</w:t>
      </w:r>
    </w:p>
    <w:p>
      <w:pPr>
        <w:spacing w:after="0" w:line="62"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 action or proceeding. The depositary may, however, in its sole discretion, require that any dispute or difference 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w:t>
      </w:r>
    </w:p>
    <w:p>
      <w:pPr>
        <w:spacing w:after="0" w:line="183"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In addition, the Participation Agreement, pursuant to which MSC Cotai granted the Participation Interest to New Cotai, provides that all disputes arising out of the Participation Agreement must be resolved through arbitration proceedings subject to certain limited exceptions and such provision will affect the manner by which New Cotai or any other parties to the Participation Agreement may pursue any claim or action arising out of the Participation Agreement. For more information, see “Item 7. Major Shareholders and Related Party Transactions — B. Related Party Transactions — Pre-IPO Organizational Transactions — Participation Agreement.”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8"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8"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as a jury trial.</w:t>
      </w:r>
    </w:p>
    <w:p>
      <w:pPr>
        <w:spacing w:after="0" w:line="27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67"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In addition,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unlawful,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w:t>
      </w:r>
    </w:p>
    <w:p>
      <w:pPr>
        <w:spacing w:after="0" w:line="28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ordinary shares or other equity securities in the public market could cause the price of our ADSs to decline significantly.</w:t>
      </w:r>
    </w:p>
    <w:p>
      <w:pPr>
        <w:spacing w:after="0" w:line="62"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New Cotai owns 72,511,760 Class B ordinary shares, representing approximately a 23.1% voting, non-economic interest in our company. New Cotai also has a Participation Interest, which entitles New Cotai to receive from MSC Cotai an amount equal to approximately 30.0% of the amount of any distribution, dividend or other consideration paid by MSC Cotai to us, subject to adjustments, exceptions and conditions. Under the Participation Agreement, New Cotai and its permitted transferees will be 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w:t>
      </w:r>
    </w:p>
    <w:p>
      <w:pPr>
        <w:spacing w:after="0" w:line="189" w:lineRule="exact"/>
        <w:rPr>
          <w:sz w:val="20"/>
          <w:szCs w:val="20"/>
          <w:color w:val="auto"/>
        </w:rPr>
      </w:pPr>
    </w:p>
    <w:p>
      <w:pPr>
        <w:ind w:left="200" w:right="220" w:firstLine="881"/>
        <w:spacing w:after="0" w:line="259" w:lineRule="auto"/>
        <w:rPr>
          <w:sz w:val="20"/>
          <w:szCs w:val="20"/>
          <w:color w:val="auto"/>
        </w:rPr>
      </w:pPr>
      <w:r>
        <w:rPr>
          <w:rFonts w:ascii="Arial" w:cs="Arial" w:eastAsia="Arial" w:hAnsi="Arial"/>
          <w:sz w:val="18"/>
          <w:szCs w:val="18"/>
          <w:color w:val="auto"/>
        </w:rPr>
        <w:t>In addition, certain affiliates of New Cotai, as of December 31, 2018, beneficially own 41,622,800 Class A ordinary shares in the form of ADSs, representing 17.2% of our outstanding Class A ordinary shares, while Melco International beneficially owns 170,834,928 Class A ordinary shares, representing 70.6%, of our outstanding Class A ordinary shares. See “Item 7. Major Shareholders and Related Party Transactions — A. Major Shareholders.”</w:t>
      </w:r>
    </w:p>
    <w:p>
      <w:pPr>
        <w:spacing w:after="0" w:line="187"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Sales of substantial amounts of our ADSs in the public market, including upon the exchange of all or part of the Participation Interest by New Cotai or its permitted transferees, or the perception that these sales could occur, could adversely affect the market price of our ADSs and could materially impair our ability to raise capital through equity offerings in the future.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the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w:t>
      </w:r>
    </w:p>
    <w:p>
      <w:pPr>
        <w:spacing w:after="0" w:line="179" w:lineRule="exact"/>
        <w:rPr>
          <w:sz w:val="20"/>
          <w:szCs w:val="20"/>
          <w:color w:val="auto"/>
        </w:rPr>
      </w:pPr>
    </w:p>
    <w:p>
      <w:pPr>
        <w:ind w:left="200" w:right="100" w:firstLine="881"/>
        <w:spacing w:after="0" w:line="272" w:lineRule="auto"/>
        <w:rPr>
          <w:sz w:val="20"/>
          <w:szCs w:val="20"/>
          <w:color w:val="auto"/>
        </w:rPr>
      </w:pPr>
      <w:r>
        <w:rPr>
          <w:rFonts w:ascii="Arial" w:cs="Arial" w:eastAsia="Arial" w:hAnsi="Arial"/>
          <w:sz w:val="17"/>
          <w:szCs w:val="17"/>
          <w:color w:val="auto"/>
        </w:rPr>
        <w:t>In connection with our initial public offering, we, MCO Cotai, New Cotai, certain affiliates of New Cotai, and our directors and officers have agreed with the underwriters of our initial public offering, subject to certain exceptions, not to sell, transfer or otherwise dispose of any ADSs, ordinary shares or similar securities or any securities convertible into or exchangeable or exercisable for our ordinary shares or ADSs, for a period ending 180 days after the date of the prospectus of our initial public offering without the prior written consent of the underwriters, subject to certain exceptions. However, the underwriters may release these securities from these restrictions at any time, subject to applicable regulations of the Financial Industry Regulatory Authority. We cannot predict what effect, if any, market sales of securities held by our significant shareholders or any other shareholder or the availability of these securities for future sale will have on the market price of our ADSs.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Under the deposit agreement for our ADSs, the depositary will give us a discretionary proxy to vote our Class A ordinary shares underlying your ADSs at shareholders’ meetings if you do not give voting instructions to the depositary, unless:</w:t>
      </w:r>
    </w:p>
    <w:p>
      <w:pPr>
        <w:spacing w:after="0" w:line="76"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left="200" w:right="340" w:firstLine="881"/>
        <w:spacing w:after="0" w:line="286" w:lineRule="auto"/>
        <w:rPr>
          <w:sz w:val="20"/>
          <w:szCs w:val="20"/>
          <w:color w:val="auto"/>
        </w:rPr>
      </w:pPr>
      <w:r>
        <w:rPr>
          <w:rFonts w:ascii="Arial" w:cs="Arial" w:eastAsia="Arial" w:hAnsi="Arial"/>
          <w:sz w:val="17"/>
          <w:szCs w:val="17"/>
          <w:color w:val="auto"/>
        </w:rPr>
        <w:t>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152" w:lineRule="exact"/>
        <w:rPr>
          <w:sz w:val="20"/>
          <w:szCs w:val="20"/>
          <w:color w:val="auto"/>
        </w:rPr>
      </w:pPr>
    </w:p>
    <w:p>
      <w:pPr>
        <w:ind w:left="200" w:right="100" w:firstLine="881"/>
        <w:spacing w:after="0" w:line="279" w:lineRule="auto"/>
        <w:rPr>
          <w:sz w:val="20"/>
          <w:szCs w:val="20"/>
          <w:color w:val="auto"/>
        </w:rPr>
      </w:pPr>
      <w:r>
        <w:rPr>
          <w:rFonts w:ascii="Arial" w:cs="Arial" w:eastAsia="Arial" w:hAnsi="Arial"/>
          <w:sz w:val="17"/>
          <w:szCs w:val="17"/>
          <w:color w:val="auto"/>
        </w:rPr>
        <w:t>We currently intend to retain most, if not all, of our available funds and any future earnings to fund the development and growth of our business. As a result, we do not expect to pay any cash dividends in the foreseeable future. See “Item 8. Financial Information — A. Consolidated Statements and Other Financial Information — Dividend Policy” and note 12 to the consolidated financial statements included elsewhere in this annual report. Therefore, you should not rely on an investment in our ADSs as a source for any future dividend income.</w:t>
      </w:r>
    </w:p>
    <w:p>
      <w:pPr>
        <w:spacing w:after="0" w:line="171"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80"/>
        <w:spacing w:after="0" w:line="264" w:lineRule="auto"/>
        <w:rPr>
          <w:sz w:val="20"/>
          <w:szCs w:val="20"/>
          <w:color w:val="auto"/>
        </w:rPr>
      </w:pPr>
      <w:r>
        <w:rPr>
          <w:rFonts w:ascii="Arial" w:cs="Arial" w:eastAsia="Arial" w:hAnsi="Arial"/>
          <w:sz w:val="18"/>
          <w:szCs w:val="18"/>
          <w:color w:val="auto"/>
        </w:rPr>
        <w:t>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We are a company incorporated under the laws of the Cayman Islands and substantially all of our assets are located outside the United States. All of our current operations are conducted in Macau. As a result, it may be difficult or impossible for you to bring an action against us in the United States in the event that you believe that your rights have been infringed under the U.S. federal securities laws or otherwise. It may also be difficult for you to enforce in the Cayman Islands and Macau courts judgments obtained in U.S. courts based on the civil liability provisions of the U.S. federal securities laws against us and our directors and executive officers. In addition, there is uncertainty as to whether the courts of the Cayman Islands and Macau would recognize or enforce judgments of U.S. courts against us or such individuals predicated upon the civil liability provisions of the securities laws of the United States or any state. It is also uncertain whether such Cayman Islands and Macau courts would be competent to hear original actions brought in the Cayman Islands and Macau against us or such individuals predicated upon the securities laws of the United States or any state. For more information regarding the relevant laws of the Cayman Islands and Macau.</w:t>
      </w:r>
    </w:p>
    <w:p>
      <w:pPr>
        <w:spacing w:after="0" w:line="29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Securities Exchange Act of 1934, or the Exchange Act, and as such we are exempt from certain provisions applicable to domestic public companies in the United States.</w:t>
      </w:r>
    </w:p>
    <w:p>
      <w:pPr>
        <w:spacing w:after="0" w:line="62" w:lineRule="exact"/>
        <w:rPr>
          <w:sz w:val="20"/>
          <w:szCs w:val="20"/>
          <w:color w:val="auto"/>
        </w:rPr>
      </w:pPr>
    </w:p>
    <w:p>
      <w:pPr>
        <w:ind w:left="200" w:right="40" w:firstLine="881"/>
        <w:spacing w:after="0" w:line="273" w:lineRule="auto"/>
        <w:rPr>
          <w:sz w:val="20"/>
          <w:szCs w:val="20"/>
          <w:color w:val="auto"/>
        </w:rPr>
      </w:pPr>
      <w:r>
        <w:rPr>
          <w:rFonts w:ascii="Arial" w:cs="Arial" w:eastAsia="Arial" w:hAnsi="Arial"/>
          <w:sz w:val="17"/>
          <w:szCs w:val="17"/>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78"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be furnished to the SEC on Form 6-K. However, the information we are required to file with or furnish to the SEC will be less extensive and less timely compared to that required to be filed with the SEC by U.S. domestic issuers.</w:t>
      </w:r>
    </w:p>
    <w:p>
      <w:pPr>
        <w:spacing w:after="0" w:line="154" w:lineRule="exact"/>
        <w:rPr>
          <w:sz w:val="20"/>
          <w:szCs w:val="20"/>
          <w:color w:val="auto"/>
        </w:rPr>
      </w:pPr>
    </w:p>
    <w:p>
      <w:pPr>
        <w:ind w:left="200" w:right="40" w:firstLine="881"/>
        <w:spacing w:after="0" w:line="253" w:lineRule="auto"/>
        <w:rPr>
          <w:sz w:val="20"/>
          <w:szCs w:val="20"/>
          <w:color w:val="auto"/>
        </w:rPr>
      </w:pPr>
      <w:r>
        <w:rPr>
          <w:rFonts w:ascii="Arial" w:cs="Arial" w:eastAsia="Arial" w:hAnsi="Arial"/>
          <w:sz w:val="18"/>
          <w:szCs w:val="18"/>
          <w:color w:val="auto"/>
        </w:rPr>
        <w:t>As a Cayman Islands exempted company applying to list our ADSs on the New York Stock Exchange, we are subject to New York Stock Exchange corporate governance listing standards. However, the New York Stock Exchange rules permit a foreign private issuer like us to follow the corporate governance practices of its home country.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This may make it more difficult for you to obtain the information needed to establish any facts necessary for a shareholder motion or to solicit proxies from other shareholders in connection with a proxy contest.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1"/>
        <w:spacing w:after="0" w:line="286" w:lineRule="auto"/>
        <w:rPr>
          <w:sz w:val="20"/>
          <w:szCs w:val="20"/>
          <w:color w:val="auto"/>
        </w:rPr>
      </w:pPr>
      <w:r>
        <w:rPr>
          <w:rFonts w:ascii="Arial" w:cs="Arial" w:eastAsia="Arial" w:hAnsi="Arial"/>
          <w:sz w:val="17"/>
          <w:szCs w:val="17"/>
          <w:color w:val="auto"/>
        </w:rPr>
        <w:t>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w:t>
      </w:r>
    </w:p>
    <w:p>
      <w:pPr>
        <w:spacing w:after="0" w:line="166"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17" w:lineRule="exact"/>
        <w:rPr>
          <w:sz w:val="20"/>
          <w:szCs w:val="20"/>
          <w:color w:val="auto"/>
        </w:rPr>
      </w:pPr>
    </w:p>
    <w:p>
      <w:pPr>
        <w:ind w:left="200" w:right="40" w:firstLine="881"/>
        <w:spacing w:after="0" w:line="287" w:lineRule="auto"/>
        <w:rPr>
          <w:sz w:val="20"/>
          <w:szCs w:val="20"/>
          <w:color w:val="auto"/>
        </w:rPr>
      </w:pPr>
      <w:r>
        <w:rPr>
          <w:rFonts w:ascii="Arial" w:cs="Arial" w:eastAsia="Arial" w:hAnsi="Arial"/>
          <w:sz w:val="16"/>
          <w:szCs w:val="16"/>
          <w:color w:val="auto"/>
        </w:rPr>
        <w:t>As a newly-listed public company, we expect to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We expect these rules and regulations to increase our legal and financial compliance costs and to make some corporate activities more time-consuming and costly.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277"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16" w:lineRule="exact"/>
        <w:rPr>
          <w:sz w:val="20"/>
          <w:szCs w:val="20"/>
          <w:color w:val="auto"/>
        </w:rPr>
      </w:pPr>
    </w:p>
    <w:p>
      <w:pPr>
        <w:ind w:left="200" w:right="80" w:firstLine="881"/>
        <w:spacing w:after="0" w:line="270"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4" w:lineRule="exact"/>
        <w:rPr>
          <w:sz w:val="20"/>
          <w:szCs w:val="20"/>
          <w:color w:val="auto"/>
        </w:rPr>
      </w:pPr>
    </w:p>
    <w:p>
      <w:pPr>
        <w:jc w:val="both"/>
        <w:ind w:left="200" w:firstLine="881"/>
        <w:spacing w:after="0" w:line="25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Law of the Cayman Islands and the laws applicable to companies incorporated in the United States and their shareholders, see “Item 10. Additional Information — B. Memorandum and Articles of Association — Differences in Corporate Law.”</w:t>
      </w:r>
    </w:p>
    <w:p>
      <w:pPr>
        <w:spacing w:after="0" w:line="296"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for United States federal income tax purposes for any taxable year, United States holders of our ADSs could be subject to adverse United States federal income tax consequences.</w:t>
      </w:r>
    </w:p>
    <w:p>
      <w:pPr>
        <w:spacing w:after="0" w:line="62" w:lineRule="exact"/>
        <w:rPr>
          <w:sz w:val="20"/>
          <w:szCs w:val="20"/>
          <w:color w:val="auto"/>
        </w:rPr>
      </w:pPr>
    </w:p>
    <w:p>
      <w:pPr>
        <w:ind w:left="200" w:right="100" w:firstLine="881"/>
        <w:spacing w:after="0" w:line="270" w:lineRule="auto"/>
        <w:rPr>
          <w:sz w:val="20"/>
          <w:szCs w:val="20"/>
          <w:color w:val="auto"/>
        </w:rPr>
      </w:pPr>
      <w:r>
        <w:rPr>
          <w:rFonts w:ascii="Arial" w:cs="Arial" w:eastAsia="Arial" w:hAnsi="Arial"/>
          <w:sz w:val="17"/>
          <w:szCs w:val="17"/>
          <w:color w:val="auto"/>
        </w:rPr>
        <w:t>A non-United States corporation will be a passive foreign investment company, or PFIC, for United States federal income tax purposes for any taxable year if either (i) at least 75% of its gross income for such taxable year is passive income or (ii) at least 50% of the value of its assets (based on an average of the quarterly 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2018.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w:t>
      </w:r>
    </w:p>
    <w:p>
      <w:pPr>
        <w:spacing w:after="0" w:line="182" w:lineRule="exact"/>
        <w:rPr>
          <w:sz w:val="20"/>
          <w:szCs w:val="20"/>
          <w:color w:val="auto"/>
        </w:rPr>
      </w:pPr>
    </w:p>
    <w:p>
      <w:pPr>
        <w:ind w:left="200" w:right="120" w:firstLine="881"/>
        <w:spacing w:after="0" w:line="276" w:lineRule="auto"/>
        <w:rPr>
          <w:sz w:val="20"/>
          <w:szCs w:val="20"/>
          <w:color w:val="auto"/>
        </w:rPr>
      </w:pPr>
      <w:r>
        <w:rPr>
          <w:rFonts w:ascii="Arial" w:cs="Arial" w:eastAsia="Arial" w:hAnsi="Arial"/>
          <w:sz w:val="17"/>
          <w:szCs w:val="17"/>
          <w:color w:val="auto"/>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w:t>
      </w:r>
    </w:p>
    <w:p>
      <w:pPr>
        <w:spacing w:after="0" w:line="173"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w:t>
      </w:r>
    </w:p>
    <w:p>
      <w:pPr>
        <w:spacing w:after="0" w:line="289" w:lineRule="exact"/>
        <w:rPr>
          <w:sz w:val="20"/>
          <w:szCs w:val="20"/>
          <w:color w:val="auto"/>
        </w:rPr>
      </w:pPr>
    </w:p>
    <w:p>
      <w:pPr>
        <w:ind w:left="200" w:right="96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shares, such holder may be subject to adverse U.S. federal income tax consequences.</w:t>
      </w:r>
    </w:p>
    <w:p>
      <w:pPr>
        <w:spacing w:after="0" w:line="62" w:lineRule="exact"/>
        <w:rPr>
          <w:sz w:val="20"/>
          <w:szCs w:val="20"/>
          <w:color w:val="auto"/>
        </w:rPr>
      </w:pPr>
    </w:p>
    <w:p>
      <w:pPr>
        <w:ind w:left="200" w:right="40" w:firstLine="881"/>
        <w:spacing w:after="0" w:line="272"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value or voting power of our stock (including our ordinary shares and ADSs), such person may be treated as a “United States shareholder” with respect to us.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limitations with respect to your U.S. federal income tax return for the year for which reporting was due from starting. We cannot provide any assurances that we will assist investors in determining whether we are a controlled foreign corporation or whether such investor is treated as a United 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left="200" w:right="100" w:firstLine="881"/>
        <w:spacing w:after="0" w:line="273" w:lineRule="auto"/>
        <w:rPr>
          <w:sz w:val="20"/>
          <w:szCs w:val="20"/>
          <w:color w:val="auto"/>
        </w:rPr>
      </w:pPr>
      <w:r>
        <w:rPr>
          <w:rFonts w:ascii="Arial" w:cs="Arial" w:eastAsia="Arial" w:hAnsi="Arial"/>
          <w:sz w:val="17"/>
          <w:szCs w:val="17"/>
          <w:color w:val="auto"/>
        </w:rPr>
        <w:t>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laws of the Cayman Islands and its American Depositary Shares are listed on the NASDAQ Global Select Market in the United States. On January 17, 2012, our name was changed from CYBER ONE AGENTS LIMITED to STUDIO CITY INTERNATIONAL HOLDINGS LIMITED.</w:t>
      </w:r>
    </w:p>
    <w:p>
      <w:pPr>
        <w:spacing w:after="0" w:line="178"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In October 2001, we were granted a land concession in Cotai by the Macau government for the development of Studio City, a cinematically-themed and integrated entertainment, retail and gaming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w:t>
      </w:r>
    </w:p>
    <w:p>
      <w:pPr>
        <w:spacing w:after="0" w:line="154"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w:t>
      </w:r>
    </w:p>
    <w:p>
      <w:pPr>
        <w:spacing w:after="0" w:line="193"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In October 2018, we completed the initial public offering of our ADSs, each of which represents four Class A ordinary shares, and listed our ADSs on The New York Stock Exchange under the symbol “MSC.” For more information on our corporate structure, see “— C. Organizational Structure.”</w:t>
      </w:r>
    </w:p>
    <w:p>
      <w:pPr>
        <w:spacing w:after="0" w:line="181"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2018, 2017, and 2016, see “Item 5. Operating and Financial Review and Prospects — B. Liquidity and Capital Resources.”</w:t>
      </w:r>
    </w:p>
    <w:p>
      <w:pPr>
        <w:spacing w:after="0" w:line="170"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Our principal executive offices are located at 36th Floor, The Centrium, 60 Wyndham Street, Central, Hong Kong. Our telephone number at this address is 852-2598-3600 and our fax number is 852-2537-3618. Our website is www.studiocity-macau.com. The information contained on our website is not part of this annual report on Form 20-F.</w:t>
      </w:r>
    </w:p>
    <w:p>
      <w:pPr>
        <w:spacing w:after="0" w:line="181"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Studio City is a world-class gaming, retail and entertainment resort located in Cotai, Macau and its principal operating activities are the provision of gaming related services and the hospitality business in Macau. Studio City Casino has 250 mass market gaming tables and approximately 970 gaming machines, which we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believe provide higher margins and attractive long-term growth opportunities. The mass market focus of Studio City Casino is currently complemented with junket and premium direct VIP rolling chip operations, which include 45 VIP rolling chip tables. Our cinematically-themed integrated resort is designed to attract a wide range of customers by providing highly differentiated non-gaming attractions, including the world’s first figure-8 Ferris wheel, a Warner Bros.-themed family entertainment center, a 4-D Batman flight simulator, an exclusive night club and a 5,000-seat live performance arena. Studio City features approximately 1,600 luxury hotel rooms, diverse food and beverage establishments and approximately 35,000 square meters (approximately 377,000 square feet) of complementary retail space. Studio City was named </w:t>
      </w:r>
      <w:r>
        <w:rPr>
          <w:rFonts w:ascii="Arial" w:cs="Arial" w:eastAsia="Arial" w:hAnsi="Arial"/>
          <w:sz w:val="18"/>
          <w:szCs w:val="18"/>
          <w:i w:val="1"/>
          <w:iCs w:val="1"/>
          <w:color w:val="auto"/>
        </w:rPr>
        <w:t>Casino/Integrated Resort of the Year in 2016</w:t>
      </w:r>
      <w:r>
        <w:rPr>
          <w:rFonts w:ascii="Arial" w:cs="Arial" w:eastAsia="Arial" w:hAnsi="Arial"/>
          <w:sz w:val="18"/>
          <w:szCs w:val="18"/>
          <w:color w:val="auto"/>
        </w:rPr>
        <w:t xml:space="preserve"> by the International Gaming Awards.</w:t>
      </w:r>
    </w:p>
    <w:p>
      <w:pPr>
        <w:spacing w:after="0" w:line="189" w:lineRule="exact"/>
        <w:rPr>
          <w:sz w:val="20"/>
          <w:szCs w:val="20"/>
          <w:color w:val="auto"/>
        </w:rPr>
      </w:pPr>
    </w:p>
    <w:p>
      <w:pPr>
        <w:ind w:left="200" w:right="60" w:firstLine="881"/>
        <w:spacing w:after="0" w:line="286" w:lineRule="auto"/>
        <w:rPr>
          <w:sz w:val="20"/>
          <w:szCs w:val="20"/>
          <w:color w:val="auto"/>
        </w:rPr>
      </w:pPr>
      <w:r>
        <w:rPr>
          <w:rFonts w:ascii="Arial" w:cs="Arial" w:eastAsia="Arial" w:hAnsi="Arial"/>
          <w:sz w:val="17"/>
          <w:szCs w:val="17"/>
          <w:color w:val="auto"/>
        </w:rPr>
        <w:t>Studio City is strategically located in Cotai, as the only property directly adjacent to the Lotus Bridge immigration checkpoint and one of the few dedicated Cotai hotel-casino resort stops planned on the Macau Light Rapid Transit Line. The Lotus Bridge connects Cotai with Hengqin Island in Zhuhai, China, a designated special economic district in China undergoing significant business and infrastructure development.</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Studio City is rapidly ramping up since commencing operations in October 2015. We have grown total revenues from US$424.5 million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to US$539.8 million in 2017 and further to US$571.2 million in 2018, and generated net losses attributable to Studio City International Holdings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Limited of US$242.8 million, US$76.4 million and US$21.6 million, respectively, for these periods. We increased our adjusted EBITDA from</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US$123.0 million in 2016 to US$279.1 million in 2017 and further to US$314.8 million in 2018, and expanded our adjusted EBITDA margin from</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29.0% to 51.7% and further to 55.1%, respectively, for these periods.</w:t>
      </w:r>
    </w:p>
    <w:p>
      <w:pPr>
        <w:spacing w:after="0" w:line="211"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Studio City Casino is operated by the Gaming Operator, one of the subsidiaries of Melco Resorts and a holder of a gaming subconcession, and we operate the non-gaming businesses of Studio City.</w:t>
      </w:r>
    </w:p>
    <w:p>
      <w:pPr>
        <w:spacing w:after="0" w:line="170" w:lineRule="exact"/>
        <w:rPr>
          <w:sz w:val="20"/>
          <w:szCs w:val="20"/>
          <w:color w:val="auto"/>
        </w:rPr>
      </w:pPr>
    </w:p>
    <w:p>
      <w:pPr>
        <w:ind w:left="200" w:right="320" w:firstLine="881"/>
        <w:spacing w:after="0" w:line="264" w:lineRule="auto"/>
        <w:rPr>
          <w:sz w:val="20"/>
          <w:szCs w:val="20"/>
          <w:color w:val="auto"/>
        </w:rPr>
      </w:pPr>
      <w:r>
        <w:rPr>
          <w:rFonts w:ascii="Arial" w:cs="Arial" w:eastAsia="Arial" w:hAnsi="Arial"/>
          <w:sz w:val="18"/>
          <w:szCs w:val="18"/>
          <w:color w:val="auto"/>
        </w:rPr>
        <w:t>We generated all of our revenues for each of the years ended December 31, 2016, 2017 and 2018 from our operations in Macau, the sole market in which we compete to operate. For further information on the Macau gaming market, see “— Market and Competition — Macau Gaming Market.”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Studio City Casino currently consists of a mass market table gaming area, a gaming machine area and a VIP gaming area, with a total operating gross floor area of 23,745 square meters, located on the first two floors of Studio City. Studio City Casino gaming customers currently include mass market and VIP rolling chip players. Studio City Casino catered exclusively to mass market players until it launched its VIP rolling chip operations in November 2016, including both junket and premium direct VIP offerings. For the years ended December 31, 2018, 2017 and 2016, Studio City Casino’s gross gaming revenues was US$1,583.8 million, US$1,438.1 million and US$706.2 million, respectively.</w:t>
      </w:r>
    </w:p>
    <w:p>
      <w:pPr>
        <w:spacing w:after="0" w:line="173"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Studio City Casino currently has 250 mass market gaming tables, approximately 970 gaming machines and 45 VIP rolling chip tables. These gaming tables offer gaming patrons a variety of options including baccarat, three card baccarat, fortune baccarat, blackjack, craps, Caribbean stud poker, roulette, sic bo, fortune 3 card poker and other games. In January 2019, the Gaming Operator informed us that it will cease the operation of VIP rolling chip tables at the Studio City Casino on January 15, 2020. Our management team is in the process of assessing the potential impact of the cessation of VIP rolling chip operations with a view to developing the appropriate mitigation strategy. We currently expect our business strategy going forward to continue to focus on cultivating further growth in the mass market segment at the Studio City Casino and enhance our differentiated non-gaming amenities to complement our gaming operations.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Mass Market Segment</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mass market gaming area caters to mass market gaming patrons and offers a full range of games, 24 hours daily. The layout of the gaming floor is organized using the different market segments that Studio City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Casino targets, namely the mainstream mass market and the premium mass market. The premium mass market gaming area has decorations and features distinctive from the mainstream mass market gaming area.</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Studio City Casino’s mass market table games drop and hold percentage were US$3,272.9 million and 26.5% in 2018, respectively,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US$2,913.0 million and 26.1% in 2017, respectively, and US$2,480.0 million and 24.7% in 2016, respectively. As a result, Studio City Casino had gross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gaming revenue from mass market table games of US$868.5 million, US$759.1 million and US$611.6 million in 2018, 2017 and 2016, respectively.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Studio City Casino’s gaming machine handle and gaming machine win rate were US$2,479.9 million and 3.4% in 2018, respectively, US$2,120.5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million and 3.7% in 2017, respectively, and US$2,002.3 million and 3.8% in 2016, respectively. As a result, Studio City Casino had gross gaming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gaming machine of US$83.9 million, US$78.2 million and US$76.0 million in 2018, 2017 and 2016, respectively. Average net win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gaming machine per day in 2018, 2017 and 2016 was US$240, US$225 and US$189, respectively.</w:t>
      </w:r>
    </w:p>
    <w:p>
      <w:pPr>
        <w:spacing w:after="0" w:line="211" w:lineRule="exact"/>
        <w:rPr>
          <w:sz w:val="20"/>
          <w:szCs w:val="20"/>
          <w:color w:val="auto"/>
        </w:rPr>
      </w:pPr>
    </w:p>
    <w:p>
      <w:pPr>
        <w:ind w:left="200" w:right="340" w:firstLine="881"/>
        <w:spacing w:after="0" w:line="308" w:lineRule="auto"/>
        <w:rPr>
          <w:sz w:val="20"/>
          <w:szCs w:val="20"/>
          <w:color w:val="auto"/>
        </w:rPr>
      </w:pPr>
      <w:r>
        <w:rPr>
          <w:rFonts w:ascii="Arial" w:cs="Arial" w:eastAsia="Arial" w:hAnsi="Arial"/>
          <w:sz w:val="17"/>
          <w:szCs w:val="17"/>
          <w:color w:val="auto"/>
        </w:rPr>
        <w:t>Going forward, 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VIP Rolling Chip Segment</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November 2016, Studio City Casino introduced VIP rolling chip operations, including both junket and premium direct VIP offerings,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currently has 45 VIP rolling chip tables. The VIP rolling chip area is comprised of private gaming salons or areas that have restricted access to rolling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chip patrons and offer more personalized and ultra-premium services than the mainstream and premium mass market gaming areas. It is also situated 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higher level than the mass market gaming areas with generally higher-end dining and beverage options and special decorations. In January 2019,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Gaming Operator informed us that it will cease the operation of VIP rolling chip tables at the Studio City Casino on January 15, 2020. Studio City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Casino’s VIP rolling chip volume, VIP rolling chip win rate and VIP rolling chip gross gaming revenue were US$21,236.9 million, 2.97%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US$631.4 million, respectively, in 2018, US$19,003.9 million, 3.16% and US$600.8 million, respectively, in 2017 and US$1,343.6 million, 1.39%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US$18.6 million, respectively, in 2016.</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Hotel</w:t>
      </w:r>
    </w:p>
    <w:p>
      <w:pPr>
        <w:spacing w:after="0" w:line="117" w:lineRule="exact"/>
        <w:rPr>
          <w:sz w:val="20"/>
          <w:szCs w:val="20"/>
          <w:color w:val="auto"/>
        </w:rPr>
      </w:pPr>
    </w:p>
    <w:p>
      <w:pPr>
        <w:ind w:left="200" w:right="40" w:firstLine="881"/>
        <w:spacing w:after="0" w:line="289" w:lineRule="auto"/>
        <w:rPr>
          <w:sz w:val="20"/>
          <w:szCs w:val="20"/>
          <w:color w:val="auto"/>
        </w:rPr>
      </w:pPr>
      <w:r>
        <w:rPr>
          <w:rFonts w:ascii="Arial" w:cs="Arial" w:eastAsia="Arial" w:hAnsi="Arial"/>
          <w:sz w:val="16"/>
          <w:szCs w:val="16"/>
          <w:color w:val="auto"/>
        </w:rPr>
        <w:t>Studio City includes self-managed luxury hotel facilities with approximately 1,600 hotel rooms, all elegantly furnished and complete with services and amenities to match. The hotel facilities include indoor and outdoor swimming pools, beauty salon, spa, fitness centers and other amenities. The Studio City hotel features two distinct towers, enabling it to provide a variety of accommodation selections to visitors. The premium all-suite Star Tower offers approximately 600 suites complete with lavish facilities and dedicated services for a luxury retreat. There are five types of suites which range in size from the Star Premier King Suite at 62 square meters to the Star Grand Suite at 185 square meters which includes a living room, dining room and a separate bedroom. Personalized check-in, private indoor heated pool and health club can be enjoyed by all Star Tower guests. The Celebrity Tower with approximately 1,000 rooms brings a deluxe hotel experience to a board range of travelers, which includes access to all of the entertainment facilities offered by Studio City. It offers seven different room packages ranging from the Celebrity King at 42 square meters to the Celebrity Suite at 85 square meters. The following table sets forth certain data with respect to our hotel for the years indicated:</w:t>
      </w:r>
    </w:p>
    <w:p>
      <w:pPr>
        <w:spacing w:after="0" w:line="18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8"/>
              </w:rPr>
              <w:t>For the Year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10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0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(US$)</w:t>
            </w:r>
          </w:p>
        </w:tc>
        <w:tc>
          <w:tcPr>
            <w:tcW w:w="28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138</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w:t>
            </w:r>
          </w:p>
        </w:tc>
        <w:tc>
          <w:tcPr>
            <w:tcW w:w="2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REVPAR (US$)</w:t>
            </w:r>
          </w:p>
        </w:tc>
        <w:tc>
          <w:tcPr>
            <w:tcW w:w="4220" w:type="dxa"/>
            <w:vAlign w:val="bottom"/>
            <w:gridSpan w:val="3"/>
          </w:tcPr>
          <w:p>
            <w:pPr>
              <w:ind w:left="2940"/>
              <w:spacing w:after="0"/>
              <w:rPr>
                <w:sz w:val="20"/>
                <w:szCs w:val="20"/>
                <w:color w:val="auto"/>
              </w:rPr>
            </w:pPr>
            <w:r>
              <w:rPr>
                <w:rFonts w:ascii="Arial" w:cs="Arial" w:eastAsia="Arial" w:hAnsi="Arial"/>
                <w:sz w:val="18"/>
                <w:szCs w:val="18"/>
                <w:color w:val="auto"/>
              </w:rPr>
              <w:t>138</w:t>
            </w:r>
          </w:p>
        </w:tc>
        <w:tc>
          <w:tcPr>
            <w:tcW w:w="1340" w:type="dxa"/>
            <w:vAlign w:val="bottom"/>
            <w:gridSpan w:val="2"/>
          </w:tcPr>
          <w:p>
            <w:pPr>
              <w:jc w:val="right"/>
              <w:ind w:right="1020"/>
              <w:spacing w:after="0"/>
              <w:rPr>
                <w:sz w:val="20"/>
                <w:szCs w:val="20"/>
                <w:color w:val="auto"/>
              </w:rPr>
            </w:pPr>
            <w:r>
              <w:rPr>
                <w:rFonts w:ascii="Arial" w:cs="Arial" w:eastAsia="Arial" w:hAnsi="Arial"/>
                <w:sz w:val="18"/>
                <w:szCs w:val="18"/>
                <w:color w:val="auto"/>
                <w:w w:val="99"/>
              </w:rPr>
              <w:t>138</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133</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Occupancy rate</w:t>
            </w:r>
          </w:p>
        </w:tc>
        <w:tc>
          <w:tcPr>
            <w:tcW w:w="42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99%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r>
      <w:tr>
        <w:trPr>
          <w:trHeight w:val="365"/>
        </w:trPr>
        <w:tc>
          <w:tcPr>
            <w:tcW w:w="3180" w:type="dxa"/>
            <w:vAlign w:val="bottom"/>
          </w:tcPr>
          <w:p>
            <w:pPr>
              <w:spacing w:after="0"/>
              <w:rPr>
                <w:sz w:val="24"/>
                <w:szCs w:val="24"/>
                <w:color w:val="auto"/>
              </w:rPr>
            </w:pPr>
          </w:p>
        </w:tc>
        <w:tc>
          <w:tcPr>
            <w:tcW w:w="2880" w:type="dxa"/>
            <w:vAlign w:val="bottom"/>
          </w:tcPr>
          <w:p>
            <w:pPr>
              <w:jc w:val="right"/>
              <w:ind w:right="125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Studio City is currently one of only 11 Triple Five-Star Winners in the world garnering the Forbes Travel Guide Five-Star recognition for its hotel, spa and restaurant.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Dining</w:t>
      </w:r>
    </w:p>
    <w:p>
      <w:pPr>
        <w:spacing w:after="0" w:line="117"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Over 20 food and beverage outlets are located throughout Studio City, including traditional Cantonese, Shanghainese, northern Chinese, South East Asian, Japanese, Italian and other western and international cuisines as well as local Macau cuisine. Studio City offers gourmet dining with a range of signature restaurants including one Michelin-starred </w:t>
      </w:r>
      <w:r>
        <w:rPr>
          <w:rFonts w:ascii="Arial" w:cs="Arial" w:eastAsia="Arial" w:hAnsi="Arial"/>
          <w:sz w:val="18"/>
          <w:szCs w:val="18"/>
          <w:i w:val="1"/>
          <w:iCs w:val="1"/>
          <w:color w:val="auto"/>
        </w:rPr>
        <w:t>Pearl Dragon</w:t>
      </w:r>
      <w:r>
        <w:rPr>
          <w:rFonts w:ascii="Arial" w:cs="Arial" w:eastAsia="Arial" w:hAnsi="Arial"/>
          <w:sz w:val="18"/>
          <w:szCs w:val="18"/>
          <w:color w:val="auto"/>
        </w:rPr>
        <w:t>. We also offer light snacks and souvenirs within our Warner Bros. Fun Zone, a 32,000 square foot playground replete with all the popular Warner Bros., DC Comics and Hanna-Barbera characters.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Retail</w:t>
      </w:r>
    </w:p>
    <w:p>
      <w:pPr>
        <w:spacing w:after="0" w:line="117"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Studio City has over 35,000 square meters of themed and innovative retail space at the lower levels of the property. It has a net leasable area of approximately 27,000 square meters. The retail mall showcases a variety of shops and food and beverage offerings including a small portion of our self-operated retail outlets.</w:t>
      </w:r>
    </w:p>
    <w:p>
      <w:pPr>
        <w:spacing w:after="0" w:line="18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and Beverly Hills’ Rodeo Drive. Studio City’s retail space offers a mix of fashion-forward labels and internationally-renowned luxury brands, such as Balmain, Bottega Veneta, Bvlgari, Calvin Klein Platinum, Coach, Emporio Armani, Fendi, Givenchy, Graff, Gucci, IWC, Longines, Prada, Tiffany &amp; Co., Vacheron Constantin and Versace Collection as well as personal shopper services. At the connection between the two themed retail streets lies Times Square Macau, which features a Legend Heroes Virtual Reality Attraction featuring state of the art virtual reality equipment and rides.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Entertainment</w:t>
      </w:r>
    </w:p>
    <w:p>
      <w:pPr>
        <w:spacing w:after="0" w:line="117" w:lineRule="exact"/>
        <w:rPr>
          <w:sz w:val="20"/>
          <w:szCs w:val="20"/>
          <w:color w:val="auto"/>
        </w:rPr>
      </w:pPr>
    </w:p>
    <w:p>
      <w:pPr>
        <w:ind w:left="200" w:right="160" w:firstLine="881"/>
        <w:spacing w:after="0" w:line="302" w:lineRule="auto"/>
        <w:rPr>
          <w:sz w:val="20"/>
          <w:szCs w:val="20"/>
          <w:color w:val="auto"/>
        </w:rPr>
      </w:pPr>
      <w:r>
        <w:rPr>
          <w:rFonts w:ascii="Arial" w:cs="Arial" w:eastAsia="Arial" w:hAnsi="Arial"/>
          <w:sz w:val="16"/>
          <w:szCs w:val="16"/>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60" w:lineRule="exact"/>
        <w:rPr>
          <w:sz w:val="20"/>
          <w:szCs w:val="20"/>
          <w:color w:val="auto"/>
        </w:rPr>
      </w:pPr>
    </w:p>
    <w:p>
      <w:pPr>
        <w:ind w:left="1060" w:right="180" w:hanging="424"/>
        <w:spacing w:after="0" w:line="312"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Golden Reel </w:t>
      </w:r>
      <w:r>
        <w:rPr>
          <w:rFonts w:ascii="Arial" w:cs="Arial" w:eastAsia="Arial" w:hAnsi="Arial"/>
          <w:sz w:val="16"/>
          <w:szCs w:val="16"/>
          <w:color w:val="auto"/>
        </w:rPr>
        <w:t>— an iconic landmark of Macau, it is the world’s first figure-8 and Asia’s highest Ferris wheel. The Golden Reel rises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130 meters high between Studio City’s Art Deco-inspired twin hotel towers. The iconic landmark features 17 spacious Steampunk-themed cabins that can each accommodate up to ten passengers. During 2018, the Golden Reel attracted over 500,000 visitors.</w:t>
      </w:r>
    </w:p>
    <w:p>
      <w:pPr>
        <w:spacing w:after="0" w:line="52" w:lineRule="exact"/>
        <w:rPr>
          <w:rFonts w:ascii="Arial" w:cs="Arial" w:eastAsia="Arial" w:hAnsi="Arial"/>
          <w:sz w:val="16"/>
          <w:szCs w:val="16"/>
          <w:color w:val="auto"/>
        </w:rPr>
      </w:pPr>
    </w:p>
    <w:p>
      <w:pPr>
        <w:ind w:left="1060" w:right="2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Batman Dark Flight </w:t>
      </w:r>
      <w:r>
        <w:rPr>
          <w:rFonts w:ascii="Arial" w:cs="Arial" w:eastAsia="Arial" w:hAnsi="Arial"/>
          <w:sz w:val="18"/>
          <w:szCs w:val="18"/>
          <w:color w:val="auto"/>
        </w:rPr>
        <w:t>— the world’s first flight simulation ride based on the “Batman” franchise. Enhanced with the latest in flight simulation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the very best in audio design and visual graphics, this immersive flying theater 4D motion ride provides thrill-seekers with a dynamic flying experience based on a multi-sensory, action-packed, digitally-animated Batman storyline with Batman’s heart-stopping encounters. Our Batman Dark Flight ride attracted over 200,000 visitors in 2018.</w:t>
      </w:r>
    </w:p>
    <w:p>
      <w:pPr>
        <w:spacing w:after="0" w:line="92" w:lineRule="exact"/>
        <w:rPr>
          <w:rFonts w:ascii="Arial" w:cs="Arial" w:eastAsia="Arial" w:hAnsi="Arial"/>
          <w:sz w:val="18"/>
          <w:szCs w:val="18"/>
          <w:color w:val="auto"/>
        </w:rPr>
      </w:pPr>
    </w:p>
    <w:p>
      <w:pPr>
        <w:ind w:left="1060" w:right="460" w:hanging="424"/>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Warner Bros. Fun Zone </w:t>
      </w:r>
      <w:r>
        <w:rPr>
          <w:rFonts w:ascii="Arial" w:cs="Arial" w:eastAsia="Arial" w:hAnsi="Arial"/>
          <w:sz w:val="18"/>
          <w:szCs w:val="18"/>
          <w:color w:val="auto"/>
        </w:rPr>
        <w:t>— a 32,000-square-foot indoor play center packed with rides and interactive fun zones themed around popular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characters from Warner Bros.’ DC Comics, Hanna-Barbera Productions and Looney Tunes entertainment franchises in a secure environment, complete with on-site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60"/>
        <w:spacing w:after="0" w:line="259" w:lineRule="auto"/>
        <w:rPr>
          <w:sz w:val="20"/>
          <w:szCs w:val="20"/>
          <w:color w:val="auto"/>
        </w:rPr>
      </w:pPr>
      <w:r>
        <w:rPr>
          <w:rFonts w:ascii="Arial" w:cs="Arial" w:eastAsia="Arial" w:hAnsi="Arial"/>
          <w:sz w:val="18"/>
          <w:szCs w:val="18"/>
          <w:color w:val="auto"/>
        </w:rPr>
        <w:t>child concierge services. The Warner Bros. Fun Zone targets kids of all ages, where kids can enjoy an immersive play experience with characters including Bugs Bunny, Tweety Pie, Sylvester, Taz and Daffy Duck. A range of shops and restaurants, a cartoon cinema and a designated birthday venue with different customizable rooms are also featured at the venue, providing families with children with memorable opportunities to interact and meet with iconic cartoon characters.</w:t>
      </w:r>
    </w:p>
    <w:p>
      <w:pPr>
        <w:spacing w:after="0" w:line="92" w:lineRule="exact"/>
        <w:rPr>
          <w:sz w:val="20"/>
          <w:szCs w:val="20"/>
          <w:color w:val="auto"/>
        </w:rPr>
      </w:pPr>
    </w:p>
    <w:p>
      <w:pPr>
        <w:ind w:left="1060" w:right="460" w:hanging="424"/>
        <w:spacing w:after="0" w:line="26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Studio 8 </w:t>
      </w:r>
      <w:r>
        <w:rPr>
          <w:rFonts w:ascii="Arial" w:cs="Arial" w:eastAsia="Arial" w:hAnsi="Arial"/>
          <w:sz w:val="18"/>
          <w:szCs w:val="18"/>
          <w:color w:val="auto"/>
        </w:rPr>
        <w:t>— the only TV studio facility in Macau to provide open access to “plug-in and play” facilities to create a fully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recording and broadcast studio. Studio 8 is a state-of-the-art studio facility with all the best-in-class infrastructure to support portable specialist equipment required for world-class TV production.</w:t>
      </w:r>
    </w:p>
    <w:p>
      <w:pPr>
        <w:spacing w:after="0" w:line="86" w:lineRule="exact"/>
        <w:rPr>
          <w:rFonts w:ascii="Arial" w:cs="Arial" w:eastAsia="Arial" w:hAnsi="Arial"/>
          <w:sz w:val="18"/>
          <w:szCs w:val="18"/>
          <w:color w:val="auto"/>
        </w:rPr>
      </w:pPr>
    </w:p>
    <w:p>
      <w:pPr>
        <w:ind w:left="1060" w:right="60" w:hanging="424"/>
        <w:spacing w:after="0" w:line="276"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Studio City Event Center </w:t>
      </w:r>
      <w:r>
        <w:rPr>
          <w:rFonts w:ascii="Arial" w:cs="Arial" w:eastAsia="Arial" w:hAnsi="Arial"/>
          <w:sz w:val="17"/>
          <w:szCs w:val="17"/>
          <w:color w:val="auto"/>
        </w:rPr>
        <w:t>— a 5,000-seat multi-purpose arena representing the centerpiece of Studio City’s live entertainment offerings.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77" w:lineRule="exact"/>
        <w:rPr>
          <w:rFonts w:ascii="Arial" w:cs="Arial" w:eastAsia="Arial" w:hAnsi="Arial"/>
          <w:sz w:val="17"/>
          <w:szCs w:val="17"/>
          <w:color w:val="auto"/>
        </w:rPr>
      </w:pPr>
    </w:p>
    <w:p>
      <w:pPr>
        <w:ind w:left="1060" w:right="30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RiverScape </w:t>
      </w:r>
      <w:r>
        <w:rPr>
          <w:rFonts w:ascii="Arial" w:cs="Arial" w:eastAsia="Arial" w:hAnsi="Arial"/>
          <w:sz w:val="18"/>
          <w:szCs w:val="18"/>
          <w:color w:val="auto"/>
        </w:rPr>
        <w:t>— a jungle river-themed water ride that caters to families and is over 450 meters long, offers three routes of differing lengths</w:t>
      </w:r>
      <w:r>
        <w:rPr>
          <w:rFonts w:ascii="Arial" w:cs="Arial" w:eastAsia="Arial" w:hAnsi="Arial"/>
          <w:sz w:val="18"/>
          <w:szCs w:val="18"/>
          <w:i w:val="1"/>
          <w:iCs w:val="1"/>
          <w:color w:val="auto"/>
        </w:rPr>
        <w:t xml:space="preserve"> </w:t>
      </w:r>
      <w:r>
        <w:rPr>
          <w:rFonts w:ascii="Arial" w:cs="Arial" w:eastAsia="Arial" w:hAnsi="Arial"/>
          <w:sz w:val="18"/>
          <w:szCs w:val="18"/>
          <w:color w:val="auto"/>
        </w:rPr>
        <w:t>and a children’s pool with two slides that lead to separate splash pools.</w:t>
      </w:r>
    </w:p>
    <w:p>
      <w:pPr>
        <w:spacing w:after="0" w:line="75" w:lineRule="exact"/>
        <w:rPr>
          <w:rFonts w:ascii="Arial" w:cs="Arial" w:eastAsia="Arial" w:hAnsi="Arial"/>
          <w:sz w:val="18"/>
          <w:szCs w:val="18"/>
          <w:color w:val="auto"/>
        </w:rPr>
      </w:pPr>
    </w:p>
    <w:p>
      <w:pPr>
        <w:jc w:val="both"/>
        <w:ind w:left="1060" w:right="180" w:hanging="424"/>
        <w:spacing w:after="0" w:line="26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Macau EStadium — </w:t>
      </w:r>
      <w:r>
        <w:rPr>
          <w:rFonts w:ascii="Arial" w:cs="Arial" w:eastAsia="Arial" w:hAnsi="Arial"/>
          <w:sz w:val="18"/>
          <w:szCs w:val="18"/>
          <w:color w:val="auto"/>
        </w:rPr>
        <w:t>a high-performance e-Sports venue that can seat approximately 270 guests. Macau EStadium is equipped with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non-casino gaming facilities and cutting-edge technology capable of hosting an array of e-Sports events, including top multiplayer gaming tournaments and live-streaming of e-Sports events from other parts of the world.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Elēkrŏn </w:t>
      </w:r>
      <w:r>
        <w:rPr>
          <w:rFonts w:ascii="Arial" w:cs="Arial" w:eastAsia="Arial" w:hAnsi="Arial"/>
          <w:sz w:val="18"/>
          <w:szCs w:val="18"/>
          <w:color w:val="auto"/>
        </w:rPr>
        <w:t>— an all-electric indoor theatrical stunt show.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Meetings, Incentives, Conventions and Exhibitions</w:t>
      </w:r>
    </w:p>
    <w:p>
      <w:pPr>
        <w:spacing w:after="0" w:line="117"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1,300 seats or meeting and break-out spaces with extensive pre-function areas for up to 1,800 people. Many of the salons offer views of the pool deck and have private outdoor terraces for coffee and lunch breaks.</w:t>
      </w:r>
    </w:p>
    <w:p>
      <w:pPr>
        <w:spacing w:after="0" w:line="158" w:lineRule="exact"/>
        <w:rPr>
          <w:sz w:val="20"/>
          <w:szCs w:val="20"/>
          <w:color w:val="auto"/>
        </w:rPr>
      </w:pPr>
    </w:p>
    <w:p>
      <w:pPr>
        <w:jc w:val="both"/>
        <w:ind w:left="200" w:right="240" w:firstLine="881"/>
        <w:spacing w:after="0" w:line="288" w:lineRule="auto"/>
        <w:rPr>
          <w:sz w:val="20"/>
          <w:szCs w:val="20"/>
          <w:color w:val="auto"/>
        </w:rPr>
      </w:pPr>
      <w:r>
        <w:rPr>
          <w:rFonts w:ascii="Arial" w:cs="Arial" w:eastAsia="Arial" w:hAnsi="Arial"/>
          <w:sz w:val="16"/>
          <w:szCs w:val="16"/>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 Since its opening, events held at Studio City included live concerts from headline acts such as Madonna, four time Grammy Awards nominee FLO</w:t>
      </w:r>
    </w:p>
    <w:p>
      <w:pPr>
        <w:ind w:left="200"/>
        <w:spacing w:after="0" w:line="277" w:lineRule="auto"/>
        <w:rPr>
          <w:sz w:val="20"/>
          <w:szCs w:val="20"/>
          <w:color w:val="auto"/>
        </w:rPr>
      </w:pPr>
      <w:r>
        <w:rPr>
          <w:rFonts w:ascii="Arial" w:cs="Arial" w:eastAsia="Arial" w:hAnsi="Arial"/>
          <w:sz w:val="17"/>
          <w:szCs w:val="17"/>
          <w:color w:val="auto"/>
        </w:rPr>
        <w:t xml:space="preserve">RIDA, Han Hong ( </w:t>
      </w:r>
      <w:r>
        <w:rPr>
          <w:sz w:val="1"/>
          <w:szCs w:val="1"/>
          <w:color w:val="auto"/>
        </w:rPr>
        <w:drawing>
          <wp:inline distT="0" distB="0" distL="0" distR="0">
            <wp:extent cx="180340" cy="9461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340" cy="94615"/>
                    </a:xfrm>
                    <a:prstGeom prst="rect">
                      <a:avLst/>
                    </a:prstGeom>
                    <a:noFill/>
                    <a:ln>
                      <a:noFill/>
                    </a:ln>
                  </pic:spPr>
                </pic:pic>
              </a:graphicData>
            </a:graphic>
          </wp:inline>
        </w:drawing>
      </w:r>
      <w:r>
        <w:rPr>
          <w:rFonts w:ascii="Arial" w:cs="Arial" w:eastAsia="Arial" w:hAnsi="Arial"/>
          <w:sz w:val="17"/>
          <w:szCs w:val="17"/>
          <w:color w:val="auto"/>
        </w:rPr>
        <w:t xml:space="preserve"> ), Kenny G, A-mei ( </w:t>
      </w:r>
      <w:r>
        <w:rPr>
          <w:sz w:val="1"/>
          <w:szCs w:val="1"/>
          <w:color w:val="auto"/>
        </w:rPr>
        <w:drawing>
          <wp:inline distT="0" distB="0" distL="0" distR="0">
            <wp:extent cx="266065" cy="9461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6065" cy="94615"/>
                    </a:xfrm>
                    <a:prstGeom prst="rect">
                      <a:avLst/>
                    </a:prstGeom>
                    <a:noFill/>
                    <a:ln>
                      <a:noFill/>
                    </a:ln>
                  </pic:spPr>
                </pic:pic>
              </a:graphicData>
            </a:graphic>
          </wp:inline>
        </w:drawing>
      </w:r>
      <w:r>
        <w:rPr>
          <w:rFonts w:ascii="Arial" w:cs="Arial" w:eastAsia="Arial" w:hAnsi="Arial"/>
          <w:sz w:val="17"/>
          <w:szCs w:val="17"/>
          <w:color w:val="auto"/>
        </w:rPr>
        <w:t xml:space="preserve"> ) and Jam Hsiao ( </w:t>
      </w:r>
      <w:r>
        <w:rPr>
          <w:sz w:val="1"/>
          <w:szCs w:val="1"/>
          <w:color w:val="auto"/>
        </w:rPr>
        <w:drawing>
          <wp:inline distT="0" distB="0" distL="0" distR="0">
            <wp:extent cx="266065" cy="9461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6065" cy="94615"/>
                    </a:xfrm>
                    <a:prstGeom prst="rect">
                      <a:avLst/>
                    </a:prstGeom>
                    <a:noFill/>
                    <a:ln>
                      <a:noFill/>
                    </a:ln>
                  </pic:spPr>
                </pic:pic>
              </a:graphicData>
            </a:graphic>
          </wp:inline>
        </w:drawing>
      </w:r>
      <w:r>
        <w:rPr>
          <w:rFonts w:ascii="Arial" w:cs="Arial" w:eastAsia="Arial" w:hAnsi="Arial"/>
          <w:sz w:val="17"/>
          <w:szCs w:val="17"/>
          <w:color w:val="auto"/>
        </w:rPr>
        <w:t xml:space="preserve"> ) as well as themed events such as a three-day Wedding Showcase (featuring dream wedding venue set-ups, tableware demonstrations, wedding gown catwalk shows and instrumental performances), a Chinese New Year’s Promo, Shakemas Campaign for Christmas, Michelin Guide Street Food Festival and The Super 8 basketball tournament.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We seek to cater to a broad range of customers with a focus on mass market players through the diverse gaming and non-gaming facilities and amenities at Studio City. The loyalty program, which is jointly operated with other casinos operated by Melco Resorts, at Studio City ensures that each customer segment is specifically recognized and incentivized in accordance with their revenue contribution. The loyalty program is segmented into several tiers. Members earn points for their gaming spending which may be redeemed for a range of retail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Gaming patrons currently include mass market players and VIP rolling chip players.</w:t>
      </w:r>
    </w:p>
    <w:p>
      <w:pPr>
        <w:spacing w:after="0" w:line="225"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Mass market players are non-VIP rolling chip players that come to Studio City Casino for a variety of reasons, including our brand, the quality and comfort of the mass market gaming floors and our non-gaming offerings. Mass market players are further classified as mainstream mass market and premium mass market players. Our premium mass market players generally do not take advantage of our luxury amenities to the same degree as VIP rolling chip players, but they are offered a variety of premium mass market amenities and loyalty programs, such as reserved space on the regular gaming floor and various other services, that are generally unavailable to mainstream mass market players. Mass market players play table games and gaming machines for cash stakes that are typically lower than those of VIP rolling chip players.</w:t>
      </w:r>
    </w:p>
    <w:p>
      <w:pPr>
        <w:spacing w:after="0" w:line="178"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VIP rolling chip players are patrons who participate in Studio City Casino’s in-house rolling chip programs or in the rolling chip programs of the gaming promoters at the dedicated VIP gaming areas. These patrons include premium direct players sourced through the direct marketing efforts and relationships of the Gaming Operator, and junket players sourced by the gaming promoters. VIP rolling chip players can earn a variety of gaming related cash commissions and complimentary products and services, such as rooms, food and beverage and retail products provided by the Gaming Operator. The gaming promoters typically offer similar complimentary products or services and will extend credit to the junket players sourced by them.</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assess and evaluate our focus on different market segments from time to time and adjust our operations accordingly.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Gaming Promoters</w:t>
      </w:r>
    </w:p>
    <w:p>
      <w:pPr>
        <w:spacing w:after="0" w:line="121" w:lineRule="exact"/>
        <w:rPr>
          <w:sz w:val="20"/>
          <w:szCs w:val="20"/>
          <w:color w:val="auto"/>
        </w:rPr>
      </w:pPr>
    </w:p>
    <w:p>
      <w:pPr>
        <w:ind w:left="200" w:right="120" w:firstLine="881"/>
        <w:spacing w:after="0" w:line="279" w:lineRule="auto"/>
        <w:rPr>
          <w:sz w:val="20"/>
          <w:szCs w:val="20"/>
          <w:color w:val="auto"/>
        </w:rPr>
      </w:pPr>
      <w:r>
        <w:rPr>
          <w:rFonts w:ascii="Arial" w:cs="Arial" w:eastAsia="Arial" w:hAnsi="Arial"/>
          <w:sz w:val="17"/>
          <w:szCs w:val="17"/>
          <w:color w:val="auto"/>
        </w:rPr>
        <w:t>Gaming promoters in Macau are independent third parties that include both individuals and corporate entities and are officially licensed by the DICJ and source junket players. VIP rolling chip players sourced by gaming promoters do not earn direct gaming related rebates from the Gaming Operator. The Gaming Operator pays commissions and provides other complimentary services to gaming promoters. Gaming promoters also extend credit to their junket players and are responsible for collecting such credit from them.</w:t>
      </w:r>
    </w:p>
    <w:p>
      <w:pPr>
        <w:spacing w:after="0" w:line="17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The Gaming Operator has procedures to screen prospective gaming promoters prior to their engagement and conducts periodic checks that are designed to ensure that the gaming promoters with whom the Gaming Operator associates meet suitability standards. The Gaming Operator typically enters into gaming promoter agreements for a one-year term that are automatically renewed in subsequent years unless otherwise terminated. The gaming promoters are compensated through commission arrangements that are calculated on a monthly or a per trip basis. Commission is calculated either by reference to revenue share or monthly rolling chip volume. The gaming promoters may receive complimentary allowances for food and beverage, hotel accommodation and transportation.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ind w:left="200" w:right="180" w:firstLine="881"/>
        <w:spacing w:after="0" w:line="259" w:lineRule="auto"/>
        <w:rPr>
          <w:sz w:val="20"/>
          <w:szCs w:val="20"/>
          <w:color w:val="auto"/>
        </w:rPr>
      </w:pPr>
      <w:r>
        <w:rPr>
          <w:rFonts w:ascii="Arial" w:cs="Arial" w:eastAsia="Arial" w:hAnsi="Arial"/>
          <w:sz w:val="18"/>
          <w:szCs w:val="18"/>
          <w:color w:val="auto"/>
        </w:rPr>
        <w:t>In order to be competitive in the Macau gaming environment, the Gaming Operator holds various promotions and special events at Studio City Casino and operates a loyalty program for gaming patrons. In addition, Studio City Casino participates in cross marketing and sales campaigns developed by the Gaming Operator. We believe this arrangement helps reduce Studio City’s ramp-up period, reduces marketing costs through scale synergies and enhances cross-revenue opportunities.</w:t>
      </w:r>
    </w:p>
    <w:p>
      <w:pPr>
        <w:spacing w:after="0" w:line="187"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Moreover, we seek to attract non-gaming customers to Studio City and to grow our customer base over time by undertaking a variety of advertising and marketing activities.</w:t>
      </w:r>
    </w:p>
    <w:p>
      <w:pPr>
        <w:spacing w:after="0" w:line="170"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There is a public relations and advertising team dedicated to Studio City that cultivates media relationships, promotes Studio City’s brands and directly liaises with customers within target Asian countries in order to explore media opportunities in various markets. Advertising activities at Studio City are rolled out through a variety of local and regional media platforms, including digital, social media, print, television, online, outdoor, on property (as permitted by Macau, PRC and any other applicable regional laws) as well as collateral and direct mail pieces. We also engage celebrities for marketing activities. We believe that these marketing and incentive programs will increase our brand awareness and drive further visitation to Studio City.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 xml:space="preserve">In recognition of Studio City’s facilities, games, customer service, atmosphere, style and design, Studio City was awarded the International Five Star Standard, Best Large Hotel Macau, Best City Hotel Macau, Best Resort Hotel Macau and Best Convention Hotel Macau in the International Hotel Awards 2017-18. Studio City was the Global Winner in the “Luxury Casino Hotel” category and the Regional Winner (East Asia) in the “Luxury Family Hotel” category of the 2017 World Luxury Hotel Awards. The property was also awarded the “Casino/Integrated Resort of the Year” in the International Gaming Awards in 2016 and honored as “Asia’s Leading New Resort” in World Travel Awards in 2016. Moreover, according to Forbes Travel Guide’s official 2019 Star Rating List, Studio City is currently one of only 11 Triple Five-Star Winners in the world garnering the Forbes Travel Guide Five-Star recognition for its hotel, spa and restaurant. Studio City’s Star Tower once again received the Forbes Travel Guide Five-Star recognition, while Zensa Spa was awarded the Forbes Travel Guide Five-Star recognition for the first time in 2019 and was named “World’s Most Luxurious Spa” by the Guide in 2018. Studio City’s signature Cantonese restaurant, </w:t>
      </w:r>
      <w:r>
        <w:rPr>
          <w:rFonts w:ascii="Arial" w:cs="Arial" w:eastAsia="Arial" w:hAnsi="Arial"/>
          <w:sz w:val="17"/>
          <w:szCs w:val="17"/>
          <w:i w:val="1"/>
          <w:iCs w:val="1"/>
          <w:color w:val="auto"/>
        </w:rPr>
        <w:t>Pearl Dragon</w:t>
      </w:r>
      <w:r>
        <w:rPr>
          <w:rFonts w:ascii="Arial" w:cs="Arial" w:eastAsia="Arial" w:hAnsi="Arial"/>
          <w:sz w:val="17"/>
          <w:szCs w:val="17"/>
          <w:color w:val="auto"/>
        </w:rPr>
        <w:t xml:space="preserve">, celebrated its first Forbes Travel Guide Five-Star recognition in 2019 and one-Michelin-starred establishment rank for the third consecutive year in the Michelin Guide Hong Kong Macau 2019, while </w:t>
      </w:r>
      <w:r>
        <w:rPr>
          <w:rFonts w:ascii="Arial" w:cs="Arial" w:eastAsia="Arial" w:hAnsi="Arial"/>
          <w:sz w:val="17"/>
          <w:szCs w:val="17"/>
          <w:i w:val="1"/>
          <w:iCs w:val="1"/>
          <w:color w:val="auto"/>
        </w:rPr>
        <w:t>Bi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Ying </w:t>
      </w:r>
      <w:r>
        <w:rPr>
          <w:rFonts w:ascii="Arial" w:cs="Arial" w:eastAsia="Arial" w:hAnsi="Arial"/>
          <w:sz w:val="17"/>
          <w:szCs w:val="17"/>
          <w:color w:val="auto"/>
        </w:rPr>
        <w:t>has been once again recommended in the guidebook. In addition,</w:t>
      </w:r>
      <w:r>
        <w:rPr>
          <w:rFonts w:ascii="Arial" w:cs="Arial" w:eastAsia="Arial" w:hAnsi="Arial"/>
          <w:sz w:val="17"/>
          <w:szCs w:val="17"/>
          <w:i w:val="1"/>
          <w:iCs w:val="1"/>
          <w:color w:val="auto"/>
        </w:rPr>
        <w:t xml:space="preserve"> Pearl Dragon </w:t>
      </w:r>
      <w:r>
        <w:rPr>
          <w:rFonts w:ascii="Arial" w:cs="Arial" w:eastAsia="Arial" w:hAnsi="Arial"/>
          <w:sz w:val="17"/>
          <w:szCs w:val="17"/>
          <w:color w:val="auto"/>
        </w:rPr>
        <w:t>and</w:t>
      </w:r>
      <w:r>
        <w:rPr>
          <w:rFonts w:ascii="Arial" w:cs="Arial" w:eastAsia="Arial" w:hAnsi="Arial"/>
          <w:sz w:val="17"/>
          <w:szCs w:val="17"/>
          <w:i w:val="1"/>
          <w:iCs w:val="1"/>
          <w:color w:val="auto"/>
        </w:rPr>
        <w:t xml:space="preserve"> Bi Ying </w:t>
      </w:r>
      <w:r>
        <w:rPr>
          <w:rFonts w:ascii="Arial" w:cs="Arial" w:eastAsia="Arial" w:hAnsi="Arial"/>
          <w:sz w:val="17"/>
          <w:szCs w:val="17"/>
          <w:color w:val="auto"/>
        </w:rPr>
        <w:t>were included in the list of Hong Kong Tatler’s Best</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Restaurants guide in 2017.</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Gaming in Macau is administered through government-sanctioned concessions awarded to three different concessionaires: SJM, Galaxy and Wynn Resorts Macau.</w:t>
      </w:r>
    </w:p>
    <w:p>
      <w:pPr>
        <w:spacing w:after="0" w:line="170" w:lineRule="exact"/>
        <w:rPr>
          <w:sz w:val="20"/>
          <w:szCs w:val="20"/>
          <w:color w:val="auto"/>
        </w:rPr>
      </w:pPr>
    </w:p>
    <w:p>
      <w:pPr>
        <w:ind w:left="200" w:right="240" w:firstLine="881"/>
        <w:spacing w:after="0" w:line="279" w:lineRule="auto"/>
        <w:rPr>
          <w:sz w:val="20"/>
          <w:szCs w:val="20"/>
          <w:color w:val="auto"/>
        </w:rPr>
      </w:pPr>
      <w:r>
        <w:rPr>
          <w:rFonts w:ascii="Arial" w:cs="Arial" w:eastAsia="Arial" w:hAnsi="Arial"/>
          <w:sz w:val="17"/>
          <w:szCs w:val="17"/>
          <w:color w:val="auto"/>
        </w:rPr>
        <w:t>SJM is a subsidiary of SJM Holdings Ltd., a company listed on the Hong Kong Stock Exchange in which Mr. Lawrence Ho, a director of our company and the chairman and chief executive officer of Melco Resorts, and his family members have shareholding interests. SJM currently operates multiple casinos throughout Macau. SJM (through its predecessor Tourism and Entertainment Company of Macau Limited) commenced its gaming operations in Macau in 1962 and is developing its project in Cotai, which is currently expected to open in 2019.</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SJM has granted a subconcession to MGM Grand. MGM Grand is listed on the Hong Kong Stock Exchange and was originally formed as a joint venture by MGM-Mirage and Ms. Pansy Ho, sister of Mr. Lawrence Ho. MGM Grand opened MGM Macau on the Macau Peninsula in December 2007 and MGM Cotai in February 2018.</w:t>
      </w:r>
    </w:p>
    <w:p>
      <w:pPr>
        <w:spacing w:after="0" w:line="181" w:lineRule="exact"/>
        <w:rPr>
          <w:sz w:val="20"/>
          <w:szCs w:val="20"/>
          <w:color w:val="auto"/>
        </w:rPr>
      </w:pPr>
    </w:p>
    <w:p>
      <w:pPr>
        <w:ind w:left="200" w:right="20" w:firstLine="881"/>
        <w:spacing w:after="0" w:line="312" w:lineRule="auto"/>
        <w:rPr>
          <w:sz w:val="20"/>
          <w:szCs w:val="20"/>
          <w:color w:val="auto"/>
        </w:rPr>
      </w:pPr>
      <w:r>
        <w:rPr>
          <w:rFonts w:ascii="Arial" w:cs="Arial" w:eastAsia="Arial" w:hAnsi="Arial"/>
          <w:sz w:val="16"/>
          <w:szCs w:val="16"/>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is currently developing phase 3 of the Galaxy Macau Resort, which is currently expected to be completed and operational in 2020.</w:t>
      </w:r>
    </w:p>
    <w:p>
      <w:pPr>
        <w:spacing w:after="0" w:line="147" w:lineRule="exact"/>
        <w:rPr>
          <w:sz w:val="20"/>
          <w:szCs w:val="20"/>
          <w:color w:val="auto"/>
        </w:rPr>
      </w:pPr>
    </w:p>
    <w:p>
      <w:pPr>
        <w:ind w:left="200" w:right="100" w:firstLine="881"/>
        <w:spacing w:after="0" w:line="273" w:lineRule="auto"/>
        <w:rPr>
          <w:sz w:val="20"/>
          <w:szCs w:val="20"/>
          <w:color w:val="auto"/>
        </w:rPr>
      </w:pPr>
      <w:r>
        <w:rPr>
          <w:rFonts w:ascii="Arial" w:cs="Arial" w:eastAsia="Arial" w:hAnsi="Arial"/>
          <w:sz w:val="17"/>
          <w:szCs w:val="17"/>
          <w:color w:val="auto"/>
        </w:rPr>
        <w:t>Galaxy has granted a subconcession to Venetian Macau Limited,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Limited, with a subconcession under Galaxy’s concession, operates Sands Macao on the Macau Peninsula, together with The Venetian Macau, the Plaza Casino at The Four Seasons Hotel Macao and Sands Cotai Central, which are located in Cotai. Sands China Ltd. opened the Parisian Macao in Cotai in September 2016 and has announced the re-branding and re-development of the Sands Cotai Central into The Londoner Macao.</w:t>
      </w:r>
    </w:p>
    <w:p>
      <w:pPr>
        <w:spacing w:after="0" w:line="178"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 Melco Resorts Macau obtained its subconcession from Wynn Resorts Macau. Melco Resorts Macau,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93"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Each of these concessionaires was permitted to grant one subconcession. The Macau government is currently considering the process of renewal, extension or grant of gaming concessions or subconcessions expiring in 2022. The Macau government further announced that the number of gaming tables in Macau should not exceed 5,500 until the end of the first quarter of 2013 and that, thereafter, for a period of ten years, the total number of gaming tables to be authorized will be limited to an average annual increase of 3%. These restrictions are not legislated or enacted into laws or regulations and, as such, different policies, including the policy on the annual increase rate in the number of gaming tables, may be adopted at any time by the relevant Macau government authorities. According to the DICJ, the number of gaming tables operating in Macau as of December 31, 2018 was 6,588. The Macau government has reiterated further that it does not intend to authorize the operation of any new casino or gaming area that was not previously authorized by the Macau government, or permit tables authorized for mass market gaming operations to be utilized for VIP gaming operations or authorize the expansion of existing casinos or gaming areas. However, the policies and laws of the Macau government may change and permit the Macau government to grant additional gaming concessions or subconcessions. Such change in policies may also result in a change in the number of gaming tables and casinos that the Macau government is prepared to authorize for operation.</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Studio City may also face competition from casinos and gaming resorts in other regions such as Singapore, Malaysia, South Korea, the Philippines, Vietnam, Cambodia, Australia, New Zealand and Japan. Casinos and integrated gaming resorts are becoming increasingly popular in Asia, giving rise to more opportunities for industry participants and increasing regional competition.</w:t>
      </w:r>
    </w:p>
    <w:p>
      <w:pPr>
        <w:spacing w:after="0" w:line="181"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Singapore legalized casino gaming in 2006. Genting Singapore PLC opened its resort, Resorts World Sentosa, in Sentosa, Singapore in February 2010 and Las Vegas Sands Corporation opened its casino at Marina Bay Sands in Singapore in April 2010. In December 2016, a law which conceptually enables the development of integrated resorts in Japan took effect, with corresponding legislation providing a legislative framework for the development and implementation of integrated resorts in Japan taking effect in July 2018. In addition, several other Asian countries are considering or are in the process of legalizing gambling and establishing casino-based entertainment complexes.</w:t>
      </w:r>
    </w:p>
    <w:p>
      <w:pPr>
        <w:spacing w:after="0" w:line="173"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We may also face competition from hotels and resorts, including many of the largest gaming, hospitality, leisure and resort companies in the world. These include Travellers International Hotel Group, Inc., Bloomberry Resorts Corporation, Tiger Resorts Leisure and Entertainment Inc., Melco Resorts Leisure (PHP) Corporation as well as Philippine Amusement and Gaming Corporation.</w:t>
      </w:r>
    </w:p>
    <w:p>
      <w:pPr>
        <w:spacing w:after="0" w:line="181" w:lineRule="exact"/>
        <w:rPr>
          <w:sz w:val="20"/>
          <w:szCs w:val="20"/>
          <w:color w:val="auto"/>
        </w:rPr>
      </w:pPr>
    </w:p>
    <w:p>
      <w:pPr>
        <w:ind w:left="200" w:right="220" w:firstLine="881"/>
        <w:spacing w:after="0" w:line="264" w:lineRule="auto"/>
        <w:rPr>
          <w:sz w:val="20"/>
          <w:szCs w:val="20"/>
          <w:color w:val="auto"/>
        </w:rPr>
      </w:pPr>
      <w:r>
        <w:rPr>
          <w:rFonts w:ascii="Arial" w:cs="Arial" w:eastAsia="Arial" w:hAnsi="Arial"/>
          <w:sz w:val="18"/>
          <w:szCs w:val="18"/>
          <w:color w:val="auto"/>
        </w:rPr>
        <w:t>Genting Highlands is a popular international gaming resort in Malaysia, approximately a one-hour drive from Kuala Lumpur. We believe that the Genting Highlands caters to a different market than Macau, in large part because of the distance and travel times from the Greater China population centers from which Macau is expected to draw its principal traffic.</w:t>
      </w:r>
    </w:p>
    <w:p>
      <w:pPr>
        <w:spacing w:after="0" w:line="181"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South Korea has allowed casinos for foreigners for some time including Seven Luck Casino and Paradise Walker Hill Casino in Seoul and Paradise Casinos in Busan and Incheon. Recently, Kangwon Land Casino opened in an old mining area of South Korea and began to accept Korean nationals.</w:t>
      </w:r>
    </w:p>
    <w:p>
      <w:pPr>
        <w:spacing w:after="0" w:line="181"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Star Cruises (Hong Kong) Ltd., or Star Cruises, is a leading cruise line in the Asia Pacific and is one of the largest cruise line operators in the world. Worldwide, Star Cruises presently operates a combined fleet of approximately 20 ships with more than 26,000 lower berths. Star Cruises vessels in Asia Pacific offer extensive gaming activities to their passengers. These cruise vessels may compete for Asian-based patrons with Studio City Casino gaming operations in Macau.</w:t>
      </w:r>
    </w:p>
    <w:p>
      <w:pPr>
        <w:spacing w:after="0" w:line="187" w:lineRule="exact"/>
        <w:rPr>
          <w:sz w:val="20"/>
          <w:szCs w:val="20"/>
          <w:color w:val="auto"/>
        </w:rPr>
      </w:pPr>
    </w:p>
    <w:p>
      <w:pPr>
        <w:jc w:val="both"/>
        <w:ind w:left="200" w:right="200" w:firstLine="881"/>
        <w:spacing w:after="0" w:line="277" w:lineRule="auto"/>
        <w:rPr>
          <w:sz w:val="20"/>
          <w:szCs w:val="20"/>
          <w:color w:val="auto"/>
        </w:rPr>
      </w:pPr>
      <w:r>
        <w:rPr>
          <w:rFonts w:ascii="Arial" w:cs="Arial" w:eastAsia="Arial" w:hAnsi="Arial"/>
          <w:sz w:val="18"/>
          <w:szCs w:val="18"/>
          <w:color w:val="auto"/>
        </w:rPr>
        <w:t>There are a number of casino complexes in certain tourist destinations in Cambodia such as Dailin, Bavet, Poipet, Sihanoukville and Koh Kong, but they are relatively small compared to those in Macau.</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addition, there are major gaming facilities in Australia located in Melbourne, Perth, Sydney and the Gold Coast.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200" w:right="200" w:firstLine="881"/>
        <w:spacing w:after="0" w:line="312" w:lineRule="auto"/>
        <w:rPr>
          <w:sz w:val="20"/>
          <w:szCs w:val="20"/>
          <w:color w:val="auto"/>
        </w:rPr>
      </w:pPr>
      <w:r>
        <w:rPr>
          <w:rFonts w:ascii="Arial" w:cs="Arial" w:eastAsia="Arial" w:hAnsi="Arial"/>
          <w:sz w:val="16"/>
          <w:szCs w:val="16"/>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Land and Properties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Land Concession</w:t>
      </w:r>
    </w:p>
    <w:p>
      <w:pPr>
        <w:spacing w:after="0" w:line="11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In October 2001, we entered into a land concession contract with the Macau government for the land on which Studio City is located. The contract was subsequently amended in 2012 and 2015.</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881"/>
        <w:spacing w:after="0" w:line="342" w:lineRule="auto"/>
        <w:rPr>
          <w:sz w:val="20"/>
          <w:szCs w:val="20"/>
          <w:color w:val="auto"/>
        </w:rPr>
      </w:pPr>
      <w:r>
        <w:rPr>
          <w:rFonts w:ascii="Arial" w:cs="Arial" w:eastAsia="Arial" w:hAnsi="Arial"/>
          <w:sz w:val="16"/>
          <w:szCs w:val="16"/>
          <w:color w:val="auto"/>
        </w:rPr>
        <w:t>The granted land is located in Cotai, Macau, with a total area of approximately 130,789 square meters. The gross construction area of our granted land is approximately 707,078 square meters. Currently, the gross floor area of Studio City is approximately 477,110 square meters.</w:t>
      </w:r>
    </w:p>
    <w:p>
      <w:pPr>
        <w:spacing w:after="0" w:line="124" w:lineRule="exact"/>
        <w:rPr>
          <w:sz w:val="20"/>
          <w:szCs w:val="20"/>
          <w:color w:val="auto"/>
        </w:rPr>
      </w:pPr>
    </w:p>
    <w:p>
      <w:pPr>
        <w:jc w:val="both"/>
        <w:ind w:left="200" w:right="200" w:firstLine="881"/>
        <w:spacing w:after="0" w:line="264" w:lineRule="auto"/>
        <w:rPr>
          <w:sz w:val="20"/>
          <w:szCs w:val="20"/>
          <w:color w:val="auto"/>
        </w:rPr>
      </w:pPr>
      <w:r>
        <w:rPr>
          <w:rFonts w:ascii="Arial" w:cs="Arial" w:eastAsia="Arial" w:hAnsi="Arial"/>
          <w:sz w:val="18"/>
          <w:szCs w:val="18"/>
          <w:color w:val="auto"/>
        </w:rPr>
        <w:t>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w:t>
      </w:r>
    </w:p>
    <w:p>
      <w:pPr>
        <w:spacing w:after="0" w:line="181" w:lineRule="exact"/>
        <w:rPr>
          <w:sz w:val="20"/>
          <w:szCs w:val="20"/>
          <w:color w:val="auto"/>
        </w:rPr>
      </w:pPr>
    </w:p>
    <w:p>
      <w:pPr>
        <w:jc w:val="both"/>
        <w:ind w:left="200" w:right="120" w:firstLine="881"/>
        <w:spacing w:after="0" w:line="297" w:lineRule="auto"/>
        <w:rPr>
          <w:sz w:val="20"/>
          <w:szCs w:val="20"/>
          <w:color w:val="auto"/>
        </w:rPr>
      </w:pPr>
      <w:r>
        <w:rPr>
          <w:rFonts w:ascii="Arial" w:cs="Arial" w:eastAsia="Arial" w:hAnsi="Arial"/>
          <w:sz w:val="16"/>
          <w:szCs w:val="16"/>
          <w:color w:val="auto"/>
        </w:rPr>
        <w:t>Pursuant to our land concession contract, our granted land, including the remaining project, must be fully developed by July 24, 2021. See “Item 3. Key Information — D. Risk Factors — Risks Relating to Our Business — We are developing the remaining project for Studio City under the terms of a land concession contract which require us to fully develop the land on which Studio City is located by July 24, 2021.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buildings and structures on such land.”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of Our Remaining Project</w:t>
      </w:r>
    </w:p>
    <w:p>
      <w:pPr>
        <w:spacing w:after="0" w:line="117"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Under our current plan for the remaining project, the remaining project is expected to consist of two hotel towers with approximately 900 rooms and suites and a gaming area. In addition, we currently envision the remaining project to also contain a waterpark with indoor and outdoor areas. Other non-gaming attractions expected to be part of the remaining project include MICE space, retail and food and beverage outlets and a cineplex. As of December 31, 2018, we have incurred approximately US$39.6 million of aggregate costs relating to the development of our remaining project, primarily related to the initial design and planning costs. Based on our current plan for the remaining project, we currently expect a project budget of approximately US$1.35 billion to US$1.40 billion for the development of the remaining project (exclusive of any pre-opening costs and financing costs) and a construction period of approximately 32 months.</w:t>
      </w:r>
    </w:p>
    <w:p>
      <w:pPr>
        <w:spacing w:after="0" w:line="178"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 xml:space="preserve">Our plan for the remaining project may be subject to further revision and change and detailed design elements remain subject to further refinement and development. See </w:t>
      </w:r>
      <w:r>
        <w:rPr>
          <w:rFonts w:ascii="Arial" w:cs="Arial" w:eastAsia="Arial" w:hAnsi="Arial"/>
          <w:sz w:val="16"/>
          <w:szCs w:val="16"/>
          <w:i w:val="1"/>
          <w:iCs w:val="1"/>
          <w:color w:val="auto"/>
        </w:rPr>
        <w:t>“</w:t>
      </w:r>
      <w:r>
        <w:rPr>
          <w:rFonts w:ascii="Arial" w:cs="Arial" w:eastAsia="Arial" w:hAnsi="Arial"/>
          <w:sz w:val="16"/>
          <w:szCs w:val="16"/>
          <w:color w:val="auto"/>
        </w:rPr>
        <w:t>Item 3. Key Information — D. Risk Factors — Risks Relating to Our Business — We are developing the remaining project for Studio City under the terms of a land concession contract which require us to fully develop the land on which Studio City is located by July 24, 2021.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buildings and structures on such land,” “Item 3. Key Information — D. Risk Factors — Risks Relating to Our Business — Future development of the remaining project is subject to significant risks and uncertainties,” and “Item 3. Key Information — D. Risk Factors — Risks Relating to Our Business — We may not be able to obtain adequate financing on satisfactory terms for our existing business and/or remaining project, or at all.”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Apart from the property site for Studio City, we do not own or lease any other properties.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200" w:right="400" w:firstLine="881"/>
        <w:spacing w:after="0" w:line="272" w:lineRule="auto"/>
        <w:rPr>
          <w:sz w:val="20"/>
          <w:szCs w:val="20"/>
          <w:color w:val="auto"/>
        </w:rPr>
      </w:pPr>
      <w:r>
        <w:rPr>
          <w:rFonts w:ascii="Arial" w:cs="Arial" w:eastAsia="Arial" w:hAnsi="Arial"/>
          <w:sz w:val="17"/>
          <w:szCs w:val="17"/>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 See “Item 3. Key Information — D. Risk Factors — Risks Relating to Our Business — We may not have sufficient insurance coverage.”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Internal Control Policies</w:t>
      </w:r>
    </w:p>
    <w:p>
      <w:pPr>
        <w:spacing w:after="0" w:line="121"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We have adopted our own governance policies and internal control measures in order to achieve operations in a professional manner in compliance with its, and Melco Resorts’, internal control requirements and applicable laws.</w:t>
      </w:r>
    </w:p>
    <w:p>
      <w:pPr>
        <w:spacing w:after="0" w:line="170"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The Foreign Corrupt Practices Act, or the FCPA, and Macau laws prohibit us and the staff and agents participating in the operations in Studio City from offering or giving money or any other item of value to win or retain business or to influence any act or decision of any government official. The Code of Business Conduct and Ethics, or the Code, includes provisions relating to compliance of all applicable anti-corruption laws including FCPA and the relevant Macau laws. The Ethical Business Practices Program covers corruption in both public and private sectors. It also covers the activities of our shareholders (to the extent they act or take actions on our behalf), directors, officers, employees and dedicated staff members performing services solely at Studio City.</w:t>
      </w:r>
    </w:p>
    <w:p>
      <w:pPr>
        <w:spacing w:after="0" w:line="193"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Studio City Casino is managed and operated by the Gaming Operator guided by requirements under the Subconcession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w:t>
      </w:r>
    </w:p>
    <w:p>
      <w:pPr>
        <w:spacing w:after="0" w:line="187" w:lineRule="exact"/>
        <w:rPr>
          <w:sz w:val="20"/>
          <w:szCs w:val="20"/>
          <w:color w:val="auto"/>
        </w:rPr>
      </w:pPr>
    </w:p>
    <w:p>
      <w:pPr>
        <w:ind w:left="200" w:right="240" w:firstLine="881"/>
        <w:spacing w:after="0" w:line="259" w:lineRule="auto"/>
        <w:rPr>
          <w:sz w:val="20"/>
          <w:szCs w:val="20"/>
          <w:color w:val="auto"/>
        </w:rPr>
      </w:pPr>
      <w:r>
        <w:rPr>
          <w:rFonts w:ascii="Arial" w:cs="Arial" w:eastAsia="Arial" w:hAnsi="Arial"/>
          <w:sz w:val="18"/>
          <w:szCs w:val="18"/>
          <w:color w:val="auto"/>
        </w:rPr>
        <w:t>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Gaming Regulations</w:t>
      </w:r>
    </w:p>
    <w:p>
      <w:pPr>
        <w:spacing w:after="0" w:line="121" w:lineRule="exact"/>
        <w:rPr>
          <w:sz w:val="20"/>
          <w:szCs w:val="20"/>
          <w:color w:val="auto"/>
        </w:rPr>
      </w:pPr>
    </w:p>
    <w:p>
      <w:pPr>
        <w:ind w:left="200" w:right="20" w:firstLine="881"/>
        <w:spacing w:after="0" w:line="286" w:lineRule="auto"/>
        <w:rPr>
          <w:sz w:val="20"/>
          <w:szCs w:val="20"/>
          <w:color w:val="auto"/>
        </w:rPr>
      </w:pPr>
      <w:r>
        <w:rPr>
          <w:rFonts w:ascii="Arial" w:cs="Arial" w:eastAsia="Arial" w:hAnsi="Arial"/>
          <w:sz w:val="17"/>
          <w:szCs w:val="17"/>
          <w:color w:val="auto"/>
        </w:rPr>
        <w:t>The ownership and operation of casino gaming facilities in Macau are subject to the general civil and commercial laws and specific gaming laws, in particular, Law No. 16/2001, or the Macau Gaming Law. Macau’s gaming operations are also subject to the grant of a concession or subconcession by, and regulatory control of, the Macau government. See “— The Gaming Operator’s Subconcession.”</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Below are the main features of the Macau Gaming Law, as supplemented by Administrative Regulation no. 26/2001, that are applicable to the gaming business.</w:t>
      </w:r>
    </w:p>
    <w:p>
      <w:pPr>
        <w:spacing w:after="0" w:line="76" w:lineRule="exact"/>
        <w:rPr>
          <w:sz w:val="20"/>
          <w:szCs w:val="20"/>
          <w:color w:val="auto"/>
        </w:rPr>
      </w:pPr>
    </w:p>
    <w:p>
      <w:pPr>
        <w:ind w:left="1060" w:hanging="424"/>
        <w:spacing w:after="0" w:line="290"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Gaming Operator violates the Macau Gaming Law, the Gaming Operator’s subconcession could be limited, conditioned, suspended, revoked, or subject to compliance with certain statutory and regulatory procedures. In addition, the Gaming Operator, and the persons involved, could be subject to substantial fines for each separate violation of the Macau Gaming Law or of the Subconcession Contract at the discretion of the Macau government. Further, if the Gaming Operator terminates or suspends the operation of all or a part of its gaming operations without permission for reasons not due to force majeure, or in the event of the insufficiency of the gaming facilities and equipment which may affect the normal operation of its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w:t>
      </w:r>
    </w:p>
    <w:p>
      <w:pPr>
        <w:spacing w:after="0" w:line="71" w:lineRule="exact"/>
        <w:rPr>
          <w:rFonts w:ascii="Arial" w:cs="Arial" w:eastAsia="Arial" w:hAnsi="Arial"/>
          <w:sz w:val="16"/>
          <w:szCs w:val="16"/>
          <w:color w:val="auto"/>
        </w:rPr>
      </w:pPr>
    </w:p>
    <w:p>
      <w:pPr>
        <w:ind w:left="1060" w:right="280" w:hanging="424"/>
        <w:spacing w:after="0" w:line="308"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Macau government also has the power to supervise concessionaires and subconcessionaires in order to assure financial stability and capability. See “— The Gaming Operator’s Subconcession — The Subconcession Contract” below for more details.</w:t>
      </w:r>
    </w:p>
    <w:p>
      <w:pPr>
        <w:spacing w:after="0" w:line="51" w:lineRule="exact"/>
        <w:rPr>
          <w:rFonts w:ascii="Arial" w:cs="Arial" w:eastAsia="Arial" w:hAnsi="Arial"/>
          <w:sz w:val="17"/>
          <w:szCs w:val="17"/>
          <w:color w:val="auto"/>
        </w:rPr>
      </w:pPr>
    </w:p>
    <w:p>
      <w:pPr>
        <w:ind w:left="1060" w:right="20" w:hanging="424"/>
        <w:spacing w:after="0" w:line="293"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person who fails or refuses to apply for a finding of suitability after being ordered to do so by the Macau government may be found unsuitable. Any shareholder of a concessionaire or subconcessionaire holding shares equal to or in excess of 5% of such concessionaire’s or subconcessionaire’s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or subconcessionaire. The Gaming Operator will be subject to disciplinary action if, after it receives notice that a person is unsuitable to be a shareholder or to have any other relationship with it, the Gaming Operator:</w:t>
      </w:r>
    </w:p>
    <w:p>
      <w:pPr>
        <w:spacing w:after="0" w:line="70" w:lineRule="exact"/>
        <w:rPr>
          <w:rFonts w:ascii="Arial" w:cs="Arial" w:eastAsia="Arial" w:hAnsi="Arial"/>
          <w:sz w:val="16"/>
          <w:szCs w:val="16"/>
          <w:color w:val="auto"/>
        </w:rPr>
      </w:pPr>
    </w:p>
    <w:p>
      <w:pPr>
        <w:ind w:left="1620" w:hanging="538"/>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24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the shares or property (comprised of a casino, gaming equipment and utensils) of a concession or subconcession holder.</w:t>
      </w:r>
    </w:p>
    <w:p>
      <w:pPr>
        <w:spacing w:after="0" w:line="75" w:lineRule="exact"/>
        <w:rPr>
          <w:rFonts w:ascii="Arial" w:cs="Arial" w:eastAsia="Arial" w:hAnsi="Arial"/>
          <w:sz w:val="18"/>
          <w:szCs w:val="18"/>
          <w:color w:val="auto"/>
        </w:rPr>
      </w:pPr>
    </w:p>
    <w:p>
      <w:pPr>
        <w:ind w:left="1060" w:right="80" w:hanging="424"/>
        <w:spacing w:after="0" w:line="297"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Macau government must give its prior approval to changes in control through a merger, consolidation, shares acquisition, or any act or conduct by any person whereby such person obtains control of the Gaming Operator. Entities seeking to acquire control of a concessionaire or subconcessionaire must satisfy the Macau government with regards to a variety of stringent standards prior to assuming control. The Macau government may also require controlling shareholders, officers, directors and other persons having a material relationship or involvement with the entity proposing to acquire control, to be investigated for suitability as part of the approval process of the transaction.</w:t>
      </w:r>
    </w:p>
    <w:p>
      <w:pPr>
        <w:spacing w:after="0" w:line="158"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Non-compliance with these obligations could lead to the revocation of the Gaming Operator’s subconcession and could materially adversely affect its gaming operations.</w:t>
      </w:r>
    </w:p>
    <w:p>
      <w:pPr>
        <w:spacing w:after="0" w:line="170"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The Macau government has also enacted other gaming legislation, rules and policies. Further, it imposed policies,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restrictions on the utilization of mass market gaming tables for VIP gaming operations and other matters. In addition, the Macau government may consider enacting new regulations that may adversely affect the Gaming Operator’s gaming operations. The Gaming Operator’s inability to address the requirements or restrictions imposed by the Macau government under such legislation or rules could adversely affect its gaming operations, including Studio City Casino.</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Gaming Promoters Regulations</w:t>
      </w:r>
    </w:p>
    <w:p>
      <w:pPr>
        <w:spacing w:after="0" w:line="121"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Macau Administrative Regulation no. 6/2002, as amended pursuant to Administrative Regulation no. 27/2009, or the Gaming Promoters Regulation, regulates licensing of gaming promoters and the operations of gaming promotion businesses by gaming promoters. Applications to the DICJ by those seeking to become licensed gaming promoters must be sponsored by a concessionaire or subconcessionaire. Such concessionaire or subconcessionaire must confirm that it may contract the applicant’s services subject to the latter being licensed. Licenses are subject to annual renewal and a list of licensed gaming promoters is published every year in the Macau Official Gazette. The DICJ monitors each gaming promoter and its staff and collaborators. In October 2015, the DICJ issued specific accounting related instructions applicable to gaming promoters and their operations. Any failure by gaming promoters to comply with such instructions may impact their license and ability to operate in Macau.</w:t>
      </w:r>
    </w:p>
    <w:p>
      <w:pPr>
        <w:spacing w:after="0" w:line="167" w:lineRule="exact"/>
        <w:rPr>
          <w:sz w:val="20"/>
          <w:szCs w:val="20"/>
          <w:color w:val="auto"/>
        </w:rPr>
      </w:pPr>
    </w:p>
    <w:p>
      <w:pPr>
        <w:ind w:left="200" w:right="80" w:firstLine="881"/>
        <w:spacing w:after="0" w:line="297" w:lineRule="auto"/>
        <w:rPr>
          <w:sz w:val="20"/>
          <w:szCs w:val="20"/>
          <w:color w:val="auto"/>
        </w:rPr>
      </w:pPr>
      <w:r>
        <w:rPr>
          <w:rFonts w:ascii="Arial" w:cs="Arial" w:eastAsia="Arial" w:hAnsi="Arial"/>
          <w:sz w:val="16"/>
          <w:szCs w:val="16"/>
          <w:color w:val="auto"/>
        </w:rPr>
        <w:t>In addition, concessionaires and subconcessionaires are jointly liable for the activities of their gaming promoters and collaborators within their casinos. In addition to the licensing and suitability assessment procedures performed by the DICJ, all of the Gaming Operator’s gaming promoters undergo a thorough internal vetting process. The Gaming Operator conducts background checks and also conducts periodic reviews of the activities of each gaming promoter,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58"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effective as of September 11, 2009, a commission cap of 1.25% of net rolling has been in effect. Any bonuses, gifts, services or other advantages which are subject to monetary valuation and which are granted, directly or indirectly, inside or outside of Macau by any concessionaire or subconcessionaires or any company of their</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 group to any gaming promoter shall be considered a commission. The commission cap regulations impose fines, ranging from MOP100,000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(US$12,397) up to MOP500,000 (US$61,985), on gaming operators that do not comply with the cap and other fines, ranging from MOP50,000</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(US$6,198) up to MOP250,000 (US$30,992) on gaming operators that do not comply with their reporting obligations regarding commission payments.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If breached, the legislation on commission caps has a sanction enabling the relevant government authority to make public a government decision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imposing a fine on a concessionaire and subconcessionaire by publishing such decision on the DICJ website and in two Macau newspapers (in Chinese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Portuguese respectively). We believe the Gaming Operator has implemented the necessary internal control systems to ensure compliance with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commission cap and reporting obligations in accordance with applicable rules and regulations.</w:t>
      </w:r>
    </w:p>
    <w:p>
      <w:pPr>
        <w:spacing w:after="0" w:line="211" w:lineRule="exact"/>
        <w:rPr>
          <w:sz w:val="20"/>
          <w:szCs w:val="20"/>
          <w:color w:val="auto"/>
        </w:rPr>
      </w:pPr>
    </w:p>
    <w:p>
      <w:pPr>
        <w:ind w:left="200" w:right="220" w:firstLine="881"/>
        <w:spacing w:after="0" w:line="264" w:lineRule="auto"/>
        <w:rPr>
          <w:sz w:val="20"/>
          <w:szCs w:val="20"/>
          <w:color w:val="auto"/>
        </w:rPr>
      </w:pPr>
      <w:r>
        <w:rPr>
          <w:rFonts w:ascii="Arial" w:cs="Arial" w:eastAsia="Arial" w:hAnsi="Arial"/>
          <w:sz w:val="18"/>
          <w:szCs w:val="18"/>
          <w:color w:val="auto"/>
        </w:rPr>
        <w:t>The Macau government is currently considering amending the Macau Administrative Regulation no. 6/2002. The Macau government is, among other things, proposing that the licensing requirements for gaming promoters be more stringent and restrictive, the imposition of new penalties and the increase of the amounts of current fines.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Gaming Credit Regulations</w:t>
      </w:r>
    </w:p>
    <w:p>
      <w:pPr>
        <w:spacing w:after="0" w:line="121"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Law no. 5/2004 has legalized the extension of gaming credit to patrons or gaming promoters by concessionaires and subconcessionaires in Macau.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Access to Casinos and Gaming Areas Regulations</w:t>
      </w:r>
    </w:p>
    <w:p>
      <w:pPr>
        <w:spacing w:after="0" w:line="121"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gaming operators and gaming promoters may not, starting from December 2019, access any casinos or gaming areas, except during the Chinese New Year festive season or under specific circumstances.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Smoking Regulations</w:t>
      </w:r>
    </w:p>
    <w:p>
      <w:pPr>
        <w:spacing w:after="0" w:line="12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Under the Smoking Prevention and Tobacco Control Law, as amended pursuant to Law no. 9/2017, from January 1, 2019, smoking on casino premises is only be permitted in authorized segregated smoking lounges with no gaming activities and such smoking lounges are required to meet certain standards determined by the Macau government.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Anti-money Laundering Regulations and Terrorism Financing</w:t>
      </w:r>
    </w:p>
    <w:p>
      <w:pPr>
        <w:spacing w:after="0" w:line="12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In conjunction with current gaming laws and regulations, we are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govern compliance requirements with respect to identifying, reporting and preventing anti-money laundering and terrorism financing crimes at casinos and gaming areas in Macau. Under these laws and regulations, the Gaming Operator is required to:</w:t>
      </w:r>
    </w:p>
    <w:p>
      <w:pPr>
        <w:spacing w:after="0" w:line="94" w:lineRule="exact"/>
        <w:rPr>
          <w:sz w:val="20"/>
          <w:szCs w:val="20"/>
          <w:color w:val="auto"/>
        </w:rPr>
      </w:pPr>
    </w:p>
    <w:p>
      <w:pPr>
        <w:ind w:left="1060" w:right="52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 internal procedures and rules governing the prevention of anti-money laundering and terrorism financing crimes which are subject to prior approval from DICJ;</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 and evaluate the money laundering and terrorism financing risk inherent to gaming activities;</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 any customer who is in a stable business relationship with the Gaming Operator, who is a politically exposed person or any customer or transaction where there are signs of money laundering or financing of terrorism or which involves significant sums of money in the context of the transaction, even if any sign of money laundering is absent;</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refuse to deal with any customers who fail to provide any information requested by the Gaming Operator;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regime for electronic transfers;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keep individual records of all transactions related to gaming which involve credit securities;</w:t>
      </w:r>
    </w:p>
    <w:p>
      <w:pPr>
        <w:spacing w:after="0" w:line="130" w:lineRule="exact"/>
        <w:rPr>
          <w:rFonts w:ascii="Arial" w:cs="Arial" w:eastAsia="Arial" w:hAnsi="Arial"/>
          <w:sz w:val="18"/>
          <w:szCs w:val="18"/>
          <w:color w:val="auto"/>
        </w:rPr>
      </w:pPr>
    </w:p>
    <w:p>
      <w:pPr>
        <w:ind w:left="1060" w:right="220" w:hanging="424"/>
        <w:spacing w:after="0" w:line="308"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keep records of all electronic transactions for amounts equal to or exceeding MOP8,000 (US$992) in cases of occasional transactions and MOP120,000 (US$14,876) in cases of transactions that arose in the context of a continuous business relationship;</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notify the Finance Information Bureau if there is any sign of money laundering or financing of terrorism;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 a compliance function and appoint compliance officers; and</w:t>
      </w:r>
    </w:p>
    <w:p>
      <w:pPr>
        <w:spacing w:after="0" w:line="130" w:lineRule="exact"/>
        <w:rPr>
          <w:rFonts w:ascii="Arial" w:cs="Arial" w:eastAsia="Arial" w:hAnsi="Arial"/>
          <w:sz w:val="18"/>
          <w:szCs w:val="18"/>
          <w:color w:val="auto"/>
        </w:rPr>
      </w:pPr>
    </w:p>
    <w:p>
      <w:pPr>
        <w:ind w:left="1060" w:right="64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jc w:val="both"/>
        <w:ind w:left="200" w:right="280" w:firstLine="881"/>
        <w:spacing w:after="0" w:line="302" w:lineRule="auto"/>
        <w:rPr>
          <w:sz w:val="20"/>
          <w:szCs w:val="20"/>
          <w:color w:val="auto"/>
        </w:rPr>
      </w:pPr>
      <w:r>
        <w:rPr>
          <w:rFonts w:ascii="Arial" w:cs="Arial" w:eastAsia="Arial" w:hAnsi="Arial"/>
          <w:sz w:val="16"/>
          <w:szCs w:val="16"/>
          <w:color w:val="auto"/>
        </w:rPr>
        <w:t>Under Article 2 of Administrative Regulation no. 7/2006 (as amended pursuant to Administrative Regulation no. 17/2017) and the DICJ Instruction no. 1/2016, the Gaming Operator is required to track and report transactions and granting of credit that are MOP500,000 (US$61,985) or above. Pursuant to the legal requirements above, if the customer provides all required information, after submitting the reports, the Gaming Operator may continue to deal with those customers that were reported to the DICJ and, in case of suspicious transactions, to the Finance Information Bureau.</w:t>
      </w:r>
    </w:p>
    <w:p>
      <w:pPr>
        <w:spacing w:after="0" w:line="154"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Gaming Operator employs internal controls and procedures designed to help ensure that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81" w:lineRule="exact"/>
        <w:rPr>
          <w:sz w:val="20"/>
          <w:szCs w:val="20"/>
          <w:color w:val="auto"/>
        </w:rPr>
      </w:pPr>
    </w:p>
    <w:p>
      <w:pPr>
        <w:ind w:left="200" w:right="60" w:firstLine="881"/>
        <w:spacing w:after="0" w:line="302" w:lineRule="auto"/>
        <w:rPr>
          <w:sz w:val="20"/>
          <w:szCs w:val="20"/>
          <w:color w:val="auto"/>
        </w:rPr>
      </w:pPr>
      <w:r>
        <w:rPr>
          <w:rFonts w:ascii="Arial" w:cs="Arial" w:eastAsia="Arial" w:hAnsi="Arial"/>
          <w:sz w:val="16"/>
          <w:szCs w:val="16"/>
          <w:color w:val="auto"/>
        </w:rPr>
        <w:t>The Gaming Operator has developed a comprehensive anti-money laundering policy and related procedures covering its anti-money laundering responsibilities, which have been approved by the DICJ, and have training programs in place to ensure that all relevant staff understand such anti-money laundering policy and procedures. The Gaming Operator also uses an integrated IT system to track and automatically generate significant cash transaction reports and, if permitted by the DICJ and the Finance Information Bureau, to submit those reports electronically.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Responsible Gaming Regulations</w:t>
      </w:r>
    </w:p>
    <w:p>
      <w:pPr>
        <w:spacing w:after="0" w:line="121" w:lineRule="exact"/>
        <w:rPr>
          <w:sz w:val="20"/>
          <w:szCs w:val="20"/>
          <w:color w:val="auto"/>
        </w:rPr>
      </w:pPr>
    </w:p>
    <w:p>
      <w:pPr>
        <w:ind w:left="200" w:right="280" w:firstLine="881"/>
        <w:spacing w:after="0" w:line="255" w:lineRule="auto"/>
        <w:rPr>
          <w:sz w:val="20"/>
          <w:szCs w:val="20"/>
          <w:color w:val="auto"/>
        </w:rPr>
      </w:pPr>
      <w:r>
        <w:rPr>
          <w:rFonts w:ascii="Arial" w:cs="Arial" w:eastAsia="Arial" w:hAnsi="Arial"/>
          <w:sz w:val="18"/>
          <w:szCs w:val="18"/>
          <w:color w:val="auto"/>
        </w:rPr>
        <w:t>On October 18, 2012, the DICJ issued Instruction no. 2/2012, which came into effect on November 1, 2012, setting out measures for the implementation of responsible gaming principles. Under this instruction, concessionaires and subconcessionaires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public exhibition of time; creation and training of teams and a coordinator responsible for promoting responsible gambling.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 of Cross-border Transportation of Cash Regulations</w:t>
      </w:r>
    </w:p>
    <w:p>
      <w:pPr>
        <w:spacing w:after="0" w:line="121"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order of the Chief Executive of Macau at MOP120,000 (US$14,876)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order of the Chief Executive of Macau for declaration purposes, such fine being at least MOP1,000 (US$124) and not exceeding MOP500,000 (US$61,985).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Prevention and Suppression of Corruption in External Trade Regulations</w:t>
      </w:r>
    </w:p>
    <w:p>
      <w:pPr>
        <w:spacing w:after="0" w:line="121"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Melco Resorts’ internal policies, which we follow, address this issue.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Freezing Enforcement Regulations</w:t>
      </w:r>
    </w:p>
    <w:p>
      <w:pPr>
        <w:spacing w:after="0" w:line="121"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On August 29, 2016, Law no. 6/2016, with respect to the framework for the enforcement of asset freezing orders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of Macau in all technical aspects of such enforcement. Among other entities, gaming operators are subject to certain obligations and duties regarding the freezing of assets ordered by the United Nations Security Council sanctions resolutions, including reporting and cooperation obligations.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Exchange Regulations</w:t>
      </w:r>
    </w:p>
    <w:p>
      <w:pPr>
        <w:spacing w:after="0" w:line="121"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Gaming operators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Rights Regulations</w:t>
      </w:r>
    </w:p>
    <w:p>
      <w:pPr>
        <w:spacing w:after="0" w:line="121"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Our subsidiaries incorporated in Macau are subject to local intellectual property regulations. Intellectual property protection in Macau is supervised by the Intellectual Property Department of the Economic Services Bureau of the Macau government.</w:t>
      </w:r>
    </w:p>
    <w:p>
      <w:pPr>
        <w:spacing w:after="0" w:line="170"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The applicable regime in Macau with regard to intellectual property rights is defined by two main laws. The Industrial Property Code (Decree-Law no. 97/99/M, as amended pursuant to Law no. 11/2001), covers (i) 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Personal Data Regulations</w:t>
      </w:r>
    </w:p>
    <w:p>
      <w:pPr>
        <w:spacing w:after="0" w:line="121"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Processing of personal data by our subsidiaries in Macau is subject to compliance with the Personal Data Protection Act (Law no. 8/2005). The Office for Personal Data Protection, or GPDP, is the regulatory authority in Macau in charge of supervising and enforcing the Personal Data Protection Act. Breaches are subject to civil liability, administrative and criminal sanctions.</w:t>
      </w:r>
    </w:p>
    <w:p>
      <w:pPr>
        <w:spacing w:after="0" w:line="181" w:lineRule="exact"/>
        <w:rPr>
          <w:sz w:val="20"/>
          <w:szCs w:val="20"/>
          <w:color w:val="auto"/>
        </w:rPr>
      </w:pPr>
    </w:p>
    <w:p>
      <w:pPr>
        <w:ind w:left="200" w:right="540" w:firstLine="881"/>
        <w:spacing w:after="0" w:line="342" w:lineRule="auto"/>
        <w:rPr>
          <w:sz w:val="20"/>
          <w:szCs w:val="20"/>
          <w:color w:val="auto"/>
        </w:rPr>
      </w:pPr>
      <w:r>
        <w:rPr>
          <w:rFonts w:ascii="Arial" w:cs="Arial" w:eastAsia="Arial" w:hAnsi="Arial"/>
          <w:sz w:val="16"/>
          <w:szCs w:val="16"/>
          <w:color w:val="auto"/>
        </w:rPr>
        <w:t>The legal framework requires that certain procedures must be adopted before collecting, processing and/or transferring personal data, including obtaining consent from the data subject and/or notifying or requesting authorization from the GPDP prior to processing personal data.</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Labor Quotas Regulations</w:t>
      </w:r>
    </w:p>
    <w:p>
      <w:pPr>
        <w:spacing w:after="0" w:line="121"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All businesses in Macau must apply to the Labor Affairs Bureau for labor quotas to import non-resident unskilled workers from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China and the other to import non-skilled workers from all other countries. Gaming operators (the Gaming Operator included) are not currently allowed to hire non-Macau resident dealers and supervisors under the Macau government’s policy.</w:t>
      </w:r>
    </w:p>
    <w:p>
      <w:pPr>
        <w:spacing w:after="0" w:line="178"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Pursuant to Macau social security laws, Macau employers must register their staff under a mandatory social security fund and make social security contributions for each of its resident staff and pay a special duty for each of its non-resident employees on a quarterly basis. Employers must also buy insurance to cover employment accidents and occupational illnesses for all staff.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Land Regulations</w:t>
      </w:r>
    </w:p>
    <w:p>
      <w:pPr>
        <w:spacing w:after="0" w:line="121"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Land in Macau is legally divided into plots. In most cases, private interests in real property located in Macau are obtained through long-term leases from the Macau government.</w:t>
      </w:r>
    </w:p>
    <w:p>
      <w:pPr>
        <w:spacing w:after="0" w:line="170" w:lineRule="exact"/>
        <w:rPr>
          <w:sz w:val="20"/>
          <w:szCs w:val="20"/>
          <w:color w:val="auto"/>
        </w:rPr>
      </w:pPr>
    </w:p>
    <w:p>
      <w:pPr>
        <w:ind w:left="200" w:right="20" w:firstLine="881"/>
        <w:spacing w:after="0" w:line="279" w:lineRule="auto"/>
        <w:rPr>
          <w:sz w:val="20"/>
          <w:szCs w:val="20"/>
          <w:color w:val="auto"/>
        </w:rPr>
      </w:pPr>
      <w:r>
        <w:rPr>
          <w:rFonts w:ascii="Arial" w:cs="Arial" w:eastAsia="Arial" w:hAnsi="Arial"/>
          <w:sz w:val="17"/>
          <w:szCs w:val="17"/>
          <w:color w:val="auto"/>
        </w:rPr>
        <w:t>We have entered into a land concession contract for the land on which Studio City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71" w:lineRule="exact"/>
        <w:rPr>
          <w:sz w:val="20"/>
          <w:szCs w:val="20"/>
          <w:color w:val="auto"/>
        </w:rPr>
      </w:pPr>
    </w:p>
    <w:p>
      <w:pPr>
        <w:ind w:left="200" w:right="120" w:firstLine="881"/>
        <w:spacing w:after="0" w:line="308" w:lineRule="auto"/>
        <w:rPr>
          <w:sz w:val="20"/>
          <w:szCs w:val="20"/>
          <w:color w:val="auto"/>
        </w:rPr>
      </w:pPr>
      <w:r>
        <w:rPr>
          <w:rFonts w:ascii="Arial" w:cs="Arial" w:eastAsia="Arial" w:hAnsi="Arial"/>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of Profits Regulations</w:t>
      </w:r>
    </w:p>
    <w:p>
      <w:pPr>
        <w:spacing w:after="0" w:line="121"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All our subsidiaries incorporated in Macau are required to set aside a minimum of 25% of the entity’s profit after taxation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shareholders of the relevant subsidiaries.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FCPA</w:t>
      </w:r>
    </w:p>
    <w:p>
      <w:pPr>
        <w:spacing w:after="0" w:line="121" w:lineRule="exact"/>
        <w:rPr>
          <w:sz w:val="20"/>
          <w:szCs w:val="20"/>
          <w:color w:val="auto"/>
        </w:rPr>
      </w:pPr>
    </w:p>
    <w:p>
      <w:pPr>
        <w:ind w:left="200" w:right="380" w:firstLine="881"/>
        <w:spacing w:after="0" w:line="342" w:lineRule="auto"/>
        <w:rPr>
          <w:sz w:val="20"/>
          <w:szCs w:val="20"/>
          <w:color w:val="auto"/>
        </w:rPr>
      </w:pPr>
      <w:r>
        <w:rPr>
          <w:rFonts w:ascii="Arial" w:cs="Arial" w:eastAsia="Arial" w:hAnsi="Arial"/>
          <w:sz w:val="16"/>
          <w:szCs w:val="16"/>
          <w:color w:val="auto"/>
        </w:rPr>
        <w:t>The FCPA prohibits us and our staff and agents from offering or giving money or any other item of value to win or retain business or to influence any act or decision of any foreign official. The Code includes specific FCPA related provisions. See “— Our Internal Control Policies.”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Gaming Operator’s Subconcession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Concession Regime</w:t>
      </w:r>
    </w:p>
    <w:p>
      <w:pPr>
        <w:spacing w:after="0" w:line="117"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The Macau government conducted an international tender process for gaming concessions in Macau in 2001, and granted three gaming concessions to SJM, Galaxy and Wynn Resorts Macau, respectively. Upon authorization by the Macau government, each of SJM, Galaxy and Wynn Resorts Macau subsequently entered into subconcessions with their respective subconcessionaires to operate casino games and other games of chance in Macau. No further granting of subconcessions is permitted unless specifically authorized by the Macau government.</w:t>
      </w:r>
    </w:p>
    <w:p>
      <w:pPr>
        <w:spacing w:after="0" w:line="17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Though there are no restrictions on the number of casinos or gaming areas that may be operated under each concession or subconcession, Macau government approval is required for the commencement of operations of any casino or gaming area.</w:t>
      </w:r>
    </w:p>
    <w:p>
      <w:pPr>
        <w:spacing w:after="0" w:line="170" w:lineRule="exact"/>
        <w:rPr>
          <w:sz w:val="20"/>
          <w:szCs w:val="20"/>
          <w:color w:val="auto"/>
        </w:rPr>
      </w:pPr>
    </w:p>
    <w:p>
      <w:pPr>
        <w:jc w:val="both"/>
        <w:ind w:left="200" w:right="200" w:firstLine="881"/>
        <w:spacing w:after="0" w:line="312" w:lineRule="auto"/>
        <w:rPr>
          <w:sz w:val="20"/>
          <w:szCs w:val="20"/>
          <w:color w:val="auto"/>
        </w:rPr>
      </w:pPr>
      <w:r>
        <w:rPr>
          <w:rFonts w:ascii="Arial" w:cs="Arial" w:eastAsia="Arial" w:hAnsi="Arial"/>
          <w:sz w:val="16"/>
          <w:szCs w:val="16"/>
          <w:color w:val="auto"/>
        </w:rPr>
        <w:t>The subconcessionaires that entered into subconcessions with SJM, Galaxy and Wynn Resorts Macau, are MGM Grand, Venetian Macau and the Gaming Operator, respectively. The Gaming Operator executed the Subconcession Contract with Wynn Resorts Macau on September 8, 2006. Wynn Resorts Macau will continue to develop and run hotel operations and casino projects independent of the Gaming Operator.</w:t>
      </w:r>
    </w:p>
    <w:p>
      <w:pPr>
        <w:spacing w:after="0" w:line="14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6"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MOP30 million (equivalent to approximately US$3.7 million) per annum fixed premium;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MOP300,000 (equivalent to approximately US$37,191) per annum per VIP gaming 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MOP150,000 (equivalent to approximately US$18,595) per annum per mass market gaming table;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MOP1,000 (equivalent to approximately US$124) per annum per electric or mechanical gaming.</w:t>
      </w:r>
    </w:p>
    <w:p>
      <w:pPr>
        <w:spacing w:after="0" w:line="225"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The Macau government has been considering the extension or renewal of the concessions and subconcessions or the granting of new concessions and subconcessions. As part of such efforts, in May 2016, the Macau government conducted a mid-term review to analyze the impact of the gaming industry on the local economy, business environment of small and medium enterprises, local population and gaming and non-gaming business sectors and the current status of the gaming promoters.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Subconcession Contract</w:t>
      </w:r>
    </w:p>
    <w:p>
      <w:pPr>
        <w:spacing w:after="0" w:line="117" w:lineRule="exact"/>
        <w:rPr>
          <w:sz w:val="20"/>
          <w:szCs w:val="20"/>
          <w:color w:val="auto"/>
        </w:rPr>
      </w:pPr>
    </w:p>
    <w:p>
      <w:pPr>
        <w:ind w:left="200" w:right="180" w:firstLine="881"/>
        <w:spacing w:after="0" w:line="308" w:lineRule="auto"/>
        <w:rPr>
          <w:sz w:val="20"/>
          <w:szCs w:val="20"/>
          <w:color w:val="auto"/>
        </w:rPr>
      </w:pPr>
      <w:r>
        <w:rPr>
          <w:rFonts w:ascii="Arial" w:cs="Arial" w:eastAsia="Arial" w:hAnsi="Arial"/>
          <w:sz w:val="17"/>
          <w:szCs w:val="17"/>
          <w:color w:val="auto"/>
        </w:rPr>
        <w:t>The Subconcession Contract provides for the terms and conditions of the subconcession granted to the Gaming Operator by Wynn Resorts Macau. The Gaming Operator does not have the right to further grant a subconcession or transfer the operation to third parties.</w:t>
      </w:r>
    </w:p>
    <w:p>
      <w:pPr>
        <w:spacing w:after="0" w:line="147" w:lineRule="exact"/>
        <w:rPr>
          <w:sz w:val="20"/>
          <w:szCs w:val="20"/>
          <w:color w:val="auto"/>
        </w:rPr>
      </w:pPr>
    </w:p>
    <w:p>
      <w:pPr>
        <w:ind w:left="200" w:right="80" w:firstLine="881"/>
        <w:spacing w:after="0" w:line="286" w:lineRule="auto"/>
        <w:rPr>
          <w:sz w:val="20"/>
          <w:szCs w:val="20"/>
          <w:color w:val="auto"/>
        </w:rPr>
      </w:pPr>
      <w:r>
        <w:rPr>
          <w:rFonts w:ascii="Arial" w:cs="Arial" w:eastAsia="Arial" w:hAnsi="Arial"/>
          <w:sz w:val="17"/>
          <w:szCs w:val="17"/>
          <w:color w:val="auto"/>
        </w:rPr>
        <w:t>The Gaming Operator paid a consideration of US$900 million to Wynn Resorts Macau. On September 8, 2006, the Gaming Operator was granted the right to operate games of fortune and chance or other games in casinos in Macau until the expiration of the subconcession on June 26, 2022. No further payments need to be made to Wynn Resorts Macau in future operations during the subconcession period.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1"/>
        <w:spacing w:after="0" w:line="287" w:lineRule="auto"/>
        <w:rPr>
          <w:sz w:val="20"/>
          <w:szCs w:val="20"/>
          <w:color w:val="auto"/>
        </w:rPr>
      </w:pPr>
      <w:r>
        <w:rPr>
          <w:rFonts w:ascii="Arial" w:cs="Arial" w:eastAsia="Arial" w:hAnsi="Arial"/>
          <w:sz w:val="16"/>
          <w:szCs w:val="16"/>
          <w:color w:val="auto"/>
        </w:rPr>
        <w:t>The Macau government has confirmed that the subconcession is independent of Wynn Resorts Macau’s concession and that the Gaming Operator does not have any obligations to Wynn Resorts Macau pursuant to the Subconcession Contract. It is thus not affected by any modification, suspension, redemption, termination or rescission of Wynn Resorts Macau’s concession. In addition, an early termination of Wynn Resorts Macau’s concession before June 26, 2022, would not result in the termination of the subconcession. The subconcession was authorized and approved by the Macau government. Absent any change to the Gaming Operator’s legal status, rights, duties and obligations towards the Macau government or any change in applicable law, the Gaming Operator will continue to be validly entitled to operate independently under and pursuant to the subconcession, notwithstanding the termination or rescission of Wynn Resorts Macau’s concession, the insolvency of Wynn Resorts Macau and/or the replacement of Wynn Resorts Macau as concessionaire in the Subconcession Contract. The Macau government has a contractual obligation to the effect that, should Wynn Resorts Macau cease to hold the concession prior to June 26, 2022, the Macau government would replace Wynn Resorts Macau with another entity so as to ensure that the Gaming Operator may continue to operate games of chance and other games in casinos in Macau and the subconcession would at all times be under a concession. Both the Macau government and Wynn Resorts Macau have undertaken to cooperate with the Gaming Operator to ensure all the legal and contractual obligations are met.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the Key Terms of the Subconcession Contract</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Development of Gaming Projects/Financial Obligations</w:t>
      </w:r>
    </w:p>
    <w:p>
      <w:pPr>
        <w:spacing w:after="0" w:line="117" w:lineRule="exact"/>
        <w:rPr>
          <w:sz w:val="20"/>
          <w:szCs w:val="20"/>
          <w:color w:val="auto"/>
        </w:rPr>
      </w:pPr>
    </w:p>
    <w:p>
      <w:pPr>
        <w:ind w:left="200" w:right="360" w:firstLine="881"/>
        <w:spacing w:after="0" w:line="259" w:lineRule="auto"/>
        <w:rPr>
          <w:sz w:val="20"/>
          <w:szCs w:val="20"/>
          <w:color w:val="auto"/>
        </w:rPr>
      </w:pPr>
      <w:r>
        <w:rPr>
          <w:rFonts w:ascii="Arial" w:cs="Arial" w:eastAsia="Arial" w:hAnsi="Arial"/>
          <w:sz w:val="18"/>
          <w:szCs w:val="18"/>
          <w:color w:val="auto"/>
        </w:rPr>
        <w:t>The Subconcession Contract requires the Gaming Operator to make a minimum investment in Macau of MOP4.0 billion (US$495.9 million), including investment in fully developing Altira Macau and the City of Dreams, by December 2010. In June 2010, the Gaming Operator obtained confirmation from the Macau government that as of the date of the confirmation, the Gaming Operator had invested over MOP4.0 billion (US$495.9 million) in these projects in Macau.</w:t>
      </w:r>
    </w:p>
    <w:p>
      <w:pPr>
        <w:spacing w:after="0" w:line="29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Payments</w:t>
      </w:r>
    </w:p>
    <w:p>
      <w:pPr>
        <w:spacing w:after="0" w:line="117"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Subconcession premiums and taxes, computed in various ways depending upon the type of gaming or activity involved, are 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the Gaming Operator is also obligated to contribute to Macau an amount equivalent to 2.4% of the gross revenues of the gaming business for urban development, tourism promotion and the social security of Macau. The Gaming Operator is required to collect and pay, through withholding, statutory taxes on commissions or other remunerations paid to gaming promoters.</w:t>
      </w:r>
    </w:p>
    <w:p>
      <w:pPr>
        <w:spacing w:after="0" w:line="27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Termination Rights</w:t>
      </w:r>
    </w:p>
    <w:p>
      <w:pPr>
        <w:spacing w:after="0" w:line="117"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The Macau government has the right, after notifying Wynn Resorts Macau, to unilaterally terminate the Gaming Operator’s subconcession in the event of noncompliance by the Gaming Operator with its basic obligations under the subconcession and applicable Macau laws. Upon termination, all of the Gaming Operator’s casino premises and gaming equipment would revert to the Macau government automatically without compensation and the Gaming Operator would cease to generate any revenues from these operations. In many of</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240" w:top="459"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these instances, the Subconcession Contract does not provide a specific cure period within which any such events may be cured and, instead, the Gaming Operator may be dependent on consultations and negotiations with the Macau government to enable it to remedy any such default. Neither the Gaming Operator nor Wynn Resorts Macau is granted explicit rights of veto, or of prior consultation. The Macau government may be able to unilaterally rescind the Subconcession Contract upon the following termination events:</w:t>
      </w:r>
    </w:p>
    <w:p>
      <w:pPr>
        <w:spacing w:after="0" w:line="92"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operation of gaming without permission or operation of business which does not fall within the business scope of the subconcession;</w:t>
      </w:r>
    </w:p>
    <w:p>
      <w:pPr>
        <w:spacing w:after="0" w:line="153" w:lineRule="exact"/>
        <w:rPr>
          <w:rFonts w:ascii="Arial" w:cs="Arial" w:eastAsia="Arial" w:hAnsi="Arial"/>
          <w:sz w:val="16"/>
          <w:szCs w:val="16"/>
          <w:color w:val="auto"/>
        </w:rPr>
      </w:pPr>
    </w:p>
    <w:p>
      <w:pPr>
        <w:ind w:left="1060" w:right="1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fourteen non-consecutive days within one calendar year;</w:t>
      </w:r>
    </w:p>
    <w:p>
      <w:pPr>
        <w:spacing w:after="0" w:line="75" w:lineRule="exact"/>
        <w:rPr>
          <w:rFonts w:ascii="Arial" w:cs="Arial" w:eastAsia="Arial" w:hAnsi="Arial"/>
          <w:sz w:val="18"/>
          <w:szCs w:val="18"/>
          <w:color w:val="auto"/>
        </w:rPr>
      </w:pPr>
    </w:p>
    <w:p>
      <w:pPr>
        <w:jc w:val="both"/>
        <w:ind w:left="1060" w:right="720" w:hanging="424"/>
        <w:spacing w:after="0" w:line="342"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transfer of all or part of the Gaming Operator’s operation in Macau in violation of the relevant laws and administrative regulations governing the operation of games of fortune or chance and other casino games in Macau and without Macau government approval;</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bankruptcy or insolvency of the Gaming Operator;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fraudulent activity harming public interest;</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the Gaming Operator or the grant of a subconcession or entering into any agreement to the same effect; or</w:t>
      </w:r>
    </w:p>
    <w:p>
      <w:pPr>
        <w:spacing w:after="0" w:line="75" w:lineRule="exact"/>
        <w:rPr>
          <w:rFonts w:ascii="Arial" w:cs="Arial" w:eastAsia="Arial" w:hAnsi="Arial"/>
          <w:sz w:val="18"/>
          <w:szCs w:val="18"/>
          <w:color w:val="auto"/>
        </w:rPr>
      </w:pPr>
    </w:p>
    <w:p>
      <w:pPr>
        <w:ind w:left="1060" w:right="80" w:hanging="424"/>
        <w:spacing w:after="0" w:line="259"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a controlling shareholder in the Gaming Operator to dispose of its interest in the Gaming Operator, within ninety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the Gaming Operator.</w:t>
      </w:r>
    </w:p>
    <w:p>
      <w:pPr>
        <w:spacing w:after="0" w:line="294"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Ownership and Capitalization</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Set out below are the key terms in relation to ownership and capitalization under the Subconcession Contract: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person who directly acquires voting rights in the Gaming Operator will be subject to authorization from the Macau government;</w:t>
      </w:r>
    </w:p>
    <w:p>
      <w:pPr>
        <w:spacing w:after="0" w:line="142" w:lineRule="exact"/>
        <w:rPr>
          <w:rFonts w:ascii="Arial" w:cs="Arial" w:eastAsia="Arial" w:hAnsi="Arial"/>
          <w:sz w:val="17"/>
          <w:szCs w:val="17"/>
          <w:color w:val="auto"/>
        </w:rPr>
      </w:pPr>
    </w:p>
    <w:p>
      <w:pPr>
        <w:ind w:left="1060" w:right="16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Gaming Operator will be required to take the necessary measures to ensure that any person who directly or indirectly acquires 5% or more of the shares in the Gaming Operator would be subject to authorization from the Macau government, except when such acquisition is wholly made through the shares of publicly-listed companies tradable at a stock exchange;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424"/>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who directly or indirectly acquires 5% or more of the shares in the Gaming Operator will be required to report the acquisition to the Macau government (except when such acquisition is wholly made through shares tradable on a stock exchange as a publicly-listed company);</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the Gaming Operator; and</w:t>
      </w:r>
    </w:p>
    <w:p>
      <w:pPr>
        <w:spacing w:after="0" w:line="130" w:lineRule="exact"/>
        <w:rPr>
          <w:rFonts w:ascii="Arial" w:cs="Arial" w:eastAsia="Arial" w:hAnsi="Arial"/>
          <w:sz w:val="18"/>
          <w:szCs w:val="18"/>
          <w:color w:val="auto"/>
        </w:rPr>
      </w:pPr>
    </w:p>
    <w:p>
      <w:pPr>
        <w:ind w:left="1080" w:right="1640" w:hanging="444"/>
        <w:spacing w:after="0" w:line="501" w:lineRule="auto"/>
        <w:tabs>
          <w:tab w:leader="none" w:pos="10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Chief Executive of Macau could require the increase of the Gaming Operator’s share capital, if deemed necessary. </w:t>
      </w:r>
      <w:r>
        <w:rPr>
          <w:rFonts w:ascii="Arial" w:cs="Arial" w:eastAsia="Arial" w:hAnsi="Arial"/>
          <w:sz w:val="18"/>
          <w:szCs w:val="18"/>
          <w:i w:val="1"/>
          <w:iCs w:val="1"/>
          <w:color w:val="auto"/>
        </w:rPr>
        <w:t>Redemption</w:t>
      </w:r>
    </w:p>
    <w:p>
      <w:pPr>
        <w:ind w:left="200" w:right="60" w:firstLine="881"/>
        <w:spacing w:after="0" w:line="255" w:lineRule="auto"/>
        <w:rPr>
          <w:sz w:val="20"/>
          <w:szCs w:val="20"/>
          <w:color w:val="auto"/>
        </w:rPr>
      </w:pPr>
      <w:r>
        <w:rPr>
          <w:rFonts w:ascii="Arial" w:cs="Arial" w:eastAsia="Arial" w:hAnsi="Arial"/>
          <w:sz w:val="18"/>
          <w:szCs w:val="18"/>
          <w:color w:val="auto"/>
        </w:rPr>
        <w:t>Under the Subconcession Contract, from 2017, the Macau government has the right to redeem the Subconcession Contract by providing the Gaming Operator with at least one year’s prior notice. In the event the Macau government exercises this redemption right, the Gaming Operator would be entitled to compensation. The standards for the calculation of the amount of such compensation would be determined based on the gross revenues generated by City of Dreams during the tax year immediately prior to the redemption, multiplied by the remaining years of the term of the subconcession. The Gaming Operator or we would not receive any further compensation (including for consideration paid by the Gaming Operator to Wynn Resorts Macau for the subconcession).</w:t>
      </w:r>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In addition, the Subconcession Contract contains various general covenants and obligations and other provisions, including special duties of cooperation, special duties of information, and execution of our investment obligations.</w:t>
      </w:r>
    </w:p>
    <w:p>
      <w:pPr>
        <w:spacing w:after="0" w:line="170" w:lineRule="exact"/>
        <w:rPr>
          <w:sz w:val="20"/>
          <w:szCs w:val="20"/>
          <w:color w:val="auto"/>
        </w:rPr>
      </w:pPr>
    </w:p>
    <w:p>
      <w:pPr>
        <w:ind w:left="200" w:right="180" w:firstLine="881"/>
        <w:spacing w:after="0" w:line="286" w:lineRule="auto"/>
        <w:rPr>
          <w:sz w:val="20"/>
          <w:szCs w:val="20"/>
          <w:color w:val="auto"/>
        </w:rPr>
      </w:pPr>
      <w:r>
        <w:rPr>
          <w:rFonts w:ascii="Arial" w:cs="Arial" w:eastAsia="Arial" w:hAnsi="Arial"/>
          <w:sz w:val="17"/>
          <w:szCs w:val="17"/>
          <w:color w:val="auto"/>
        </w:rPr>
        <w:t>See “Item 3. Key Information — D. Risk Factors — Risks Relating to the Gaming Industry in Macau — The Subconcession Contract expires in 2022 and if the Gaming Operator is unable to secure an extension of its subconcession, or a new concession or subconcession, in 2022, or if the Macau government were to exercise its redemption right, the Gaming Operator would be unable to operate Studio City Casino.”</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Services and Right to Use Arrangements Regulatory Requirements</w:t>
      </w:r>
    </w:p>
    <w:p>
      <w:pPr>
        <w:spacing w:after="0" w:line="121"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The entry into the Services and Right to Use Arrangements by the Gaming Operator and our subsidiary, Studio City Entertainment, pursuant to which the Studio City Casino is operated, was approved by the Macau government in April 2007, and the supplement and amendments thereto were approved by the Macau government in May 2012. Set out below are the key terms of such approvals which remain in force:</w:t>
      </w:r>
    </w:p>
    <w:p>
      <w:pPr>
        <w:spacing w:after="0" w:line="52" w:lineRule="exact"/>
        <w:rPr>
          <w:sz w:val="20"/>
          <w:szCs w:val="20"/>
          <w:color w:val="auto"/>
        </w:rPr>
      </w:pPr>
    </w:p>
    <w:p>
      <w:pPr>
        <w:ind w:left="1060" w:right="180" w:hanging="424"/>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Studio City Entertainment shall cooperate with the Macau government, making available any documents, information or data requested directly by the Macau government or through the Gaming Operator for the purposes of monitoring its activity, analysis of its accounts and performance of external audits;</w:t>
      </w:r>
    </w:p>
    <w:p>
      <w:pPr>
        <w:spacing w:after="0" w:line="86"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Studio City Entertainment shall have an annual audit conducted by an external entity, independent and previously accepted by the DICJ, for certification of accounting documents and compliance with relevant legal provisions;</w:t>
      </w:r>
    </w:p>
    <w:p>
      <w:pPr>
        <w:spacing w:after="0" w:line="75" w:lineRule="exact"/>
        <w:rPr>
          <w:rFonts w:ascii="Arial" w:cs="Arial" w:eastAsia="Arial" w:hAnsi="Arial"/>
          <w:sz w:val="18"/>
          <w:szCs w:val="18"/>
          <w:color w:val="auto"/>
        </w:rPr>
      </w:pPr>
    </w:p>
    <w:p>
      <w:pPr>
        <w:ind w:left="1060" w:right="380" w:hanging="424"/>
        <w:spacing w:after="0" w:line="279"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Studio City Entertainment accepts to be subject to the legal and contractual supervision of the Macau government applicable to gaming concessionaires and subconcessionaires, to ensure its own suitability and financial capacity, the suitability of its direct or indirect shareholders holding 5% or more of its share capital (except with respect to those shareholders holding shares tradeable on a stock exchange), and of its directors and key employees of the Studio City Casino;</w:t>
      </w:r>
    </w:p>
    <w:p>
      <w:pPr>
        <w:spacing w:after="0" w:line="76" w:lineRule="exact"/>
        <w:rPr>
          <w:rFonts w:ascii="Arial" w:cs="Arial" w:eastAsia="Arial" w:hAnsi="Arial"/>
          <w:sz w:val="17"/>
          <w:szCs w:val="17"/>
          <w:color w:val="auto"/>
        </w:rPr>
      </w:pPr>
    </w:p>
    <w:p>
      <w:pPr>
        <w:ind w:left="1060" w:right="48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transfer of any rights under the Services and Right to Use Arrangements shall be subject to the prior authorization from the Macau government;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0" w:hanging="424"/>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Gaming Operator and Studio City Entertainment are jointly and severally responsible for compliance with applicable laws, regulations and instructions issued by the Macau government, including those regarding anti-money laundering, anti-financing of terrorist acts, anti-corruption, operation of slot machines and minimum internal control requirements.</w:t>
      </w:r>
    </w:p>
    <w:p>
      <w:pPr>
        <w:spacing w:after="0" w:line="181"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In addition, as set out in the Macau government authorization letter for the listing of the Company dated March 5, 2018, the listing is subject to the following conditions:</w:t>
      </w:r>
    </w:p>
    <w:p>
      <w:pPr>
        <w:spacing w:after="0" w:line="76"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Mr. Lawrence Ho, directly or indirectly, continues to hold the majority of the equity interest in Melco International to control such entity.</w:t>
      </w:r>
    </w:p>
    <w:p>
      <w:pPr>
        <w:spacing w:after="0" w:line="237" w:lineRule="exact"/>
        <w:rPr>
          <w:sz w:val="20"/>
          <w:szCs w:val="20"/>
          <w:color w:val="auto"/>
        </w:rPr>
      </w:pPr>
    </w:p>
    <w:p>
      <w:pPr>
        <w:ind w:left="200" w:right="320" w:firstLine="881"/>
        <w:spacing w:after="0" w:line="312" w:lineRule="auto"/>
        <w:rPr>
          <w:sz w:val="20"/>
          <w:szCs w:val="20"/>
          <w:color w:val="auto"/>
        </w:rPr>
      </w:pPr>
      <w:r>
        <w:rPr>
          <w:rFonts w:ascii="Arial" w:cs="Arial" w:eastAsia="Arial" w:hAnsi="Arial"/>
          <w:sz w:val="16"/>
          <w:szCs w:val="16"/>
          <w:color w:val="auto"/>
        </w:rPr>
        <w:t>Under such authorization, the Gaming Operator is required to annually provide the Macau government with evidence with respect to the compliance with the above conditions. In addition, under such authorization, we and the Gaming Operator are also required to comply with the conditions imposed by the Macau government in connection with its approval of our entry into the Services and Right to Use Arrangements.</w:t>
      </w:r>
    </w:p>
    <w:p>
      <w:pPr>
        <w:spacing w:after="0" w:line="147"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The Macau government also has the right to revoke such listing authorization if it deems that the listing is contrary to the public interest or in case of any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preventing us from receiving any amounts thereunder, in a closure order being issued with respect to the Studio City Casino or the suspension or termination of the Gaming Operator’s subconcession and consequently we may be unable to offer any gaming facilities at Studio City.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We are incorporated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200" w:right="100" w:firstLine="881"/>
        <w:spacing w:after="0" w:line="312" w:lineRule="auto"/>
        <w:rPr>
          <w:sz w:val="20"/>
          <w:szCs w:val="20"/>
          <w:color w:val="auto"/>
        </w:rPr>
      </w:pPr>
      <w:r>
        <w:rPr>
          <w:rFonts w:ascii="Arial" w:cs="Arial" w:eastAsia="Arial" w:hAnsi="Arial"/>
          <w:sz w:val="16"/>
          <w:szCs w:val="16"/>
          <w:color w:val="auto"/>
        </w:rPr>
        <w:t>Our subsidiaries incorporated in Hong Kong are subject to Hong Kong profits tax on their taxable income earned in or derived from Hong Kong at a uniform tax rate of 16.5%. No provision for Hong Kong profits tax has been made for the years ended December 31, 2018, 2017 and 2016 as there was no taxable income during such periods. Payments of dividends by our subsidiaries to us are not subject to withholding tax in Hong Kong.</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Macau</w:t>
      </w:r>
    </w:p>
    <w:p>
      <w:pPr>
        <w:spacing w:after="0" w:line="117" w:lineRule="exact"/>
        <w:rPr>
          <w:sz w:val="20"/>
          <w:szCs w:val="20"/>
          <w:color w:val="auto"/>
        </w:rPr>
      </w:pPr>
    </w:p>
    <w:p>
      <w:pPr>
        <w:ind w:left="200" w:right="120" w:firstLine="881"/>
        <w:spacing w:after="0" w:line="297" w:lineRule="auto"/>
        <w:rPr>
          <w:sz w:val="20"/>
          <w:szCs w:val="20"/>
          <w:color w:val="auto"/>
        </w:rPr>
      </w:pPr>
      <w:r>
        <w:rPr>
          <w:rFonts w:ascii="Arial" w:cs="Arial" w:eastAsia="Arial" w:hAnsi="Arial"/>
          <w:sz w:val="16"/>
          <w:szCs w:val="16"/>
          <w:color w:val="auto"/>
        </w:rPr>
        <w:t>Our subsidiaries incorporated in Macau are subject to Macau complementary tax of 12% on taxable income, as defined in the relevant tax laws. Concessionaires and subconcessionaires are currently subject to a 35% special gaming tax as well as other levies of 4% under the relevant concession or subconcession and may benefit from a corporate tax holiday on profit from their gaming revenues. The Gaming Operator benefits from a corporate tax holiday on gaming generated income which expires at the end of 2021. No provision for Macau complementary tax on profits has been made for the years ended December 31, 2018, 2017 and 2016 as there was no taxable income during such periods.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97" w:lineRule="auto"/>
        <w:rPr>
          <w:sz w:val="20"/>
          <w:szCs w:val="20"/>
          <w:color w:val="auto"/>
        </w:rPr>
      </w:pPr>
      <w:r>
        <w:rPr>
          <w:rFonts w:ascii="Arial" w:cs="Arial" w:eastAsia="Arial" w:hAnsi="Arial"/>
          <w:sz w:val="16"/>
          <w:szCs w:val="16"/>
          <w:color w:val="auto"/>
        </w:rPr>
        <w:t>In addition, in January 2015, the Macau government approved the application by our subsidiary, Studio City Entertainment, for a Macau complementary tax exemption through December 2016 on profits generated from income received from the Gaming Operator, to the extent that such income results from gaming operations within Studio City Casino and has been subject to gaming tax. In January 2017, the Macau government granted an extension of this exemption for an additional five years from 2017 to 2021. Dividend distributions by Studio City Entertainment continue to be subject to Macau complementary tax. We remain subject to Macau complementary tax on our non-gaming related profits.</w:t>
      </w:r>
    </w:p>
    <w:p>
      <w:pPr>
        <w:spacing w:after="0" w:line="158"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Although the Studio City property is owned by Studio City Developments, we believe Studio City Hotels is entitled to such property tax holiday; however, there is no assurance that the Macau government will extend such benefit to Studio City Hotels.</w:t>
      </w: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a holding company for Studio City.</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240" w:top="459"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the place of formation, ownership interest and affiliation of our significant subsidiaries, as of March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5694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05730" cy="569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right="320" w:hanging="436"/>
        <w:spacing w:after="0" w:line="27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747,288 Class A ordinary shares held by Melco International. See “Item 7. Major Shareholders and Related Party Transactions — A. Major Shareholders.”</w:t>
      </w:r>
    </w:p>
    <w:p>
      <w:pPr>
        <w:spacing w:after="0" w:line="76" w:lineRule="exact"/>
        <w:rPr>
          <w:sz w:val="20"/>
          <w:szCs w:val="20"/>
          <w:color w:val="auto"/>
        </w:rPr>
      </w:pPr>
    </w:p>
    <w:p>
      <w:pPr>
        <w:ind w:left="640" w:hanging="436"/>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Cotai has a Participation Interest in MSC Cotai which represents its economic right to receive an amount equal to approximately 30.0% of the dividends, distributions or other consideration paid to the Company by MSC Cotai, if any, from time to time. New Cotai may exchange all or a portion of its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Participation Interest for Class A ordinary shares, subject to certain conditions. See “Item 7. Major Shareholders and Related Party Transactions</w:t>
      </w:r>
    </w:p>
    <w:p>
      <w:pPr>
        <w:spacing w:after="0" w:line="46" w:lineRule="exact"/>
        <w:rPr>
          <w:sz w:val="20"/>
          <w:szCs w:val="20"/>
          <w:color w:val="auto"/>
        </w:rPr>
      </w:pPr>
    </w:p>
    <w:p>
      <w:pPr>
        <w:ind w:left="640" w:right="40"/>
        <w:spacing w:after="0" w:line="254" w:lineRule="auto"/>
        <w:rPr>
          <w:sz w:val="20"/>
          <w:szCs w:val="20"/>
          <w:color w:val="auto"/>
        </w:rPr>
      </w:pPr>
      <w:r>
        <w:rPr>
          <w:rFonts w:ascii="Arial" w:cs="Arial" w:eastAsia="Arial" w:hAnsi="Arial"/>
          <w:sz w:val="18"/>
          <w:szCs w:val="18"/>
          <w:color w:val="auto"/>
        </w:rPr>
        <w:t>—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 The issuance of such Class A ordinary shares to New Cotai would represent approximately a 23.1% voting interest in the Company.</w:t>
      </w:r>
    </w:p>
    <w:p>
      <w:pPr>
        <w:spacing w:after="0" w:line="95" w:lineRule="exact"/>
        <w:rPr>
          <w:sz w:val="20"/>
          <w:szCs w:val="20"/>
          <w:color w:val="auto"/>
        </w:rPr>
      </w:pPr>
    </w:p>
    <w:p>
      <w:pPr>
        <w:jc w:val="both"/>
        <w:ind w:left="640" w:right="260" w:hanging="436"/>
        <w:spacing w:after="0" w:line="26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information contained in the Schedule 13G filed by Silver Point Capital L.P., Edward A. Mulé and Robert J. O’Shea with the SEC on February 14, 2019. As of December 31, 2018, certain affiliates of New Cotai beneficially own ADSs representing 41,622,800 Class A ordinary shares.</w:t>
      </w:r>
    </w:p>
    <w:p>
      <w:pPr>
        <w:spacing w:after="0" w:line="86" w:lineRule="exact"/>
        <w:rPr>
          <w:rFonts w:ascii="Arial" w:cs="Arial" w:eastAsia="Arial" w:hAnsi="Arial"/>
          <w:sz w:val="18"/>
          <w:szCs w:val="18"/>
          <w:color w:val="auto"/>
        </w:rPr>
      </w:pPr>
    </w:p>
    <w:p>
      <w:pPr>
        <w:jc w:val="both"/>
        <w:ind w:left="640" w:hanging="436"/>
        <w:spacing w:after="0" w:line="26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w:t>
      </w:r>
    </w:p>
    <w:p>
      <w:pPr>
        <w:spacing w:after="0" w:line="86"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 of the equity interests are owned by Studio City Company Limited.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3.96% and 1% of the equity interests are owned by Studio City Holdings Four Limited and Studio City Holdings Five Limited, respectively.</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3.85% and 3.85% of the equity interests are owned by Studio City Holdings Five Limited and Studio City Holdings Three Limited, respectively.</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 of the equity interests are owned by Studio City Services Limited.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0.02% of the equity interests are owned by Studio City Holdings Five Limited.</w:t>
      </w:r>
    </w:p>
    <w:p>
      <w:pPr>
        <w:spacing w:after="0" w:line="225"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in our Company and “Exhibit 8.1 — Significant Subsidiaries of the Registrant.”</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 A. Operating Results — Critical Accounting Policies and Estimates — Property and Equipment and Other Long-lived Assets” for information regarding our material tangible property, plant and equipment.</w:t>
      </w:r>
    </w:p>
    <w:p>
      <w:pPr>
        <w:spacing w:after="0" w:line="32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jc w:val="both"/>
        <w:ind w:left="200" w:right="20" w:firstLine="881"/>
        <w:spacing w:after="0" w:line="264"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20" w:firstLine="881"/>
        <w:spacing w:after="0" w:line="312" w:lineRule="auto"/>
        <w:rPr>
          <w:sz w:val="20"/>
          <w:szCs w:val="20"/>
          <w:color w:val="auto"/>
        </w:rPr>
      </w:pPr>
      <w:r>
        <w:rPr>
          <w:rFonts w:ascii="Arial" w:cs="Arial" w:eastAsia="Arial" w:hAnsi="Arial"/>
          <w:sz w:val="16"/>
          <w:szCs w:val="16"/>
          <w:color w:val="auto"/>
        </w:rPr>
        <w:t>We are a holding company and, through our subsidiaries, operate the non-gaming businesses of Studio City. Studio City Casino is operated by the Gaming Operator, one of the subsidiaries of Melco Resorts and a holder of a gaming subconcession. Our future operating results are subject to significant business, economic, regulatory and competitive uncertainties and risks, many of which are beyond our control. See “Item 3. Key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Information — D. Risk Factors — Risks Relating to Our Business.” For detailed information regarding our operations and development projects, see “Item 4. Information on the Company — B. Business Overview.”</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Our principal operating activities are the provision of gaming related services and the hospitality business in Macau. Our chief operating decision maker monitors the operations and evaluate earnings by reviewing the assets and operations of Studio City as one operating segment. Accordingly, we do not present separate segment information. As of December 31, 2018, 2017 and 2016, we operated in one geographical area, Macau, where we generated our revenue and where our long-lived assets were located.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left="200" w:right="200" w:firstLine="881"/>
        <w:spacing w:after="0" w:line="259" w:lineRule="auto"/>
        <w:rPr>
          <w:sz w:val="20"/>
          <w:szCs w:val="20"/>
          <w:color w:val="auto"/>
        </w:rPr>
      </w:pPr>
      <w:r>
        <w:rPr>
          <w:rFonts w:ascii="Arial" w:cs="Arial" w:eastAsia="Arial" w:hAnsi="Arial"/>
          <w:sz w:val="18"/>
          <w:szCs w:val="18"/>
          <w:color w:val="auto"/>
        </w:rPr>
        <w:t>For the year ended December 31, 2018, our total revenues were US$571.2 million, an increase of 5.8% from US$539.8 million of total revenues for the year ended December 31, 2017. Net loss attributable to Studio City International Holdings Limited for the year ended December 31, 2018 was US$21.6 million, as compared to net loss of US$76.4 million for the year ended December 31, 2017. Our improvement was mainly attributable to the increase in revenues from the provision of gaming related services.</w:t>
      </w:r>
    </w:p>
    <w:p>
      <w:pPr>
        <w:spacing w:after="0" w:line="20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8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571,213</w:t>
            </w:r>
          </w:p>
        </w:tc>
        <w:tc>
          <w:tcPr>
            <w:tcW w:w="16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$ 539,814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$ 424,531</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(433,351)</w:t>
            </w:r>
          </w:p>
        </w:tc>
        <w:tc>
          <w:tcPr>
            <w:tcW w:w="1680" w:type="dxa"/>
            <w:vAlign w:val="bottom"/>
          </w:tcPr>
          <w:p>
            <w:pPr>
              <w:jc w:val="right"/>
              <w:ind w:right="338"/>
              <w:spacing w:after="0"/>
              <w:rPr>
                <w:sz w:val="20"/>
                <w:szCs w:val="20"/>
                <w:color w:val="auto"/>
              </w:rPr>
            </w:pPr>
            <w:r>
              <w:rPr>
                <w:rFonts w:ascii="Arial" w:cs="Arial" w:eastAsia="Arial" w:hAnsi="Arial"/>
                <w:sz w:val="18"/>
                <w:szCs w:val="18"/>
                <w:color w:val="auto"/>
              </w:rPr>
              <w:t>(459,364)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(479,297)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137,862</w:t>
            </w:r>
          </w:p>
        </w:tc>
        <w:tc>
          <w:tcPr>
            <w:tcW w:w="16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80,450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(54,766)</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Net loss attributable to Studio City International Holdings Limited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(21,598)</w:t>
            </w:r>
          </w:p>
        </w:tc>
        <w:tc>
          <w:tcPr>
            <w:tcW w:w="1680" w:type="dxa"/>
            <w:vAlign w:val="bottom"/>
          </w:tcPr>
          <w:p>
            <w:pPr>
              <w:jc w:val="right"/>
              <w:ind w:right="338"/>
              <w:spacing w:after="0"/>
              <w:rPr>
                <w:sz w:val="20"/>
                <w:szCs w:val="20"/>
                <w:color w:val="auto"/>
              </w:rPr>
            </w:pPr>
            <w:r>
              <w:rPr>
                <w:rFonts w:ascii="Arial" w:cs="Arial" w:eastAsia="Arial" w:hAnsi="Arial"/>
                <w:sz w:val="18"/>
                <w:szCs w:val="18"/>
                <w:color w:val="auto"/>
              </w:rPr>
              <w:t>$ (76,437)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$(242,789)</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use the following KPIs to evaluate the operations of Studio City Casino, including table games and gaming machines:</w:t>
      </w:r>
    </w:p>
    <w:p>
      <w:pPr>
        <w:spacing w:after="0" w:line="131" w:lineRule="exact"/>
        <w:rPr>
          <w:sz w:val="20"/>
          <w:szCs w:val="20"/>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30" w:lineRule="exact"/>
        <w:rPr>
          <w:rFonts w:ascii="Arial" w:cs="Arial" w:eastAsia="Arial" w:hAnsi="Arial"/>
          <w:sz w:val="18"/>
          <w:szCs w:val="18"/>
          <w:color w:val="auto"/>
        </w:rPr>
      </w:pPr>
    </w:p>
    <w:p>
      <w:pPr>
        <w:jc w:val="both"/>
        <w:ind w:left="1060" w:right="120" w:hanging="424"/>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win rate: </w:t>
      </w:r>
      <w:r>
        <w:rPr>
          <w:rFonts w:ascii="Arial" w:cs="Arial" w:eastAsia="Arial" w:hAnsi="Arial"/>
          <w:sz w:val="18"/>
          <w:szCs w:val="18"/>
          <w:color w:val="auto"/>
        </w:rPr>
        <w:t>rolling chip table games win (calculated before discounts, commissions, non-discretionary incentives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point-loyalty programs) as administered by the Gaming Operator and allocating casino revenues related to goods and services provided to gaming patrons on a complimentary basis) as a percentage of rolling chip volume.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30" w:lineRule="exact"/>
        <w:rPr>
          <w:rFonts w:ascii="Arial" w:cs="Arial" w:eastAsia="Arial" w:hAnsi="Arial"/>
          <w:sz w:val="18"/>
          <w:szCs w:val="18"/>
          <w:color w:val="auto"/>
        </w:rPr>
      </w:pPr>
    </w:p>
    <w:p>
      <w:pPr>
        <w:ind w:left="1060" w:right="120" w:hanging="424"/>
        <w:spacing w:after="0" w:line="312"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Mass market table games hold percentage: </w:t>
      </w:r>
      <w:r>
        <w:rPr>
          <w:rFonts w:ascii="Arial" w:cs="Arial" w:eastAsia="Arial" w:hAnsi="Arial"/>
          <w:sz w:val="16"/>
          <w:szCs w:val="16"/>
          <w:color w:val="auto"/>
        </w:rPr>
        <w:t>mass market table games win (calculated before discounts, commissions, non-discretionary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Table games win: </w:t>
      </w:r>
      <w:r>
        <w:rPr>
          <w:rFonts w:ascii="Arial" w:cs="Arial" w:eastAsia="Arial" w:hAnsi="Arial"/>
          <w:sz w:val="17"/>
          <w:szCs w:val="17"/>
          <w:color w:val="auto"/>
        </w:rPr>
        <w:t>the amount of wagers won net of wagers lost on gaming tables that is retained and recorded as casino revenues.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win rate: </w:t>
      </w:r>
      <w:r>
        <w:rPr>
          <w:rFonts w:ascii="Arial" w:cs="Arial" w:eastAsia="Arial" w:hAnsi="Arial"/>
          <w:sz w:val="18"/>
          <w:szCs w:val="18"/>
          <w:color w:val="auto"/>
        </w:rPr>
        <w:t>gaming machine win (calculated before non-discretionary incentives (including the point-loyalty programs)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by the Gaming Operator and allocating casino</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240" w:top="459"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77" w:lineRule="auto"/>
        <w:rPr>
          <w:sz w:val="20"/>
          <w:szCs w:val="20"/>
          <w:color w:val="auto"/>
        </w:rPr>
      </w:pPr>
      <w:r>
        <w:rPr>
          <w:rFonts w:ascii="Arial" w:cs="Arial" w:eastAsia="Arial" w:hAnsi="Arial"/>
          <w:sz w:val="18"/>
          <w:szCs w:val="18"/>
          <w:color w:val="auto"/>
        </w:rPr>
        <w:t>revenues related to goods and services provided to gaming patrons on a complimentary basis) expressed as a percentage of gaming machine handle.</w:t>
      </w:r>
    </w:p>
    <w:p>
      <w:pPr>
        <w:spacing w:after="0" w:line="170"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Studio City Casino’s expected rolling chip win rate is 2.7% to 3.0%.</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31" w:lineRule="exact"/>
        <w:rPr>
          <w:sz w:val="20"/>
          <w:szCs w:val="20"/>
          <w:color w:val="auto"/>
        </w:rPr>
      </w:pPr>
    </w:p>
    <w:p>
      <w:pPr>
        <w:ind w:left="1060" w:right="12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complimentary rooms (less service charges, if any) by total rooms</w:t>
      </w:r>
      <w:r>
        <w:rPr>
          <w:rFonts w:ascii="Arial" w:cs="Arial" w:eastAsia="Arial" w:hAnsi="Arial"/>
          <w:sz w:val="18"/>
          <w:szCs w:val="18"/>
          <w:i w:val="1"/>
          <w:iCs w:val="1"/>
          <w:color w:val="auto"/>
        </w:rPr>
        <w:t xml:space="preserve"> </w:t>
      </w:r>
      <w:r>
        <w:rPr>
          <w:rFonts w:ascii="Arial" w:cs="Arial" w:eastAsia="Arial" w:hAnsi="Arial"/>
          <w:sz w:val="18"/>
          <w:szCs w:val="18"/>
          <w:color w:val="auto"/>
        </w:rPr>
        <w:t>occupied, including complimentary rooms, i.e., average price of occupied rooms per day.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30" w:lineRule="exact"/>
        <w:rPr>
          <w:rFonts w:ascii="Arial" w:cs="Arial" w:eastAsia="Arial" w:hAnsi="Arial"/>
          <w:sz w:val="18"/>
          <w:szCs w:val="18"/>
          <w:color w:val="auto"/>
        </w:rPr>
      </w:pPr>
    </w:p>
    <w:p>
      <w:pPr>
        <w:ind w:left="1060" w:right="100" w:hanging="424"/>
        <w:spacing w:after="0" w:line="308"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Revenue per available room, or REVPAR: </w:t>
      </w:r>
      <w:r>
        <w:rPr>
          <w:rFonts w:ascii="Arial" w:cs="Arial" w:eastAsia="Arial" w:hAnsi="Arial"/>
          <w:sz w:val="17"/>
          <w:szCs w:val="17"/>
          <w:color w:val="auto"/>
        </w:rPr>
        <w:t>calculated by dividing total room revenues including complimentary rooms (less service charges,</w:t>
      </w:r>
      <w:r>
        <w:rPr>
          <w:rFonts w:ascii="Arial" w:cs="Arial" w:eastAsia="Arial" w:hAnsi="Arial"/>
          <w:sz w:val="17"/>
          <w:szCs w:val="17"/>
          <w:i w:val="1"/>
          <w:iCs w:val="1"/>
          <w:color w:val="auto"/>
        </w:rPr>
        <w:t xml:space="preserve"> </w:t>
      </w:r>
      <w:r>
        <w:rPr>
          <w:rFonts w:ascii="Arial" w:cs="Arial" w:eastAsia="Arial" w:hAnsi="Arial"/>
          <w:sz w:val="17"/>
          <w:szCs w:val="17"/>
          <w:color w:val="auto"/>
        </w:rPr>
        <w:t>if any) by total rooms available, thereby representing a combination of hotel average daily room rates and occupancy.</w:t>
      </w:r>
    </w:p>
    <w:p>
      <w:pPr>
        <w:spacing w:after="0" w:line="147" w:lineRule="exact"/>
        <w:rPr>
          <w:sz w:val="20"/>
          <w:szCs w:val="20"/>
          <w:color w:val="auto"/>
        </w:rPr>
      </w:pPr>
    </w:p>
    <w:p>
      <w:pPr>
        <w:jc w:val="both"/>
        <w:ind w:left="200" w:right="300" w:firstLine="881"/>
        <w:spacing w:after="0" w:line="312" w:lineRule="auto"/>
        <w:rPr>
          <w:sz w:val="20"/>
          <w:szCs w:val="20"/>
          <w:color w:val="auto"/>
        </w:rPr>
      </w:pPr>
      <w:r>
        <w:rPr>
          <w:rFonts w:ascii="Arial" w:cs="Arial" w:eastAsia="Arial" w:hAnsi="Arial"/>
          <w:sz w:val="16"/>
          <w:szCs w:val="16"/>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55" w:lineRule="exact"/>
        <w:rPr>
          <w:sz w:val="20"/>
          <w:szCs w:val="20"/>
          <w:color w:val="auto"/>
        </w:rPr>
      </w:pPr>
    </w:p>
    <w:p>
      <w:pPr>
        <w:ind w:left="200" w:right="532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2018 Compared to Year Ended December 31, 2017 </w:t>
      </w:r>
      <w:r>
        <w:rPr>
          <w:rFonts w:ascii="Arial" w:cs="Arial" w:eastAsia="Arial" w:hAnsi="Arial"/>
          <w:sz w:val="18"/>
          <w:szCs w:val="18"/>
          <w:i w:val="1"/>
          <w:iCs w:val="1"/>
          <w:color w:val="auto"/>
        </w:rPr>
        <w:t>Revenues</w:t>
      </w:r>
    </w:p>
    <w:p>
      <w:pPr>
        <w:spacing w:after="0" w:line="1"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Our total revenues increased by US$31.4 million, or 5.8%, to US$571.2 million in 2018 from US$539.8 million in 2017. The increase in total revenues was primarily due to enhanced performance in the mass market table games and VIP rolling chip operations as a result of the continuous ramp-up of Studio City. There was no material impact on our revenues in 2018 as a result of the adoption of the New Revenue Standard from January 1, 2018.</w:t>
      </w:r>
    </w:p>
    <w:p>
      <w:pPr>
        <w:spacing w:after="0" w:line="92" w:lineRule="exact"/>
        <w:rPr>
          <w:sz w:val="20"/>
          <w:szCs w:val="20"/>
          <w:color w:val="auto"/>
        </w:rPr>
      </w:pPr>
    </w:p>
    <w:p>
      <w:pPr>
        <w:ind w:left="1060" w:right="60" w:hanging="424"/>
        <w:spacing w:after="0" w:line="297"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Provision of gaming related services. </w:t>
      </w:r>
      <w:r>
        <w:rPr>
          <w:rFonts w:ascii="Arial" w:cs="Arial" w:eastAsia="Arial" w:hAnsi="Arial"/>
          <w:sz w:val="16"/>
          <w:szCs w:val="16"/>
          <w:color w:val="auto"/>
        </w:rPr>
        <w:t>Revenues from the provision of gaming related services are derived from the provision of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Studio City Casino by the Gaming Operator and services related thereto pursuant to the Services and Right to Use Arrangements. Revenues from the provision of gaming related services increased by US$44.3 million, or 15.0%, to US$339.9 million in 2018 from US$295.6 million in 2017. This increase was due to enhanced performance in mass market table games and VIP rolling chip operations, which contributed to a significant increase in Studio City Casino’s gross gaming revenues in 2018.</w:t>
      </w:r>
    </w:p>
    <w:p>
      <w:pPr>
        <w:spacing w:after="0" w:line="50" w:lineRule="exact"/>
        <w:rPr>
          <w:rFonts w:ascii="Arial" w:cs="Arial" w:eastAsia="Arial" w:hAnsi="Arial"/>
          <w:sz w:val="16"/>
          <w:szCs w:val="16"/>
          <w:color w:val="auto"/>
        </w:rPr>
      </w:pPr>
    </w:p>
    <w:p>
      <w:pPr>
        <w:jc w:val="both"/>
        <w:ind w:left="1080" w:right="80"/>
        <w:spacing w:after="0" w:line="264" w:lineRule="auto"/>
        <w:rPr>
          <w:rFonts w:ascii="Arial" w:cs="Arial" w:eastAsia="Arial" w:hAnsi="Arial"/>
          <w:sz w:val="16"/>
          <w:szCs w:val="16"/>
          <w:color w:val="auto"/>
        </w:rPr>
      </w:pPr>
      <w:r>
        <w:rPr>
          <w:rFonts w:ascii="Arial" w:cs="Arial" w:eastAsia="Arial" w:hAnsi="Arial"/>
          <w:sz w:val="18"/>
          <w:szCs w:val="18"/>
          <w:color w:val="auto"/>
        </w:rPr>
        <w:t>Studio City Casino generated gross gaming revenues of US$1,583.8 million and US$1,438.1 million in 2018 and 2017, respectively, before the deduction by the Gaming Operator of gaming tax and the costs incurred in connection with its operation of Studio City Casino pursuant to the Services and Right to Use Arrangements.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60"/>
        <w:spacing w:after="0" w:line="312" w:lineRule="auto"/>
        <w:rPr>
          <w:sz w:val="20"/>
          <w:szCs w:val="20"/>
          <w:color w:val="auto"/>
        </w:rPr>
      </w:pPr>
      <w:r>
        <w:rPr>
          <w:rFonts w:ascii="Arial" w:cs="Arial" w:eastAsia="Arial" w:hAnsi="Arial"/>
          <w:sz w:val="16"/>
          <w:szCs w:val="16"/>
          <w:color w:val="auto"/>
        </w:rPr>
        <w:t>Mass market table games revenue increased to US$868.5 million in 2018 from US$759.1 million in 2017 due to an increase in both mass market table games drop and mass market table games hold percentage. Mass market table games drop increased to US$3,272.9 million in 2018 from US$2,913.0 million in 2017. Mass market table games hold percentage also increased to 26.5% in 2018 from 26.1% in 2017.</w:t>
      </w:r>
    </w:p>
    <w:p>
      <w:pPr>
        <w:spacing w:after="0" w:line="39" w:lineRule="exact"/>
        <w:rPr>
          <w:sz w:val="20"/>
          <w:szCs w:val="20"/>
          <w:color w:val="auto"/>
        </w:rPr>
      </w:pPr>
    </w:p>
    <w:p>
      <w:pPr>
        <w:jc w:val="both"/>
        <w:ind w:left="1080" w:right="20"/>
        <w:spacing w:after="0" w:line="286" w:lineRule="auto"/>
        <w:rPr>
          <w:sz w:val="20"/>
          <w:szCs w:val="20"/>
          <w:color w:val="auto"/>
        </w:rPr>
      </w:pPr>
      <w:r>
        <w:rPr>
          <w:rFonts w:ascii="Arial" w:cs="Arial" w:eastAsia="Arial" w:hAnsi="Arial"/>
          <w:sz w:val="17"/>
          <w:szCs w:val="17"/>
          <w:color w:val="auto"/>
        </w:rPr>
        <w:t>Gaming machine revenue increased to US$83.9 million in 2018 from US$78.2 million in 2017 due to an increase in gaming machine handle to US$2,479.9 million in 2018 from US$2,120.5 million in 2017 despite a decrease in gaming machine win rate to 3.4% in 2018 from 3.7% in 2017. Average net win per gaming machine per day was US$240 and US$225 in 2018 and 2017, respectively.</w:t>
      </w:r>
    </w:p>
    <w:p>
      <w:pPr>
        <w:spacing w:after="0" w:line="57" w:lineRule="exact"/>
        <w:rPr>
          <w:sz w:val="20"/>
          <w:szCs w:val="20"/>
          <w:color w:val="auto"/>
        </w:rPr>
      </w:pPr>
    </w:p>
    <w:p>
      <w:pPr>
        <w:ind w:left="1080" w:right="60"/>
        <w:spacing w:after="0" w:line="257" w:lineRule="auto"/>
        <w:rPr>
          <w:sz w:val="20"/>
          <w:szCs w:val="20"/>
          <w:color w:val="auto"/>
        </w:rPr>
      </w:pPr>
      <w:r>
        <w:rPr>
          <w:rFonts w:ascii="Arial" w:cs="Arial" w:eastAsia="Arial" w:hAnsi="Arial"/>
          <w:sz w:val="18"/>
          <w:szCs w:val="18"/>
          <w:color w:val="auto"/>
        </w:rPr>
        <w:t>Studio City Casino launched its VIP rolling chip operations in November 2016 with 33 VIP rolling chip tables and in June 2017 the number of VIP rolling chip tables subsequently increased to 45. VIP rolling chip revenue increased to US$631.4 million in 2018 from US$600.8 million in 2017 due to an increase in VIP rolling chip volume, partially offset by a decrease in VIP rolling chip win rate. VIP rolling chip volume increased to US$21.2 billion in 2018 from US$19.0 billion in 2017. VIP rolling chip win rate decreased to 2.97% in 2018 from 3.16% in 2017.</w:t>
      </w:r>
    </w:p>
    <w:p>
      <w:pPr>
        <w:spacing w:after="0" w:line="80"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color w:val="auto"/>
        </w:rPr>
        <w:t>In 2018 and 2017, total gaming tax and costs incurred in connection with the operation of Studio City Casino deducted from gross gaming revenues were US$1,243.9 million and US$1,142.5 million, respectively, which included (i) gaming tax imposed on the gross gaming revenue of US$617.7 million and US$560.9 million, respectively; (ii) complimentary services provided by us to Studio City Casino’s gaming patrons of US$81.3 million and US$74.3 million, respectively; (iii) shared administrative services and shuttle bus transportation services provided by us to Studio City Casino of US$36.5 million and US$36.9 million, respectively and (iv) remaining costs of US$508.4 million and US$470.4 million, respectively, primarily representing gaming-related staff costs and other gaming-related costs, including costs related to VIP operations at Studio City Casino.</w:t>
      </w:r>
    </w:p>
    <w:p>
      <w:pPr>
        <w:spacing w:after="0" w:line="81" w:lineRule="exact"/>
        <w:rPr>
          <w:sz w:val="20"/>
          <w:szCs w:val="20"/>
          <w:color w:val="auto"/>
        </w:rPr>
      </w:pPr>
    </w:p>
    <w:p>
      <w:pPr>
        <w:jc w:val="both"/>
        <w:ind w:left="1080" w:right="340"/>
        <w:spacing w:after="0" w:line="264" w:lineRule="auto"/>
        <w:rPr>
          <w:sz w:val="20"/>
          <w:szCs w:val="20"/>
          <w:color w:val="auto"/>
        </w:rPr>
      </w:pPr>
      <w:r>
        <w:rPr>
          <w:rFonts w:ascii="Arial" w:cs="Arial" w:eastAsia="Arial" w:hAnsi="Arial"/>
          <w:sz w:val="18"/>
          <w:szCs w:val="18"/>
          <w:color w:val="auto"/>
        </w:rPr>
        <w:t>After the deduction by the Gaming Operator of gaming tax and the costs incurred in connection with its operation of Studio City Casino from gross gaming revenues, we recognized revenues from the provision of gaming related services of US$339.9 million and US$295.6 million in 2018 and 2017, respectively.</w:t>
      </w:r>
    </w:p>
    <w:p>
      <w:pPr>
        <w:spacing w:after="0" w:line="87" w:lineRule="exact"/>
        <w:rPr>
          <w:sz w:val="20"/>
          <w:szCs w:val="20"/>
          <w:color w:val="auto"/>
        </w:rPr>
      </w:pPr>
    </w:p>
    <w:p>
      <w:pPr>
        <w:ind w:left="1060" w:right="260" w:hanging="424"/>
        <w:spacing w:after="0" w:line="31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Rooms. </w:t>
      </w:r>
      <w:r>
        <w:rPr>
          <w:rFonts w:ascii="Arial" w:cs="Arial" w:eastAsia="Arial" w:hAnsi="Arial"/>
          <w:sz w:val="16"/>
          <w:szCs w:val="16"/>
          <w:color w:val="auto"/>
        </w:rPr>
        <w:t>We generate room revenues from Studio City hotel consisting of Celebrity Tower and all-suite Star Tower. Our room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remained stable at US$88.3 million and US$88.7 million in 2018 and 2017, respectively. Studio City’s average daily rate, occupancy rate and REVPAR were US$138, 100% and US$138, respectively, in 2018, as compared to US$140, 99% and US$138, respectively, in 2017.</w:t>
      </w:r>
    </w:p>
    <w:p>
      <w:pPr>
        <w:spacing w:after="0" w:line="52" w:lineRule="exact"/>
        <w:rPr>
          <w:rFonts w:ascii="Arial" w:cs="Arial" w:eastAsia="Arial" w:hAnsi="Arial"/>
          <w:sz w:val="16"/>
          <w:szCs w:val="16"/>
          <w:color w:val="auto"/>
        </w:rPr>
      </w:pPr>
    </w:p>
    <w:p>
      <w:pPr>
        <w:ind w:left="1060" w:right="220" w:hanging="424"/>
        <w:spacing w:after="0" w:line="259"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Food and beverage, entertainment, mall and retail and other</w:t>
      </w:r>
      <w:r>
        <w:rPr>
          <w:rFonts w:ascii="Arial" w:cs="Arial" w:eastAsia="Arial" w:hAnsi="Arial"/>
          <w:sz w:val="18"/>
          <w:szCs w:val="18"/>
          <w:color w:val="auto"/>
        </w:rPr>
        <w:t>. Our revenues generated from food and beverage, entertainment, mall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retail and other decreased by US$11.7 million, or 10.1%, to US$103.8 million in 2018 from US$115.5 million in 2017. The decrease was primarily due to the closure of a non-gaming attraction for remodeling in late 2017 and closure of certain retail shops for the expansion of the northeast entrance of Studio City in mid-2017.</w:t>
      </w:r>
    </w:p>
    <w:p>
      <w:pPr>
        <w:spacing w:after="0" w:line="92" w:lineRule="exact"/>
        <w:rPr>
          <w:rFonts w:ascii="Arial" w:cs="Arial" w:eastAsia="Arial" w:hAnsi="Arial"/>
          <w:sz w:val="18"/>
          <w:szCs w:val="18"/>
          <w:color w:val="auto"/>
        </w:rPr>
      </w:pPr>
    </w:p>
    <w:p>
      <w:pPr>
        <w:ind w:left="1060" w:right="460" w:hanging="424"/>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Services fee. </w:t>
      </w:r>
      <w:r>
        <w:rPr>
          <w:rFonts w:ascii="Arial" w:cs="Arial" w:eastAsia="Arial" w:hAnsi="Arial"/>
          <w:sz w:val="16"/>
          <w:szCs w:val="16"/>
          <w:color w:val="auto"/>
        </w:rPr>
        <w:t>Our services fee revenues, which primarily consist of certain shared administrative services and shuttle bus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Studio City Casino, remained stable at US$39.1 million and US$40.0 million in 2018 and 2017,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Costs and Expenses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total operating costs and expenses decreased by US$26.0 million, or 5.7%, to US$433.4 million in 2018 from US$459.4 million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116" w:lineRule="exact"/>
        <w:rPr>
          <w:sz w:val="20"/>
          <w:szCs w:val="20"/>
          <w:color w:val="auto"/>
        </w:rPr>
      </w:pPr>
    </w:p>
    <w:p>
      <w:pPr>
        <w:ind w:left="1060" w:right="34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Provision of gaming related services</w:t>
      </w:r>
      <w:r>
        <w:rPr>
          <w:rFonts w:ascii="Arial" w:cs="Arial" w:eastAsia="Arial" w:hAnsi="Arial"/>
          <w:sz w:val="18"/>
          <w:szCs w:val="18"/>
          <w:color w:val="auto"/>
        </w:rPr>
        <w:t>. Provision of gaming related services expenses, which mainly represent (1) services fees for shared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services provided by the Master Service Providers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00"/>
        <w:spacing w:after="0" w:line="277" w:lineRule="auto"/>
        <w:rPr>
          <w:sz w:val="20"/>
          <w:szCs w:val="20"/>
          <w:color w:val="auto"/>
        </w:rPr>
      </w:pPr>
      <w:r>
        <w:rPr>
          <w:rFonts w:ascii="Arial" w:cs="Arial" w:eastAsia="Arial" w:hAnsi="Arial"/>
          <w:sz w:val="18"/>
          <w:szCs w:val="18"/>
          <w:color w:val="auto"/>
        </w:rPr>
        <w:t>pursuant to the Management and Shared Services Arrangements and (2) management payroll expenses, are relatively fixed in nature and amounted to US$20.3 million and US$24.0 million in 2018 and 2017, respectively.</w:t>
      </w:r>
    </w:p>
    <w:p>
      <w:pPr>
        <w:spacing w:after="0" w:line="76" w:lineRule="exact"/>
        <w:rPr>
          <w:sz w:val="20"/>
          <w:szCs w:val="20"/>
          <w:color w:val="auto"/>
        </w:rPr>
      </w:pPr>
    </w:p>
    <w:p>
      <w:pPr>
        <w:ind w:left="1060" w:right="54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expenses, which represent the costs of operating the hotel facilities and respective payroll expenses, remained stable at</w:t>
      </w:r>
      <w:r>
        <w:rPr>
          <w:rFonts w:ascii="Arial" w:cs="Arial" w:eastAsia="Arial" w:hAnsi="Arial"/>
          <w:sz w:val="18"/>
          <w:szCs w:val="18"/>
          <w:i w:val="1"/>
          <w:iCs w:val="1"/>
          <w:color w:val="auto"/>
        </w:rPr>
        <w:t xml:space="preserve"> </w:t>
      </w:r>
      <w:r>
        <w:rPr>
          <w:rFonts w:ascii="Arial" w:cs="Arial" w:eastAsia="Arial" w:hAnsi="Arial"/>
          <w:sz w:val="18"/>
          <w:szCs w:val="18"/>
          <w:color w:val="auto"/>
        </w:rPr>
        <w:t>US$21.9 million and US$21.8 million in 2018 and 2017, respectively.</w:t>
      </w:r>
    </w:p>
    <w:p>
      <w:pPr>
        <w:spacing w:after="0" w:line="75" w:lineRule="exact"/>
        <w:rPr>
          <w:rFonts w:ascii="Arial" w:cs="Arial" w:eastAsia="Arial" w:hAnsi="Arial"/>
          <w:sz w:val="18"/>
          <w:szCs w:val="18"/>
          <w:color w:val="auto"/>
        </w:rPr>
      </w:pPr>
    </w:p>
    <w:p>
      <w:pPr>
        <w:ind w:left="1060" w:right="26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Food and beverage, entertainment, mall and retail and other</w:t>
      </w:r>
      <w:r>
        <w:rPr>
          <w:rFonts w:ascii="Arial" w:cs="Arial" w:eastAsia="Arial" w:hAnsi="Arial"/>
          <w:sz w:val="18"/>
          <w:szCs w:val="18"/>
          <w:color w:val="auto"/>
        </w:rPr>
        <w:t>. Expenses related to food and beverage, entertainment, mall and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which primarily represent the costs of operating the respective non-gaming services at Studio City and respective payroll expenses, amounted to US$81.7 million and US$84.5 million in 2018 and 2017, respectively.</w:t>
      </w:r>
    </w:p>
    <w:p>
      <w:pPr>
        <w:spacing w:after="0" w:line="86" w:lineRule="exact"/>
        <w:rPr>
          <w:rFonts w:ascii="Arial" w:cs="Arial" w:eastAsia="Arial" w:hAnsi="Arial"/>
          <w:sz w:val="18"/>
          <w:szCs w:val="18"/>
          <w:color w:val="auto"/>
        </w:rPr>
      </w:pPr>
    </w:p>
    <w:p>
      <w:pPr>
        <w:ind w:left="1060" w:right="160" w:hanging="424"/>
        <w:spacing w:after="0" w:line="279"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were US$132.6 million and US$130.5 million in 2018 and 2017,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w:t>
      </w:r>
    </w:p>
    <w:p>
      <w:pPr>
        <w:spacing w:after="0" w:line="76" w:lineRule="exact"/>
        <w:rPr>
          <w:rFonts w:ascii="Arial" w:cs="Arial" w:eastAsia="Arial" w:hAnsi="Arial"/>
          <w:sz w:val="17"/>
          <w:szCs w:val="17"/>
          <w:color w:val="auto"/>
        </w:rPr>
      </w:pPr>
    </w:p>
    <w:p>
      <w:pPr>
        <w:jc w:val="both"/>
        <w:ind w:left="1060" w:right="16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Pre-opening costs</w:t>
      </w:r>
      <w:r>
        <w:rPr>
          <w:rFonts w:ascii="Arial" w:cs="Arial" w:eastAsia="Arial" w:hAnsi="Arial"/>
          <w:sz w:val="18"/>
          <w:szCs w:val="18"/>
          <w:color w:val="auto"/>
        </w:rPr>
        <w:t>. Pre-opening costs were US$4.6 million in 2018 as compared to US$0.1 million in 2017. Such costs primarily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marketing and other costs incurred prior to the opening of new or start-up operations. The higher pre-opening costs in 2018 was mainly related to the marketing of the new stunt show Elēkrŏn.</w:t>
      </w:r>
    </w:p>
    <w:p>
      <w:pPr>
        <w:spacing w:after="0" w:line="86"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Amortization of land use right</w:t>
      </w:r>
      <w:r>
        <w:rPr>
          <w:rFonts w:ascii="Arial" w:cs="Arial" w:eastAsia="Arial" w:hAnsi="Arial"/>
          <w:sz w:val="18"/>
          <w:szCs w:val="18"/>
          <w:color w:val="auto"/>
        </w:rPr>
        <w:t>. Amortization expenses for the land use right continued to be recognized on a straight-line basis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US$3.3 million in both 2018 and 2017.</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decreased by US$8.4 million, or 4.9%, to US$164.6 million in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US$173.0 million in 2017.</w:t>
      </w:r>
    </w:p>
    <w:p>
      <w:pPr>
        <w:spacing w:after="0" w:line="75" w:lineRule="exact"/>
        <w:rPr>
          <w:rFonts w:ascii="Arial" w:cs="Arial" w:eastAsia="Arial" w:hAnsi="Arial"/>
          <w:sz w:val="18"/>
          <w:szCs w:val="18"/>
          <w:color w:val="auto"/>
        </w:rPr>
      </w:pPr>
    </w:p>
    <w:p>
      <w:pPr>
        <w:ind w:left="1060" w:right="380" w:hanging="424"/>
        <w:spacing w:after="0" w:line="25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Property charges and other. </w:t>
      </w:r>
      <w:r>
        <w:rPr>
          <w:rFonts w:ascii="Arial" w:cs="Arial" w:eastAsia="Arial" w:hAnsi="Arial"/>
          <w:sz w:val="18"/>
          <w:szCs w:val="18"/>
          <w:color w:val="auto"/>
        </w:rPr>
        <w:t>Property charges and other expenses of US$4.5 million were primarily attributable to a write-off of US$2.2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relation to the termination of a contract related to a non-gaming attraction and US$2.0 million repairs and maintenance costs incurred as a result of Typhoon Hato and Typhoon Mangkhut. Property charges and other expense of US$22.2 million in 2017 were primarily attributable to impairment of assets as a result of the remodeling of a non-gaming attraction, retail shops and a food station of US$19.6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left="200" w:right="540" w:firstLine="881"/>
        <w:spacing w:after="0" w:line="277" w:lineRule="auto"/>
        <w:rPr>
          <w:sz w:val="20"/>
          <w:szCs w:val="20"/>
          <w:color w:val="auto"/>
        </w:rPr>
      </w:pPr>
      <w:r>
        <w:rPr>
          <w:rFonts w:ascii="Arial" w:cs="Arial" w:eastAsia="Arial" w:hAnsi="Arial"/>
          <w:sz w:val="18"/>
          <w:szCs w:val="18"/>
          <w:color w:val="auto"/>
        </w:rPr>
        <w:t>As a result of the foregoing, we had an operating income of US$137.9 million in 2018, compared to an operating income of US$80.5 million in 2017.</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Expenses, Net</w:t>
      </w:r>
    </w:p>
    <w:p>
      <w:pPr>
        <w:spacing w:after="0" w:line="117" w:lineRule="exact"/>
        <w:rPr>
          <w:sz w:val="20"/>
          <w:szCs w:val="20"/>
          <w:color w:val="auto"/>
        </w:rPr>
      </w:pPr>
    </w:p>
    <w:p>
      <w:pPr>
        <w:jc w:val="both"/>
        <w:ind w:left="200" w:right="360" w:firstLine="881"/>
        <w:spacing w:after="0" w:line="264" w:lineRule="auto"/>
        <w:rPr>
          <w:sz w:val="20"/>
          <w:szCs w:val="20"/>
          <w:color w:val="auto"/>
        </w:rPr>
      </w:pPr>
      <w:r>
        <w:rPr>
          <w:rFonts w:ascii="Arial" w:cs="Arial" w:eastAsia="Arial" w:hAnsi="Arial"/>
          <w:sz w:val="18"/>
          <w:szCs w:val="18"/>
          <w:color w:val="auto"/>
        </w:rPr>
        <w:t>Net non-operating expenses consisted of interest income, interest expenses, loan commitment fees, net foreign exchange gains, loss on extinguishment of debt and other non-operating (expenses) income, net. We incurred total net non-operating expenses of US$158.1 million in 2018, compared to US$157.1 million in 2017.</w:t>
      </w:r>
    </w:p>
    <w:p>
      <w:pPr>
        <w:spacing w:after="0" w:line="87" w:lineRule="exact"/>
        <w:rPr>
          <w:sz w:val="20"/>
          <w:szCs w:val="20"/>
          <w:color w:val="auto"/>
        </w:rPr>
      </w:pPr>
    </w:p>
    <w:p>
      <w:pPr>
        <w:ind w:left="1060" w:hanging="424"/>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Interest expenses</w:t>
      </w:r>
      <w:r>
        <w:rPr>
          <w:rFonts w:ascii="Arial" w:cs="Arial" w:eastAsia="Arial" w:hAnsi="Arial"/>
          <w:sz w:val="17"/>
          <w:szCs w:val="17"/>
          <w:color w:val="auto"/>
        </w:rPr>
        <w:t>. Interest expenses remained stable at US$160.5 million and US$159.9 million in 2018 and 2017, respectively.</w:t>
      </w:r>
    </w:p>
    <w:p>
      <w:pPr>
        <w:spacing w:after="0" w:line="142" w:lineRule="exact"/>
        <w:rPr>
          <w:rFonts w:ascii="Arial" w:cs="Arial" w:eastAsia="Arial" w:hAnsi="Arial"/>
          <w:sz w:val="17"/>
          <w:szCs w:val="17"/>
          <w:color w:val="auto"/>
        </w:rPr>
      </w:pPr>
    </w:p>
    <w:p>
      <w:pPr>
        <w:ind w:left="1060" w:right="10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Loan commitment fees</w:t>
      </w:r>
      <w:r>
        <w:rPr>
          <w:rFonts w:ascii="Arial" w:cs="Arial" w:eastAsia="Arial" w:hAnsi="Arial"/>
          <w:sz w:val="18"/>
          <w:szCs w:val="18"/>
          <w:color w:val="auto"/>
        </w:rPr>
        <w:t>. Loan commitment fees, which were associated with the 2016 Credit Facility, were US$0.4 million in both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was US$2.5 million in 2018 and was associated with the early partial</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the 2012 Notes in December 2018. We incurred nil loss on extinguishment of debt in 2017.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Loss before Income Tax</w:t>
      </w:r>
    </w:p>
    <w:p>
      <w:pPr>
        <w:spacing w:after="0" w:line="11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As a result of the foregoing, we had a loss before income tax of US$20.2 million in 2018, compared to a loss before income tax of US$76.7 million in 2017.</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(Expense) Credit</w:t>
      </w:r>
    </w:p>
    <w:p>
      <w:pPr>
        <w:spacing w:after="0" w:line="117"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Income tax expenses was US$0.5 million and was primarily attributable to deferred income tax expense, compared to income tax credit of US$0.2 million in 2017, which was attributable to deferred income tax credit. The effective tax rates in 2018 and 2017 were (2.7)% and 0.3%, respectively. Our effective tax rates in 2018 and 2017 differed from the statutory Macau complementary tax rate of 12% due to the effect of expenses for which no income tax benefits are receivable, the change in valuation allowances and certain of our profits were exempted from the Macau complementary tax.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Income Attributable to Participation Interest</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net income attributable to participation interest was US$0.9 million in 2018.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Studio City International Holdings Limited</w:t>
      </w:r>
    </w:p>
    <w:p>
      <w:pPr>
        <w:spacing w:after="0" w:line="117" w:lineRule="exact"/>
        <w:rPr>
          <w:sz w:val="20"/>
          <w:szCs w:val="20"/>
          <w:color w:val="auto"/>
        </w:rPr>
      </w:pPr>
    </w:p>
    <w:p>
      <w:pPr>
        <w:ind w:left="200" w:right="540" w:firstLine="881"/>
        <w:spacing w:after="0" w:line="277" w:lineRule="auto"/>
        <w:rPr>
          <w:sz w:val="20"/>
          <w:szCs w:val="20"/>
          <w:color w:val="auto"/>
        </w:rPr>
      </w:pPr>
      <w:r>
        <w:rPr>
          <w:rFonts w:ascii="Arial" w:cs="Arial" w:eastAsia="Arial" w:hAnsi="Arial"/>
          <w:sz w:val="18"/>
          <w:szCs w:val="18"/>
          <w:color w:val="auto"/>
        </w:rPr>
        <w:t>As a result of the foregoing, we had a net loss attributable to Studio City International Holdings Limited of US$21.6 million in 2018, compared to a net loss attributable to Studio City International Holdings Limited of US$76.4 million in 2017.</w:t>
      </w:r>
    </w:p>
    <w:p>
      <w:pPr>
        <w:spacing w:after="0" w:line="279" w:lineRule="exact"/>
        <w:rPr>
          <w:sz w:val="20"/>
          <w:szCs w:val="20"/>
          <w:color w:val="auto"/>
        </w:rPr>
      </w:pPr>
    </w:p>
    <w:p>
      <w:pPr>
        <w:ind w:left="200" w:right="530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2017 Compared to Year Ended December 31, 2016 </w:t>
      </w:r>
      <w:r>
        <w:rPr>
          <w:rFonts w:ascii="Arial" w:cs="Arial" w:eastAsia="Arial" w:hAnsi="Arial"/>
          <w:sz w:val="18"/>
          <w:szCs w:val="18"/>
          <w:i w:val="1"/>
          <w:iCs w:val="1"/>
          <w:color w:val="auto"/>
        </w:rPr>
        <w:t>Revenues</w:t>
      </w:r>
    </w:p>
    <w:p>
      <w:pPr>
        <w:spacing w:after="0" w:line="1" w:lineRule="exact"/>
        <w:rPr>
          <w:sz w:val="20"/>
          <w:szCs w:val="20"/>
          <w:color w:val="auto"/>
        </w:rPr>
      </w:pPr>
    </w:p>
    <w:p>
      <w:pPr>
        <w:jc w:val="both"/>
        <w:ind w:left="200" w:right="80" w:firstLine="881"/>
        <w:spacing w:after="0" w:line="286" w:lineRule="auto"/>
        <w:rPr>
          <w:sz w:val="20"/>
          <w:szCs w:val="20"/>
          <w:color w:val="auto"/>
        </w:rPr>
      </w:pPr>
      <w:r>
        <w:rPr>
          <w:rFonts w:ascii="Arial" w:cs="Arial" w:eastAsia="Arial" w:hAnsi="Arial"/>
          <w:sz w:val="17"/>
          <w:szCs w:val="17"/>
          <w:color w:val="auto"/>
        </w:rPr>
        <w:t>Our total revenues increased by US$115.3 million, or 27.2%, to US$539.8 million in 2017 from US$424.5 million in 2016. The increase in total revenues was primarily due to enhanced performance in the mass market table games as a result of the continuous ramp-up of Studio City since its commencement of operations in October 2015 and the launch of VIP rolling chip operations in November 2016.</w:t>
      </w:r>
    </w:p>
    <w:p>
      <w:pPr>
        <w:spacing w:after="0" w:line="71" w:lineRule="exact"/>
        <w:rPr>
          <w:sz w:val="20"/>
          <w:szCs w:val="20"/>
          <w:color w:val="auto"/>
        </w:rPr>
      </w:pPr>
    </w:p>
    <w:p>
      <w:pPr>
        <w:ind w:left="1060" w:right="40" w:hanging="424"/>
        <w:spacing w:after="0" w:line="30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Provision of gaming related services. </w:t>
      </w:r>
      <w:r>
        <w:rPr>
          <w:rFonts w:ascii="Arial" w:cs="Arial" w:eastAsia="Arial" w:hAnsi="Arial"/>
          <w:sz w:val="16"/>
          <w:szCs w:val="16"/>
          <w:color w:val="auto"/>
        </w:rPr>
        <w:t>Revenues from the provision of gaming related services increased by US$144.0 million, or 95.0%, to</w:t>
      </w:r>
      <w:r>
        <w:rPr>
          <w:rFonts w:ascii="Arial" w:cs="Arial" w:eastAsia="Arial" w:hAnsi="Arial"/>
          <w:sz w:val="16"/>
          <w:szCs w:val="16"/>
          <w:i w:val="1"/>
          <w:iCs w:val="1"/>
          <w:color w:val="auto"/>
        </w:rPr>
        <w:t xml:space="preserve"> </w:t>
      </w:r>
      <w:r>
        <w:rPr>
          <w:rFonts w:ascii="Arial" w:cs="Arial" w:eastAsia="Arial" w:hAnsi="Arial"/>
          <w:sz w:val="16"/>
          <w:szCs w:val="16"/>
          <w:color w:val="auto"/>
        </w:rPr>
        <w:t>US$295.6 million in 2017 from US$151.6 million in 2016. This increase was due to enhanced performance in mass market table games as a result of the continuous ramp-up of Studio City since its commencement of operations in October 2015 and the launch of VIP rolling chip operations in November 2016, which contributed to a significant increase in Studio City Casino’s gross gaming revenues in 2017.</w:t>
      </w:r>
    </w:p>
    <w:p>
      <w:pPr>
        <w:spacing w:after="0" w:line="46" w:lineRule="exact"/>
        <w:rPr>
          <w:rFonts w:ascii="Arial" w:cs="Arial" w:eastAsia="Arial" w:hAnsi="Arial"/>
          <w:sz w:val="16"/>
          <w:szCs w:val="16"/>
          <w:color w:val="auto"/>
        </w:rPr>
      </w:pPr>
    </w:p>
    <w:p>
      <w:pPr>
        <w:ind w:left="1080" w:right="80"/>
        <w:spacing w:after="0" w:line="264" w:lineRule="auto"/>
        <w:rPr>
          <w:rFonts w:ascii="Arial" w:cs="Arial" w:eastAsia="Arial" w:hAnsi="Arial"/>
          <w:sz w:val="16"/>
          <w:szCs w:val="16"/>
          <w:color w:val="auto"/>
        </w:rPr>
      </w:pPr>
      <w:r>
        <w:rPr>
          <w:rFonts w:ascii="Arial" w:cs="Arial" w:eastAsia="Arial" w:hAnsi="Arial"/>
          <w:sz w:val="18"/>
          <w:szCs w:val="18"/>
          <w:color w:val="auto"/>
        </w:rPr>
        <w:t>Studio City Casino generated gross gaming revenues of US$1,438.1 million and US$706.2 million in 2017 and 2016, respectively, before the deduction by the Gaming Operator of gaming tax and the costs incurred in connection with its operation of Studio City Casino pursuant to the Services and Right to Use Arrangements.</w:t>
      </w:r>
    </w:p>
    <w:p>
      <w:pPr>
        <w:spacing w:after="0" w:line="73" w:lineRule="exact"/>
        <w:rPr>
          <w:rFonts w:ascii="Arial" w:cs="Arial" w:eastAsia="Arial" w:hAnsi="Arial"/>
          <w:sz w:val="16"/>
          <w:szCs w:val="16"/>
          <w:color w:val="auto"/>
        </w:rPr>
      </w:pPr>
    </w:p>
    <w:p>
      <w:pPr>
        <w:ind w:left="1080" w:right="140"/>
        <w:spacing w:after="0" w:line="312" w:lineRule="auto"/>
        <w:rPr>
          <w:rFonts w:ascii="Arial" w:cs="Arial" w:eastAsia="Arial" w:hAnsi="Arial"/>
          <w:sz w:val="16"/>
          <w:szCs w:val="16"/>
          <w:color w:val="auto"/>
        </w:rPr>
      </w:pPr>
      <w:r>
        <w:rPr>
          <w:rFonts w:ascii="Arial" w:cs="Arial" w:eastAsia="Arial" w:hAnsi="Arial"/>
          <w:sz w:val="16"/>
          <w:szCs w:val="16"/>
          <w:color w:val="auto"/>
        </w:rPr>
        <w:t>Mass market table games revenue increased to US$759.1 million in 2017 from US$611.6 million in 2016 due to an increase in both mass market table games drop and mass market table games hold percentage. Mass market table games drop increased to US$2,913.0 million in 2017 from US$2,480.0 million in 2016. Mass market table games hold percentage also increased to 26.1% in 2017 from 24.7% in 2016.</w:t>
      </w:r>
    </w:p>
    <w:p>
      <w:pPr>
        <w:spacing w:after="0" w:line="38" w:lineRule="exact"/>
        <w:rPr>
          <w:rFonts w:ascii="Arial" w:cs="Arial" w:eastAsia="Arial" w:hAnsi="Arial"/>
          <w:sz w:val="16"/>
          <w:szCs w:val="16"/>
          <w:color w:val="auto"/>
        </w:rPr>
      </w:pPr>
    </w:p>
    <w:p>
      <w:pPr>
        <w:ind w:left="1080"/>
        <w:spacing w:after="0" w:line="277" w:lineRule="auto"/>
        <w:rPr>
          <w:rFonts w:ascii="Arial" w:cs="Arial" w:eastAsia="Arial" w:hAnsi="Arial"/>
          <w:sz w:val="16"/>
          <w:szCs w:val="16"/>
          <w:color w:val="auto"/>
        </w:rPr>
      </w:pPr>
      <w:r>
        <w:rPr>
          <w:rFonts w:ascii="Arial" w:cs="Arial" w:eastAsia="Arial" w:hAnsi="Arial"/>
          <w:sz w:val="18"/>
          <w:szCs w:val="18"/>
          <w:color w:val="auto"/>
        </w:rPr>
        <w:t>Gaming machine revenue increased to US$78.2 million in 2017 from US$76.0 million in 2016 due to an increase in gaming machine handle to US$2,120.5 million in 2017 from US$2,002.3 million in 2016</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77" w:lineRule="auto"/>
        <w:rPr>
          <w:sz w:val="20"/>
          <w:szCs w:val="20"/>
          <w:color w:val="auto"/>
        </w:rPr>
      </w:pPr>
      <w:r>
        <w:rPr>
          <w:rFonts w:ascii="Arial" w:cs="Arial" w:eastAsia="Arial" w:hAnsi="Arial"/>
          <w:sz w:val="18"/>
          <w:szCs w:val="18"/>
          <w:color w:val="auto"/>
        </w:rPr>
        <w:t>despite a slight decrease in gaming machine win rate to 3.7% in 2017 from 3.8% in 2016. Average net win per gaming machine per day was US$225 and US$189 in 2017 and 2016, respectively.</w:t>
      </w:r>
    </w:p>
    <w:p>
      <w:pPr>
        <w:spacing w:after="0" w:line="62" w:lineRule="exact"/>
        <w:rPr>
          <w:sz w:val="20"/>
          <w:szCs w:val="20"/>
          <w:color w:val="auto"/>
        </w:rPr>
      </w:pPr>
    </w:p>
    <w:p>
      <w:pPr>
        <w:ind w:left="1080"/>
        <w:spacing w:after="0" w:line="279" w:lineRule="auto"/>
        <w:rPr>
          <w:sz w:val="20"/>
          <w:szCs w:val="20"/>
          <w:color w:val="auto"/>
        </w:rPr>
      </w:pPr>
      <w:r>
        <w:rPr>
          <w:rFonts w:ascii="Arial" w:cs="Arial" w:eastAsia="Arial" w:hAnsi="Arial"/>
          <w:sz w:val="17"/>
          <w:szCs w:val="17"/>
          <w:color w:val="auto"/>
        </w:rPr>
        <w:t>Studio City Casino launched its VIP rolling chip operations in November 2016 with 33 VIP rolling chip tables and in June 2017 the number of VIP rolling chip tables subsequently increased to 45. VIP rolling chip revenue increased to US$600.8 million in 2017 from US$18.6 million in 2016 due to the first full year of VIP rolling chip operations in Studio City in 2017. VIP rolling chip volume increased to US$19.0 billion in 2017 from US$1.3 billion in 2016. VIP rolling chip win rate also increased to 3.16% in 2017 from 1.39% in 2016.</w:t>
      </w:r>
    </w:p>
    <w:p>
      <w:pPr>
        <w:spacing w:after="0" w:line="63" w:lineRule="exact"/>
        <w:rPr>
          <w:sz w:val="20"/>
          <w:szCs w:val="20"/>
          <w:color w:val="auto"/>
        </w:rPr>
      </w:pPr>
    </w:p>
    <w:p>
      <w:pPr>
        <w:ind w:left="1080" w:right="20"/>
        <w:spacing w:after="0" w:line="255" w:lineRule="auto"/>
        <w:rPr>
          <w:sz w:val="20"/>
          <w:szCs w:val="20"/>
          <w:color w:val="auto"/>
        </w:rPr>
      </w:pPr>
      <w:r>
        <w:rPr>
          <w:rFonts w:ascii="Arial" w:cs="Arial" w:eastAsia="Arial" w:hAnsi="Arial"/>
          <w:sz w:val="18"/>
          <w:szCs w:val="18"/>
          <w:color w:val="auto"/>
        </w:rPr>
        <w:t>In 2017 and 2016, total gaming tax and costs incurred in connection with the operation of Studio City Casino deducted from gross gaming revenues were US$1,142.5 million and US$554.6 million, respectively, which included (i) gaming tax imposed on the gross gaming revenue of US$560.9 million and US$275.4 million, respectively; (ii) complimentary services provided by us to Studio City Casino’s gaming patrons of US$74.3 million and US$61.8 million, respectively; (iii) shared administrative services and shuttle bus transportation services provided by us to Studio City Casino of US$36.9 million and US$49.2 million, respectively and (iv) remaining costs of US$470.4 million and US$168.2 million, respectively, primarily representing gaming-related staff costs and other gaming-related costs, including costs related to VIP operations at Studio City Casino.</w:t>
      </w:r>
    </w:p>
    <w:p>
      <w:pPr>
        <w:spacing w:after="0" w:line="81" w:lineRule="exact"/>
        <w:rPr>
          <w:sz w:val="20"/>
          <w:szCs w:val="20"/>
          <w:color w:val="auto"/>
        </w:rPr>
      </w:pPr>
    </w:p>
    <w:p>
      <w:pPr>
        <w:jc w:val="both"/>
        <w:ind w:left="1080" w:right="340"/>
        <w:spacing w:after="0" w:line="264" w:lineRule="auto"/>
        <w:rPr>
          <w:sz w:val="20"/>
          <w:szCs w:val="20"/>
          <w:color w:val="auto"/>
        </w:rPr>
      </w:pPr>
      <w:r>
        <w:rPr>
          <w:rFonts w:ascii="Arial" w:cs="Arial" w:eastAsia="Arial" w:hAnsi="Arial"/>
          <w:sz w:val="18"/>
          <w:szCs w:val="18"/>
          <w:color w:val="auto"/>
        </w:rPr>
        <w:t>After the deduction by the Gaming Operator of gaming tax and the costs incurred in connection with its operation of Studio City Casino from gross gaming revenues, we recognized revenues from the provision of gaming related services of US$295.6 million and US$151.6 million in 2017 and 2016, respectively.</w:t>
      </w:r>
    </w:p>
    <w:p>
      <w:pPr>
        <w:spacing w:after="0" w:line="87" w:lineRule="exact"/>
        <w:rPr>
          <w:sz w:val="20"/>
          <w:szCs w:val="20"/>
          <w:color w:val="auto"/>
        </w:rPr>
      </w:pPr>
    </w:p>
    <w:p>
      <w:pPr>
        <w:ind w:left="1060" w:right="12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Rooms. </w:t>
      </w:r>
      <w:r>
        <w:rPr>
          <w:rFonts w:ascii="Arial" w:cs="Arial" w:eastAsia="Arial" w:hAnsi="Arial"/>
          <w:sz w:val="18"/>
          <w:szCs w:val="18"/>
          <w:color w:val="auto"/>
        </w:rPr>
        <w:t>Our room revenues increased by US$4.1 million, or 4.8%, to US$88.7 million in 2017 from US$84.6 million in 2016.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room revenues was primarily due to the slightly increased occupancy rate and average daily rate. Studio City’s average daily rate, occupancy rate and REVPAR were US$140, 99% and US$138, respectively, in 2017, as compared to US$136, 98% and US$133, respectively, in 2016.</w:t>
      </w:r>
    </w:p>
    <w:p>
      <w:pPr>
        <w:spacing w:after="0" w:line="92" w:lineRule="exact"/>
        <w:rPr>
          <w:rFonts w:ascii="Arial" w:cs="Arial" w:eastAsia="Arial" w:hAnsi="Arial"/>
          <w:sz w:val="18"/>
          <w:szCs w:val="18"/>
          <w:color w:val="auto"/>
        </w:rPr>
      </w:pPr>
    </w:p>
    <w:p>
      <w:pPr>
        <w:ind w:left="1060" w:right="14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Food and beverage, entertainment, mall and retail and other</w:t>
      </w:r>
      <w:r>
        <w:rPr>
          <w:rFonts w:ascii="Arial" w:cs="Arial" w:eastAsia="Arial" w:hAnsi="Arial"/>
          <w:sz w:val="18"/>
          <w:szCs w:val="18"/>
          <w:color w:val="auto"/>
        </w:rPr>
        <w:t>. Our revenues generated from food and beverage, entertainment, mall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retail and other decreased by US$20.9 million, or 15.3%, to US$115.5 million in 2017 from US$136.4 million in 2016. We generated more revenues in 2016 as we sold more tickets during that period for more events held at Studio City including live concerts from headline acts such as Madonna and Russell Peters.</w:t>
      </w:r>
    </w:p>
    <w:p>
      <w:pPr>
        <w:spacing w:after="0" w:line="92"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Services fee. </w:t>
      </w:r>
      <w:r>
        <w:rPr>
          <w:rFonts w:ascii="Arial" w:cs="Arial" w:eastAsia="Arial" w:hAnsi="Arial"/>
          <w:sz w:val="18"/>
          <w:szCs w:val="18"/>
          <w:color w:val="auto"/>
        </w:rPr>
        <w:t>Our services fee revenues decreased by US$11.9 million, or 22.9%, to US$40.0 million in 2017 from US$51.8 million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was due to the implementation of cost-saving initiatives at Studio City, resulting in a lower level of shared administrative services charged to Studio City Casino in 2017.</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Costs and Expenses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total operating costs and expenses decreased by US$19.9 million, or 4.2%, to US$459.4 million in 2017 from US$479.3 million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116" w:lineRule="exact"/>
        <w:rPr>
          <w:sz w:val="20"/>
          <w:szCs w:val="20"/>
          <w:color w:val="auto"/>
        </w:rPr>
      </w:pPr>
    </w:p>
    <w:p>
      <w:pPr>
        <w:ind w:left="1060" w:right="16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Provision of gaming related services</w:t>
      </w:r>
      <w:r>
        <w:rPr>
          <w:rFonts w:ascii="Arial" w:cs="Arial" w:eastAsia="Arial" w:hAnsi="Arial"/>
          <w:sz w:val="18"/>
          <w:szCs w:val="18"/>
          <w:color w:val="auto"/>
        </w:rPr>
        <w:t>. Provision of gaming related services expenses, relatively fixed in nature, remained stable at US$24.0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US$25.3 million in 2017 and 2016, respectively.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expenses remained stable at US$21.8 million and US$22.8 million in 2017 and 2016, respectively.</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Food and beverage, entertainment, mall and retail and other</w:t>
      </w:r>
      <w:r>
        <w:rPr>
          <w:rFonts w:ascii="Arial" w:cs="Arial" w:eastAsia="Arial" w:hAnsi="Arial"/>
          <w:sz w:val="18"/>
          <w:szCs w:val="18"/>
          <w:color w:val="auto"/>
        </w:rPr>
        <w:t>. Expenses related to food and beverage, entertainment, mall and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decreased by US$33.9 million, or 28.7%, to US$84.5 million 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77" w:lineRule="auto"/>
        <w:rPr>
          <w:sz w:val="20"/>
          <w:szCs w:val="20"/>
          <w:color w:val="auto"/>
        </w:rPr>
      </w:pPr>
      <w:r>
        <w:rPr>
          <w:rFonts w:ascii="Arial" w:cs="Arial" w:eastAsia="Arial" w:hAnsi="Arial"/>
          <w:sz w:val="18"/>
          <w:szCs w:val="18"/>
          <w:color w:val="auto"/>
        </w:rPr>
        <w:t>2017 from US$118.4 million in 2016. The decrease was primarily due to the decrease in performers’ fees as we held fewer events at Studio City in 2017 and lower payroll expenses resulting from the implementation of our cost-saving initiatives.</w:t>
      </w:r>
    </w:p>
    <w:p>
      <w:pPr>
        <w:spacing w:after="0" w:line="76" w:lineRule="exact"/>
        <w:rPr>
          <w:sz w:val="20"/>
          <w:szCs w:val="20"/>
          <w:color w:val="auto"/>
        </w:rPr>
      </w:pPr>
    </w:p>
    <w:p>
      <w:pPr>
        <w:ind w:left="1060" w:right="2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US$4.6 million, or 3.4%, to US$130.5 million in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US$135.1 million in 2016, primarily due to lower payroll expenses resulting from the implementation of our cost-saving initiatives and higher marketing and advertising costs in the prior period from promotional activities carried out for the newly-opened Studio City, partially offset by higher repairs and maintenance costs.</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Amortization of land use right</w:t>
      </w:r>
      <w:r>
        <w:rPr>
          <w:rFonts w:ascii="Arial" w:cs="Arial" w:eastAsia="Arial" w:hAnsi="Arial"/>
          <w:sz w:val="18"/>
          <w:szCs w:val="18"/>
          <w:color w:val="auto"/>
        </w:rPr>
        <w:t>. Amortization expenses for the land use right were US$3.3 million in both 2017 and 2016.</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slightly increased by US$4.5 million, or 2.6%, to US$173.0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from US$168.5 million in 2016.</w:t>
      </w:r>
    </w:p>
    <w:p>
      <w:pPr>
        <w:spacing w:after="0" w:line="75" w:lineRule="exact"/>
        <w:rPr>
          <w:rFonts w:ascii="Arial" w:cs="Arial" w:eastAsia="Arial" w:hAnsi="Arial"/>
          <w:sz w:val="18"/>
          <w:szCs w:val="18"/>
          <w:color w:val="auto"/>
        </w:rPr>
      </w:pPr>
    </w:p>
    <w:p>
      <w:pPr>
        <w:ind w:left="1060" w:right="140" w:hanging="424"/>
        <w:spacing w:after="0" w:line="286"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Property charges and other. </w:t>
      </w:r>
      <w:r>
        <w:rPr>
          <w:rFonts w:ascii="Arial" w:cs="Arial" w:eastAsia="Arial" w:hAnsi="Arial"/>
          <w:sz w:val="17"/>
          <w:szCs w:val="17"/>
          <w:color w:val="auto"/>
        </w:rPr>
        <w:t>Property charges and other expenses increased by US$20.4 million, or 1,117.0%, to US$22.2 million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from US$1.8 million in 2016. Property charges and other expense of US$22.2 million in 2017 were primarily attributable to impairment of assets as a result of the remodeling of a non-gaming attraction, retail shops and a food station of US$19.6 million.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As a result of the foregoing, we had an operating income of US$80.5 million in 2017, compared to an operating loss of US$54.8 million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Non-operating Expenses, Net</w:t>
      </w:r>
    </w:p>
    <w:p>
      <w:pPr>
        <w:spacing w:after="0" w:line="11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Net non-operating expenses consisted of interest income, interest expenses, loan commitment fees, net foreign exchange gains (losses), loss on extinguishment of debt and costs associated with debt modification as well as other non-operating income, net. We incurred total net non-operating expenses of US$157.1 million in 2017, compared to US$187.5 million in 2016. Higher net non-operating expenses in 2016 was primarily due to the loss on extinguishment of debt and costs associated with debt modification arisen from the refinancing of the 2013 Project Facility with the 2016 Notes and the 2016 Credit Facility in November 2016.</w:t>
      </w:r>
    </w:p>
    <w:p>
      <w:pPr>
        <w:spacing w:after="0" w:line="94" w:lineRule="exact"/>
        <w:rPr>
          <w:sz w:val="20"/>
          <w:szCs w:val="20"/>
          <w:color w:val="auto"/>
        </w:rPr>
      </w:pPr>
    </w:p>
    <w:p>
      <w:pPr>
        <w:ind w:left="1060" w:hanging="424"/>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Interest expenses</w:t>
      </w:r>
      <w:r>
        <w:rPr>
          <w:rFonts w:ascii="Arial" w:cs="Arial" w:eastAsia="Arial" w:hAnsi="Arial"/>
          <w:sz w:val="17"/>
          <w:szCs w:val="17"/>
          <w:color w:val="auto"/>
        </w:rPr>
        <w:t>. Interest expenses remained stable at US$159.9 million and US$159.2 million in 2017 and 2016, respectively.</w:t>
      </w:r>
    </w:p>
    <w:p>
      <w:pPr>
        <w:spacing w:after="0" w:line="142" w:lineRule="exact"/>
        <w:rPr>
          <w:rFonts w:ascii="Arial" w:cs="Arial" w:eastAsia="Arial" w:hAnsi="Arial"/>
          <w:sz w:val="17"/>
          <w:szCs w:val="17"/>
          <w:color w:val="auto"/>
        </w:rPr>
      </w:pPr>
    </w:p>
    <w:p>
      <w:pPr>
        <w:ind w:left="1060" w:right="120" w:hanging="424"/>
        <w:spacing w:after="0" w:line="25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Loan commitment fees</w:t>
      </w:r>
      <w:r>
        <w:rPr>
          <w:rFonts w:ascii="Arial" w:cs="Arial" w:eastAsia="Arial" w:hAnsi="Arial"/>
          <w:sz w:val="18"/>
          <w:szCs w:val="18"/>
          <w:color w:val="auto"/>
        </w:rPr>
        <w:t>. Loan commitment fees were US$0.4 million in 2017, which were associated with the 2016 Credit Facility,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those in 2016 were US$1.6 million, which were associated with the 2013 Project Facility. As of December 31, 2017, the available facilities consisted of US$29.9 million in the form of a revolving credit facility under the 2016 Credit Facility compared to available facilities of approximately US$100 million in the form of a revolving credit facility under the 2013 Project Facility prior to the refinancing of the 2013 Project Facility in November 2016.</w:t>
      </w:r>
    </w:p>
    <w:p>
      <w:pPr>
        <w:spacing w:after="0" w:line="93" w:lineRule="exact"/>
        <w:rPr>
          <w:rFonts w:ascii="Arial" w:cs="Arial" w:eastAsia="Arial" w:hAnsi="Arial"/>
          <w:sz w:val="18"/>
          <w:szCs w:val="18"/>
          <w:color w:val="auto"/>
        </w:rPr>
      </w:pPr>
    </w:p>
    <w:p>
      <w:pPr>
        <w:jc w:val="both"/>
        <w:ind w:left="1060" w:right="460" w:hanging="424"/>
        <w:spacing w:after="0" w:line="31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Loss on extinguishment of debt. </w:t>
      </w:r>
      <w:r>
        <w:rPr>
          <w:rFonts w:ascii="Arial" w:cs="Arial" w:eastAsia="Arial" w:hAnsi="Arial"/>
          <w:sz w:val="16"/>
          <w:szCs w:val="16"/>
          <w:color w:val="auto"/>
        </w:rPr>
        <w:t>Loss on extinguishment of debt was US$17.4 million in 2016 and was associated with a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unamortized deferred financing costs of the 2013 Project Facility that were not eligible for capitalization upon refinancing of the 2013 Project Facility with the 2016 Notes and the 2016 Credit Facility. We incurred nil loss on extinguishment of debt in 2017.</w:t>
      </w:r>
    </w:p>
    <w:p>
      <w:pPr>
        <w:spacing w:after="0" w:line="52" w:lineRule="exact"/>
        <w:rPr>
          <w:rFonts w:ascii="Arial" w:cs="Arial" w:eastAsia="Arial" w:hAnsi="Arial"/>
          <w:sz w:val="16"/>
          <w:szCs w:val="16"/>
          <w:color w:val="auto"/>
        </w:rPr>
      </w:pPr>
    </w:p>
    <w:p>
      <w:pPr>
        <w:jc w:val="both"/>
        <w:ind w:left="1060" w:right="60" w:hanging="424"/>
        <w:spacing w:after="0" w:line="31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Costs associated with debt modification. </w:t>
      </w:r>
      <w:r>
        <w:rPr>
          <w:rFonts w:ascii="Arial" w:cs="Arial" w:eastAsia="Arial" w:hAnsi="Arial"/>
          <w:sz w:val="16"/>
          <w:szCs w:val="16"/>
          <w:color w:val="auto"/>
        </w:rPr>
        <w:t>Costs associated with debt modification in 2016 were US$8.1 million, which mainly represented a</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underwriting fee and legal and professional fees incurred for refinancing of the 2013 Project Facility with the 2016 Notes and the 2016 Credit Facility that were not eligible for capitalization. We incurred nil costs associated with debt modification in 2017.</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Loss before Income Tax</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As a result of the foregoing, we had a loss before income tax of US$76.7 million in 2017, compared to a loss of US$242.3 million in 2016.</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Credit (Expense)</w:t>
      </w:r>
    </w:p>
    <w:p>
      <w:pPr>
        <w:spacing w:after="0" w:line="117"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Income tax credit was US$0.2 million in 2017 and was attributable to deferred income tax credit, compared to income tax expense of US$0.5 million in 2016, which was attributable to deferred income tax expense. The effective tax rates in 2017 and 2016 were 0.3% and (0.2)%, respectively. Our effective tax rates in 2017 and 2016 differed from the statutory Macau complementary tax rate of 12% due to the effect of expenses for which no income tax benefit is receivable, the change in valuation allowance and certain of our profits were exempted from the Macau complementary tax.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Studio City International Holdings Limited</w:t>
      </w:r>
    </w:p>
    <w:p>
      <w:pPr>
        <w:spacing w:after="0" w:line="117" w:lineRule="exact"/>
        <w:rPr>
          <w:sz w:val="20"/>
          <w:szCs w:val="20"/>
          <w:color w:val="auto"/>
        </w:rPr>
      </w:pPr>
    </w:p>
    <w:p>
      <w:pPr>
        <w:ind w:left="200" w:right="540" w:firstLine="881"/>
        <w:spacing w:after="0" w:line="277" w:lineRule="auto"/>
        <w:rPr>
          <w:sz w:val="20"/>
          <w:szCs w:val="20"/>
          <w:color w:val="auto"/>
        </w:rPr>
      </w:pPr>
      <w:r>
        <w:rPr>
          <w:rFonts w:ascii="Arial" w:cs="Arial" w:eastAsia="Arial" w:hAnsi="Arial"/>
          <w:sz w:val="18"/>
          <w:szCs w:val="18"/>
          <w:color w:val="auto"/>
        </w:rPr>
        <w:t>As a result of the foregoing, we had a net loss attributable to Studio City International Holdings Limited of US$76.4 million in 2017, compared to a net loss attributable to Studio City International Holdings Limited of US$242.8 million in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jc w:val="both"/>
        <w:ind w:left="200" w:right="200" w:firstLine="881"/>
        <w:spacing w:after="0" w:line="264" w:lineRule="auto"/>
        <w:rPr>
          <w:sz w:val="20"/>
          <w:szCs w:val="20"/>
          <w:color w:val="auto"/>
        </w:rPr>
      </w:pPr>
      <w:r>
        <w:rPr>
          <w:rFonts w:ascii="Arial" w:cs="Arial" w:eastAsia="Arial" w:hAnsi="Arial"/>
          <w:sz w:val="18"/>
          <w:szCs w:val="18"/>
          <w:color w:val="auto"/>
        </w:rPr>
        <w:t>Our earnings before interest, taxes, depreciation, amortization, pre-opening costs, property charges and other, other non-operating income and expenses, or Adjusted EBITDA, were US$314.8 million, US$279.1 million and US$123.0 million for the years ended December 31, 2018, 2017 and 2016, respectively.</w:t>
      </w:r>
    </w:p>
    <w:p>
      <w:pPr>
        <w:spacing w:after="0" w:line="181" w:lineRule="exact"/>
        <w:rPr>
          <w:sz w:val="20"/>
          <w:szCs w:val="20"/>
          <w:color w:val="auto"/>
        </w:rPr>
      </w:pPr>
    </w:p>
    <w:p>
      <w:pPr>
        <w:ind w:left="200" w:right="60" w:firstLine="881"/>
        <w:spacing w:after="0" w:line="271" w:lineRule="auto"/>
        <w:rPr>
          <w:sz w:val="20"/>
          <w:szCs w:val="20"/>
          <w:color w:val="auto"/>
        </w:rPr>
      </w:pPr>
      <w:r>
        <w:rPr>
          <w:rFonts w:ascii="Arial" w:cs="Arial" w:eastAsia="Arial" w:hAnsi="Arial"/>
          <w:sz w:val="17"/>
          <w:szCs w:val="17"/>
          <w:color w:val="auto"/>
        </w:rPr>
        <w:t>We believe that Adjusted EBITDA provides useful information to investors and others in understanding and evaluating our operating results. This non-GAAP financial measure eliminates the impact of items that we do not consider indicative of the performance of our business. While we believe that this non-GAAP financial measure is useful in evaluating our business, this information should be considered as supplemental in nature and is not meant as a substitute for the related financial information prepared in accordance with U.S. GAAP. It should not be considered in isolation or construed as an alternative to net income/loss, cash flow or any other measure of financial performance or as an indicator of our operating performance, liquidity, profitability or cash flows generated by operating, investing or financing activities. This non-GAAP financial measure, which may differ from similarly titled measures used by other companies should not be considered a substitute for, or superior to, the financial information prepared and presented in accordance with U.S. GAAP.</w:t>
      </w:r>
    </w:p>
    <w:p>
      <w:pPr>
        <w:spacing w:after="0" w:line="179"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Reconciliation of Net Loss Attributable to Studio City International Holdings Limited to Adjusted EBITDA</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5"/>
              </w:rPr>
              <w:t>Year Ended December 31,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(2)</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loss attributable to Studio City International Holdings Limited</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(21,598)</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(76,437)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$(242,789)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attributable to participation interest</w:t>
            </w: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48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(20,745)</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(76,437)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(credit)</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544</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(239)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expenses, net</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158,063</w:t>
            </w:r>
          </w:p>
        </w:tc>
        <w:tc>
          <w:tcPr>
            <w:tcW w:w="18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157,126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charges and other</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4,464</w:t>
            </w:r>
          </w:p>
        </w:tc>
        <w:tc>
          <w:tcPr>
            <w:tcW w:w="1880" w:type="dxa"/>
            <w:vAlign w:val="bottom"/>
            <w:gridSpan w:val="3"/>
          </w:tcPr>
          <w:p>
            <w:pPr>
              <w:jc w:val="right"/>
              <w:ind w:right="700"/>
              <w:spacing w:after="0"/>
              <w:rPr>
                <w:sz w:val="20"/>
                <w:szCs w:val="20"/>
                <w:color w:val="auto"/>
              </w:rPr>
            </w:pPr>
            <w:r>
              <w:rPr>
                <w:rFonts w:ascii="Arial" w:cs="Arial" w:eastAsia="Arial" w:hAnsi="Arial"/>
                <w:sz w:val="18"/>
                <w:szCs w:val="18"/>
                <w:color w:val="auto"/>
              </w:rPr>
              <w:t>22,210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167,891</w:t>
            </w:r>
          </w:p>
        </w:tc>
        <w:tc>
          <w:tcPr>
            <w:tcW w:w="18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176,326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Pre-opening costs</w:t>
            </w: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4,550</w:t>
            </w:r>
          </w:p>
        </w:tc>
        <w:tc>
          <w:tcPr>
            <w:tcW w:w="1880" w:type="dxa"/>
            <w:vAlign w:val="bottom"/>
            <w:gridSpan w:val="3"/>
          </w:tcPr>
          <w:p>
            <w:pPr>
              <w:jc w:val="right"/>
              <w:ind w:right="700"/>
              <w:spacing w:after="0"/>
              <w:rPr>
                <w:sz w:val="20"/>
                <w:szCs w:val="20"/>
                <w:color w:val="auto"/>
              </w:rPr>
            </w:pPr>
            <w:r>
              <w:rPr>
                <w:rFonts w:ascii="Arial" w:cs="Arial" w:eastAsia="Arial" w:hAnsi="Arial"/>
                <w:sz w:val="18"/>
                <w:szCs w:val="18"/>
                <w:color w:val="auto"/>
              </w:rPr>
              <w:t>116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314,767</w:t>
            </w:r>
          </w:p>
        </w:tc>
        <w:tc>
          <w:tcPr>
            <w:tcW w:w="18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279,102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$ 122,965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15"/>
                <w:szCs w:val="15"/>
                <w:color w:val="auto"/>
              </w:rPr>
              <w:t>(1)</w:t>
            </w: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55.1%</w:t>
            </w:r>
          </w:p>
        </w:tc>
        <w:tc>
          <w:tcPr>
            <w:tcW w:w="48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51.7%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total revenues.</w:t>
      </w:r>
    </w:p>
    <w:p>
      <w:pPr>
        <w:spacing w:after="0" w:line="130" w:lineRule="exact"/>
        <w:rPr>
          <w:rFonts w:ascii="Arial" w:cs="Arial" w:eastAsia="Arial" w:hAnsi="Arial"/>
          <w:sz w:val="18"/>
          <w:szCs w:val="18"/>
          <w:color w:val="auto"/>
        </w:rPr>
      </w:pPr>
    </w:p>
    <w:p>
      <w:pPr>
        <w:ind w:left="640" w:right="60" w:hanging="436"/>
        <w:spacing w:after="0" w:line="277"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adopted the New Revenue Standard on January 1, 2018 under the modified retrospective method. There was no material impact on our results of operations and Adjusted EBITDA in 2018 as a result of the adoption of the New Revenue Standard.</w:t>
      </w:r>
    </w:p>
    <w:p>
      <w:pPr>
        <w:spacing w:after="0" w:line="170" w:lineRule="exact"/>
        <w:rPr>
          <w:sz w:val="20"/>
          <w:szCs w:val="20"/>
          <w:color w:val="auto"/>
        </w:rPr>
      </w:pPr>
    </w:p>
    <w:p>
      <w:pPr>
        <w:ind w:left="200" w:right="140" w:firstLine="881"/>
        <w:spacing w:after="0" w:line="273" w:lineRule="auto"/>
        <w:rPr>
          <w:sz w:val="20"/>
          <w:szCs w:val="20"/>
          <w:color w:val="auto"/>
        </w:rPr>
      </w:pPr>
      <w:r>
        <w:rPr>
          <w:rFonts w:ascii="Arial" w:cs="Arial" w:eastAsia="Arial" w:hAnsi="Arial"/>
          <w:sz w:val="17"/>
          <w:szCs w:val="17"/>
          <w:color w:val="auto"/>
        </w:rPr>
        <w:t>The Adjusted EBITDA for Studio City in 2018, 2017 and 2016 referred to in Melco Resorts’ 2018 annual report on Form 20-F were US$60.5 million, US$56.5 million and US$33.0 million more, respectively, than the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costs related to the VIP operations at Studio City Casino.</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We prepare our consolidated financial statements in conformity with U.S. GAAP, which requires us to make estimates and assumptions that affect our reporting of, among other things, assets and liabilities, contingent assets and liabilities and revenues and expenses. Certain of our accounting policies require that management apply significant judgment in defining the appropriate assumptions integral to financial estimates. On an ongoing basis, we regularly evaluate these estimates and assumptions based on the most recently available information, our own historical experiences, terms of existing contracts, industry trends and other factors that we believe to be relevant, reasonable and appropriate under the circumstances. Since our financial reporting process inherently relies on the use of estimates and assumptions, our actual results could differ from what we expect. This is especially true with some accounting policies that require higher degrees of judgment than others in their application. We consider the policies discussed below to be critical to an understanding of our consolidated financial statements because they involve the greatest reliance on our management’s judgment.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Allocations and Costs Recognized with the Services and Right to Use Arrangements and the Management and Shared Services Arrangements</w:t>
      </w:r>
    </w:p>
    <w:p>
      <w:pPr>
        <w:spacing w:after="0" w:line="140" w:lineRule="exact"/>
        <w:rPr>
          <w:sz w:val="20"/>
          <w:szCs w:val="20"/>
          <w:color w:val="auto"/>
        </w:rPr>
      </w:pPr>
    </w:p>
    <w:p>
      <w:pPr>
        <w:ind w:left="200" w:right="400" w:firstLine="881"/>
        <w:spacing w:after="0" w:line="342" w:lineRule="auto"/>
        <w:rPr>
          <w:sz w:val="20"/>
          <w:szCs w:val="20"/>
          <w:color w:val="auto"/>
        </w:rPr>
      </w:pPr>
      <w:r>
        <w:rPr>
          <w:rFonts w:ascii="Arial" w:cs="Arial" w:eastAsia="Arial" w:hAnsi="Arial"/>
          <w:sz w:val="16"/>
          <w:szCs w:val="16"/>
          <w:color w:val="auto"/>
        </w:rPr>
        <w:t>Under the Services and Right to Use Arrangements, the Gaming Operator deducts gaming tax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200" w:right="100" w:firstLine="88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ind w:left="200" w:right="280" w:firstLine="881"/>
        <w:spacing w:after="0" w:line="302" w:lineRule="auto"/>
        <w:rPr>
          <w:sz w:val="20"/>
          <w:szCs w:val="20"/>
          <w:color w:val="auto"/>
        </w:rPr>
      </w:pPr>
      <w:r>
        <w:rPr>
          <w:rFonts w:ascii="Arial" w:cs="Arial" w:eastAsia="Arial" w:hAnsi="Arial"/>
          <w:sz w:val="16"/>
          <w:szCs w:val="16"/>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 for the periods presented. See a detailed discussion of services and related charges in Note 14 to the consolidated financial statements included elsewhere in this annual report.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During the construction and development stage of Studio City, direct and incremental costs related to the design and construction, including costs under the construction contracts, duties and tariffs, equipment installation, shipping costs, payroll and payroll benefit 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 Pre-opening costs, consisting of marketing and other expenses related to our new or start-up operations are expensed as incurred.</w:t>
      </w:r>
    </w:p>
    <w:p>
      <w:pPr>
        <w:spacing w:after="0" w:line="193" w:lineRule="exact"/>
        <w:rPr>
          <w:sz w:val="20"/>
          <w:szCs w:val="20"/>
          <w:color w:val="auto"/>
        </w:rPr>
      </w:pPr>
    </w:p>
    <w:p>
      <w:pPr>
        <w:ind w:left="200" w:right="280" w:firstLine="881"/>
        <w:spacing w:after="0" w:line="308" w:lineRule="auto"/>
        <w:rPr>
          <w:sz w:val="20"/>
          <w:szCs w:val="20"/>
          <w:color w:val="auto"/>
        </w:rPr>
      </w:pPr>
      <w:r>
        <w:rPr>
          <w:rFonts w:ascii="Arial" w:cs="Arial" w:eastAsia="Arial" w:hAnsi="Arial"/>
          <w:sz w:val="17"/>
          <w:szCs w:val="17"/>
          <w:color w:val="auto"/>
        </w:rPr>
        <w:t>We recognize depreciation and amortization expense related to capitalized construction costs and other property and equipment from the time each asset is placed in service. This may occur at different stages as Studio City’s facilities are completed and opened.</w:t>
      </w:r>
    </w:p>
    <w:p>
      <w:pPr>
        <w:spacing w:after="0" w:line="147" w:lineRule="exact"/>
        <w:rPr>
          <w:sz w:val="20"/>
          <w:szCs w:val="20"/>
          <w:color w:val="auto"/>
        </w:rPr>
      </w:pPr>
    </w:p>
    <w:p>
      <w:pPr>
        <w:jc w:val="both"/>
        <w:ind w:left="200" w:right="180" w:firstLine="881"/>
        <w:spacing w:after="0" w:line="286" w:lineRule="auto"/>
        <w:rPr>
          <w:sz w:val="20"/>
          <w:szCs w:val="20"/>
          <w:color w:val="auto"/>
        </w:rPr>
      </w:pPr>
      <w:r>
        <w:rPr>
          <w:rFonts w:ascii="Arial" w:cs="Arial" w:eastAsia="Arial" w:hAnsi="Arial"/>
          <w:sz w:val="17"/>
          <w:szCs w:val="17"/>
          <w:color w:val="auto"/>
        </w:rPr>
        <w:t>Property and equipment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We review periodically the remaining estimated useful lives of the property and equipment.</w:t>
      </w:r>
    </w:p>
    <w:p>
      <w:pPr>
        <w:spacing w:after="0" w:line="166"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Our land use right in Macau under the land concession contract for Studio City is being amortized over the estimated term of the land use right on a straight-line basis. The estimated term of the land use right under the land concession contract is based on factors including the business and operating environment of the gaming industry in Macau, laws and regulations in Macau, and our development plans. The estimated term of the land use right is periodically reviewed.</w:t>
      </w:r>
    </w:p>
    <w:p>
      <w:pPr>
        <w:spacing w:after="0" w:line="187" w:lineRule="exact"/>
        <w:rPr>
          <w:sz w:val="20"/>
          <w:szCs w:val="20"/>
          <w:color w:val="auto"/>
        </w:rPr>
      </w:pPr>
    </w:p>
    <w:p>
      <w:pPr>
        <w:ind w:left="200" w:right="220" w:firstLine="881"/>
        <w:spacing w:after="0" w:line="342" w:lineRule="auto"/>
        <w:rPr>
          <w:sz w:val="20"/>
          <w:szCs w:val="20"/>
          <w:color w:val="auto"/>
        </w:rPr>
      </w:pPr>
      <w:r>
        <w:rPr>
          <w:rFonts w:ascii="Arial" w:cs="Arial" w:eastAsia="Arial" w:hAnsi="Arial"/>
          <w:sz w:val="16"/>
          <w:szCs w:val="16"/>
          <w:color w:val="auto"/>
        </w:rPr>
        <w:t>We charge costs of repairs and maintenance to expense when incurred. The cost and accumulated depreciation of property and equipment retired or otherwise disposed of are eliminated from the respective accounts and any resulting gain or loss is included in operating income or loss.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We also review our long-lived assets with finite lives to be held and used for impairment whenever indicators of impairment exist. If an indicator of impairment exists, we then compare the estimated future cash flows of the asset, on an undiscounted basis, to the carrying value of the asset.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we then record an impairment charge based on the fair value of the asset group, typically measured using a discounted cash flow model. If an asset is still under development, future cash flows include remaining construction costs. We record all recognized impairment losses, whether for assets to be disposed of or assets to be held and used as operating expenses.</w:t>
      </w:r>
    </w:p>
    <w:p>
      <w:pPr>
        <w:spacing w:after="0" w:line="178" w:lineRule="exact"/>
        <w:rPr>
          <w:sz w:val="20"/>
          <w:szCs w:val="20"/>
          <w:color w:val="auto"/>
        </w:rPr>
      </w:pPr>
    </w:p>
    <w:p>
      <w:pPr>
        <w:ind w:left="200" w:right="940" w:firstLine="881"/>
        <w:spacing w:after="0" w:line="277" w:lineRule="auto"/>
        <w:rPr>
          <w:sz w:val="20"/>
          <w:szCs w:val="20"/>
          <w:color w:val="auto"/>
        </w:rPr>
      </w:pPr>
      <w:r>
        <w:rPr>
          <w:rFonts w:ascii="Arial" w:cs="Arial" w:eastAsia="Arial" w:hAnsi="Arial"/>
          <w:sz w:val="18"/>
          <w:szCs w:val="18"/>
          <w:color w:val="auto"/>
        </w:rPr>
        <w:t>We did not recognize any impairment loss in 2018 and 2016. We recognized impairment loss of US$19.6 million mainly due to reconfigurations and renovations at Studio City in 2017.</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300" w:firstLine="881"/>
        <w:spacing w:after="0" w:line="342" w:lineRule="auto"/>
        <w:rPr>
          <w:sz w:val="20"/>
          <w:szCs w:val="20"/>
          <w:color w:val="auto"/>
        </w:rPr>
      </w:pPr>
      <w:r>
        <w:rPr>
          <w:rFonts w:ascii="Arial" w:cs="Arial" w:eastAsia="Arial" w:hAnsi="Arial"/>
          <w:sz w:val="16"/>
          <w:szCs w:val="16"/>
          <w:color w:val="auto"/>
        </w:rPr>
        <w:t>On January 1, 2018, we adopted the New Revenue Standard using the modified retrospective method applying to those contracts not yet completed as of January 1, 2018. The accounting policies for revenue recognition as a result of the New Revenue Standard are as follows.</w:t>
      </w:r>
    </w:p>
    <w:p>
      <w:pPr>
        <w:spacing w:after="0" w:line="124" w:lineRule="exact"/>
        <w:rPr>
          <w:sz w:val="20"/>
          <w:szCs w:val="20"/>
          <w:color w:val="auto"/>
        </w:rPr>
      </w:pPr>
    </w:p>
    <w:p>
      <w:pPr>
        <w:ind w:left="200" w:right="920" w:firstLine="881"/>
        <w:spacing w:after="0" w:line="277" w:lineRule="auto"/>
        <w:rPr>
          <w:sz w:val="20"/>
          <w:szCs w:val="20"/>
          <w:color w:val="auto"/>
        </w:rPr>
      </w:pPr>
      <w:r>
        <w:rPr>
          <w:rFonts w:ascii="Arial" w:cs="Arial" w:eastAsia="Arial" w:hAnsi="Arial"/>
          <w:sz w:val="18"/>
          <w:szCs w:val="18"/>
          <w:color w:val="auto"/>
        </w:rPr>
        <w:t>Our revenues from contracts with customers consist of provision of gaming related services, sales of rooms, food and beverage, entertainment, retail and other goods and services.</w:t>
      </w:r>
    </w:p>
    <w:p>
      <w:pPr>
        <w:spacing w:after="0" w:line="170"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Revenues from provision of gaming related services represent revenues arising from the provision of facilities for the operations of Studio City Casino and services related thereto pursuant to the Services and Right to Use Arrangements, under which the Gaming Operator operates the Studio City Casino. The Gaming Operator deducts gaming tax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We recognize the residual amount as revenues from provision of gaming related services. We have concluded that we are not the controlling entity to the arrangements and recognize the revenues from provision of gaming related services on a net basis.</w:t>
      </w:r>
    </w:p>
    <w:p>
      <w:pPr>
        <w:spacing w:after="0" w:line="189" w:lineRule="exact"/>
        <w:rPr>
          <w:sz w:val="20"/>
          <w:szCs w:val="20"/>
          <w:color w:val="auto"/>
        </w:rPr>
      </w:pPr>
    </w:p>
    <w:p>
      <w:pPr>
        <w:ind w:left="200" w:right="200" w:firstLine="881"/>
        <w:spacing w:after="0" w:line="273" w:lineRule="auto"/>
        <w:rPr>
          <w:sz w:val="20"/>
          <w:szCs w:val="20"/>
          <w:color w:val="auto"/>
        </w:rPr>
      </w:pPr>
      <w:r>
        <w:rPr>
          <w:rFonts w:ascii="Arial" w:cs="Arial" w:eastAsia="Arial" w:hAnsi="Arial"/>
          <w:sz w:val="17"/>
          <w:szCs w:val="17"/>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us are excluded from revenues. We record advance deposits on rooms and advance ticket sales as customer deposits until services are provided to the customers. Revenues from contracts with multiple goods or services provided by us are allocated to each good or service based on its relative standalone selling price.</w:t>
      </w:r>
    </w:p>
    <w:p>
      <w:pPr>
        <w:spacing w:after="0" w:line="178"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Minimum operating and right to use fees, representing lease revenues, adjusted for contractual base fees and operating fee escalations, are included in mall revenues and are recognized over the terms of the related agreements on a straight-line basis.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Upon the adoption of the New Revenue Standard, we recognized the cumulative effect of adopting the New Revenue Standard as an adjustment to the opening balance of accumulated losses. Amounts for the periods beginning on or after January 1, 2018 are presented under the New Revenue Standard, while prior period amounts are not adjusted and continue to be reported in accordance with the previous basis. The major changes as a result of the adoption of the New Revenue Standard are as follows:</w:t>
      </w:r>
    </w:p>
    <w:p>
      <w:pPr>
        <w:spacing w:after="0" w:line="92" w:lineRule="exact"/>
        <w:rPr>
          <w:sz w:val="20"/>
          <w:szCs w:val="20"/>
          <w:color w:val="auto"/>
        </w:rPr>
      </w:pPr>
    </w:p>
    <w:p>
      <w:pPr>
        <w:ind w:left="1060" w:right="60" w:hanging="424"/>
        <w:spacing w:after="0" w:line="302"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Complimentary services provided to Studio City Casino’s gaming patrons are deducted from the gross gaming revenues and are measured based on stand-alone selling prices under the New Revenue Standard, replacing the previously used retail values. The non-gaming revenues associated with the provision of these complimentary services are measured on the same basis. The change impacts the amount of revenues from the provision of gaming related services received by us with corresponding changes to the non-gaming revenues.</w:t>
      </w:r>
    </w:p>
    <w:p>
      <w:pPr>
        <w:spacing w:after="0" w:line="59" w:lineRule="exact"/>
        <w:rPr>
          <w:rFonts w:ascii="Arial" w:cs="Arial" w:eastAsia="Arial" w:hAnsi="Arial"/>
          <w:sz w:val="16"/>
          <w:szCs w:val="16"/>
          <w:color w:val="auto"/>
        </w:rPr>
      </w:pPr>
    </w:p>
    <w:p>
      <w:pPr>
        <w:ind w:left="1060" w:hanging="424"/>
        <w:spacing w:after="0" w:line="293"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New Revenue Standard changes the measurement basis for the non-discretionary incentives (including the loyalty program) provided to Studio City Casino’s gaming patrons, as administered by the Gaming Operator, from previously used estimated costs to standalone selling prices. The non-discretionary incentives are deducted from the gross gaming revenues by the Gaming Operator and impact the amount of revenues from provision of gaming related services received by us. Similarly, the redemption of non-discretionary incentives for non-gaming services provided by us are measured on the same basis. At the adoption date, we recognized an increase to the opening balance of accumulated losses of US$3.3 million with a corresponding decrease in amounts due from affiliated companies.</w:t>
      </w:r>
    </w:p>
    <w:p>
      <w:pPr>
        <w:spacing w:after="0" w:line="165"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There was no material impact on our financial position as of December 31, 2018 and our results of operations and cash flows for 2018 as a result of the adoption of the New Revenue Standard.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We recognize deferred income taxes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2018 and 2017, we recorded valuation allowances of US$58.3 million and US$59.5 million, respectively, as management believes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Changes in Accounting Standards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See note 2 to the consolidated financial statements included elsewhere in this report for discussion of recent changes in accounting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standards.</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left="200" w:firstLine="881"/>
        <w:spacing w:after="0" w:line="286" w:lineRule="auto"/>
        <w:rPr>
          <w:sz w:val="20"/>
          <w:szCs w:val="20"/>
          <w:color w:val="auto"/>
        </w:rPr>
      </w:pPr>
      <w:r>
        <w:rPr>
          <w:rFonts w:ascii="Arial" w:cs="Arial" w:eastAsia="Arial" w:hAnsi="Arial"/>
          <w:sz w:val="17"/>
          <w:szCs w:val="17"/>
          <w:color w:val="auto"/>
        </w:rPr>
        <w:t>Up through the opening of Studio City, our principal sources of liquidity included shareholder equity contributions, loan facilities and senior notes facilities to meet our project development needs. Following the opening of Studio City in October 2015, we relied on, and intend to continue to rely on, our cash generated from our operations and our debt and equity financings to meet our financing or refinancing needs.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881"/>
        <w:spacing w:after="0" w:line="264" w:lineRule="auto"/>
        <w:rPr>
          <w:sz w:val="20"/>
          <w:szCs w:val="20"/>
          <w:color w:val="auto"/>
        </w:rPr>
      </w:pPr>
      <w:r>
        <w:rPr>
          <w:rFonts w:ascii="Arial" w:cs="Arial" w:eastAsia="Arial" w:hAnsi="Arial"/>
          <w:sz w:val="18"/>
          <w:szCs w:val="18"/>
          <w:color w:val="auto"/>
        </w:rPr>
        <w:t>As of December 31, 2018, we recorded US$345.9 million in cash and cash equivalents. Further, the HK$233.0 million (equivalent to approximately US$29.8 million) revolving credit facility under the 2016 Credit Facility is available for future drawdown as of December 31, 2018, subject to certain conditions precedent.</w:t>
      </w:r>
    </w:p>
    <w:p>
      <w:pPr>
        <w:spacing w:after="0" w:line="18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As of December 31, 2018, restricted cash of US$31.7 million primarily represented the unspent cash from the capital injection for the remaining project for Studio City, which was restricted only for the initial development costs and other project costs of the remaining project of Studio City, and certain bank account balances required to be maintained in accordance with the 2012 Notes and the 2016 Notes to serve the interest repayment obligations.</w:t>
      </w:r>
    </w:p>
    <w:p>
      <w:pPr>
        <w:spacing w:after="0" w:line="187" w:lineRule="exact"/>
        <w:rPr>
          <w:sz w:val="20"/>
          <w:szCs w:val="20"/>
          <w:color w:val="auto"/>
        </w:rPr>
      </w:pPr>
    </w:p>
    <w:p>
      <w:pPr>
        <w:ind w:left="200" w:right="220" w:firstLine="881"/>
        <w:spacing w:after="0" w:line="273" w:lineRule="auto"/>
        <w:rPr>
          <w:sz w:val="20"/>
          <w:szCs w:val="20"/>
          <w:color w:val="auto"/>
        </w:rPr>
      </w:pPr>
      <w:r>
        <w:rPr>
          <w:rFonts w:ascii="Arial" w:cs="Arial" w:eastAsia="Arial" w:hAnsi="Arial"/>
          <w:sz w:val="17"/>
          <w:szCs w:val="17"/>
          <w:color w:val="auto"/>
        </w:rPr>
        <w:t>We have been able to meet our working capital needs, and we believe that our current available cash and cash equivalents, bank deposits, funds available for drawdown under the 2016 Credit Facility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for our existing business and/or remaining project, or at all” for more information.</w:t>
      </w:r>
    </w:p>
    <w:p>
      <w:pPr>
        <w:spacing w:after="0" w:line="178"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200" w:right="180" w:firstLine="881"/>
        <w:spacing w:after="0" w:line="297" w:lineRule="auto"/>
        <w:rPr>
          <w:sz w:val="20"/>
          <w:szCs w:val="20"/>
          <w:color w:val="auto"/>
        </w:rPr>
      </w:pPr>
      <w:r>
        <w:rPr>
          <w:rFonts w:ascii="Arial" w:cs="Arial" w:eastAsia="Arial" w:hAnsi="Arial"/>
          <w:sz w:val="16"/>
          <w:szCs w:val="16"/>
          <w:color w:val="auto"/>
        </w:rPr>
        <w:t xml:space="preserve">The following table sets forth a summary of our cash flows for the years presented. The consolidated cash flows data for the year ended December 31, 2017 and 2016 have been adjusted to reflect the retrospective adoption on January 1, 2018 of Accounting Standards Update 2016-18 </w:t>
      </w:r>
      <w:r>
        <w:rPr>
          <w:rFonts w:ascii="Arial" w:cs="Arial" w:eastAsia="Arial" w:hAnsi="Arial"/>
          <w:sz w:val="16"/>
          <w:szCs w:val="16"/>
          <w:i w:val="1"/>
          <w:iCs w:val="1"/>
          <w:color w:val="auto"/>
        </w:rPr>
        <w:t>Statement of Cash Flows (Topic 230): Restricted Cash (A Consensus of the FASB Emerging Issues Task Force</w:t>
      </w:r>
      <w:r>
        <w:rPr>
          <w:rFonts w:ascii="Arial" w:cs="Arial" w:eastAsia="Arial" w:hAnsi="Arial"/>
          <w:sz w:val="16"/>
          <w:szCs w:val="16"/>
          <w:color w:val="auto"/>
        </w:rPr>
        <w:t>). As a result of the adoption,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cash is included with cash and cash equivalents in the beginning and ending balances, and the changes in restricted cash that were previously reported within net cash used in investing activities in the consolidated statements of cash flows have been eliminated.</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$ 139,518</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$ 68,313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(147,515)</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(55,345)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5,152</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Effect of foreign exchange on cash, cash equivalents and restricted cash</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(2,519)</w:t>
            </w:r>
          </w:p>
        </w:tc>
        <w:tc>
          <w:tcPr>
            <w:tcW w:w="4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(5,364)</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11,683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382,929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371,246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586,163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$ 377,565</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382,929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371,246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1050"/>
              <w:spacing w:after="0"/>
              <w:rPr>
                <w:sz w:val="20"/>
                <w:szCs w:val="20"/>
                <w:color w:val="auto"/>
              </w:rPr>
            </w:pPr>
            <w:r>
              <w:rPr>
                <w:rFonts w:ascii="Arial" w:cs="Arial" w:eastAsia="Arial" w:hAnsi="Arial"/>
                <w:sz w:val="18"/>
                <w:szCs w:val="18"/>
                <w:color w:val="auto"/>
              </w:rPr>
              <w:t>90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Operating cash flows are generally affected by changes in operating income and certain operating assets and liabilities, including the receivables related to the provision of gaming related services and hotel operations, as well as the non-gaming business, including food and beverage, entertainment, mall, retail and other, which are conducted primarily on a cash basis.</w:t>
      </w:r>
    </w:p>
    <w:p>
      <w:pPr>
        <w:spacing w:after="0" w:line="18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We recorded net cash provided by operating activities of US$139.5 million in 2018, as compared to net cash provided by operating activities of US$68.3 million in 2017, primarily due to the higher contribution of cash generated from the improving operations of Studio City and decreased working capital for operations.</w:t>
      </w:r>
    </w:p>
    <w:p>
      <w:pPr>
        <w:spacing w:after="0" w:line="181" w:lineRule="exact"/>
        <w:rPr>
          <w:sz w:val="20"/>
          <w:szCs w:val="20"/>
          <w:color w:val="auto"/>
        </w:rPr>
      </w:pPr>
    </w:p>
    <w:p>
      <w:pPr>
        <w:jc w:val="both"/>
        <w:ind w:left="200" w:right="100" w:firstLine="881"/>
        <w:spacing w:after="0" w:line="264" w:lineRule="auto"/>
        <w:rPr>
          <w:sz w:val="20"/>
          <w:szCs w:val="20"/>
          <w:color w:val="auto"/>
        </w:rPr>
      </w:pPr>
      <w:r>
        <w:rPr>
          <w:rFonts w:ascii="Arial" w:cs="Arial" w:eastAsia="Arial" w:hAnsi="Arial"/>
          <w:sz w:val="18"/>
          <w:szCs w:val="18"/>
          <w:color w:val="auto"/>
        </w:rPr>
        <w:t>We recorded net cash provided by operating activities of US$68.3 million in 2017, as compared to net cash provided by operating activities of US$14.6 million in 2016, primarily due to the higher contribution of cash generated from the improving operations of Studio City, partially offset by increased working capital for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200" w:right="100" w:firstLine="881"/>
        <w:spacing w:after="0" w:line="277" w:lineRule="auto"/>
        <w:rPr>
          <w:sz w:val="20"/>
          <w:szCs w:val="20"/>
          <w:color w:val="auto"/>
        </w:rPr>
      </w:pPr>
      <w:r>
        <w:rPr>
          <w:rFonts w:ascii="Arial" w:cs="Arial" w:eastAsia="Arial" w:hAnsi="Arial"/>
          <w:sz w:val="18"/>
          <w:szCs w:val="18"/>
          <w:color w:val="auto"/>
        </w:rPr>
        <w:t>Net cash used in investing activities was US$147.5 million in 2018, as compared to net cash used in investing activities of US$55.3 million in 2017. Net cash used in investing activities was US$106.7 million in 2016.</w:t>
      </w:r>
    </w:p>
    <w:p>
      <w:pPr>
        <w:spacing w:after="0" w:line="170" w:lineRule="exact"/>
        <w:rPr>
          <w:sz w:val="20"/>
          <w:szCs w:val="20"/>
          <w:color w:val="auto"/>
        </w:rPr>
      </w:pPr>
    </w:p>
    <w:p>
      <w:pPr>
        <w:ind w:left="200" w:right="20" w:firstLine="881"/>
        <w:spacing w:after="0" w:line="312" w:lineRule="auto"/>
        <w:rPr>
          <w:sz w:val="20"/>
          <w:szCs w:val="20"/>
          <w:color w:val="auto"/>
        </w:rPr>
      </w:pPr>
      <w:r>
        <w:rPr>
          <w:rFonts w:ascii="Arial" w:cs="Arial" w:eastAsia="Arial" w:hAnsi="Arial"/>
          <w:sz w:val="16"/>
          <w:szCs w:val="16"/>
          <w:color w:val="auto"/>
        </w:rPr>
        <w:t>Net cash used in investing activities amounted to US$147.5 million in 2018, primarily attributable to (i) capital expenditure payments of US$151.3 million and (ii) funds to an affiliated company of US$13.4 million, partially offset by (iii) net withdrawal of bank deposits with original maturities over three months of US$9.9 million and (iv) proceeds from the sale of property and equipment and other long-term assets of US$9.2 million.</w:t>
      </w:r>
    </w:p>
    <w:p>
      <w:pPr>
        <w:spacing w:after="0" w:line="147" w:lineRule="exact"/>
        <w:rPr>
          <w:sz w:val="20"/>
          <w:szCs w:val="20"/>
          <w:color w:val="auto"/>
        </w:rPr>
      </w:pPr>
    </w:p>
    <w:p>
      <w:pPr>
        <w:jc w:val="both"/>
        <w:ind w:left="200" w:right="380" w:firstLine="881"/>
        <w:spacing w:after="0" w:line="264" w:lineRule="auto"/>
        <w:rPr>
          <w:sz w:val="20"/>
          <w:szCs w:val="20"/>
          <w:color w:val="auto"/>
        </w:rPr>
      </w:pPr>
      <w:r>
        <w:rPr>
          <w:rFonts w:ascii="Arial" w:cs="Arial" w:eastAsia="Arial" w:hAnsi="Arial"/>
          <w:sz w:val="18"/>
          <w:szCs w:val="18"/>
          <w:color w:val="auto"/>
        </w:rPr>
        <w:t>Net cash used in investing activities amounted to US$55.3 million in 2017, primarily attributable to (i) capital expenditure payments of US$42.4 million and (ii) the placement of bank deposits with original maturities over three months of US$9.9 million and (iii) funds to an affiliated company of US$2.8 million.</w:t>
      </w:r>
    </w:p>
    <w:p>
      <w:pPr>
        <w:spacing w:after="0" w:line="181" w:lineRule="exact"/>
        <w:rPr>
          <w:sz w:val="20"/>
          <w:szCs w:val="20"/>
          <w:color w:val="auto"/>
        </w:rPr>
      </w:pPr>
    </w:p>
    <w:p>
      <w:pPr>
        <w:jc w:val="both"/>
        <w:ind w:left="200" w:right="220" w:firstLine="881"/>
        <w:spacing w:after="0" w:line="264" w:lineRule="auto"/>
        <w:rPr>
          <w:sz w:val="20"/>
          <w:szCs w:val="20"/>
          <w:color w:val="auto"/>
        </w:rPr>
      </w:pPr>
      <w:r>
        <w:rPr>
          <w:rFonts w:ascii="Arial" w:cs="Arial" w:eastAsia="Arial" w:hAnsi="Arial"/>
          <w:sz w:val="18"/>
          <w:szCs w:val="18"/>
          <w:color w:val="auto"/>
        </w:rPr>
        <w:t>Net cash used in investing activities amounted to US$106.7 million in 2016, primarily attributable to (i) capital expenditure payments of US$111.4 million and (ii) funds to an affiliated company of US$8.5 million, partially offset by (iii) proceeds from sale of property and equipment and other long-term assets of US$13.5 million.</w:t>
      </w:r>
    </w:p>
    <w:p>
      <w:pPr>
        <w:spacing w:after="0" w:line="181" w:lineRule="exact"/>
        <w:rPr>
          <w:sz w:val="20"/>
          <w:szCs w:val="20"/>
          <w:color w:val="auto"/>
        </w:rPr>
      </w:pPr>
    </w:p>
    <w:p>
      <w:pPr>
        <w:ind w:left="200" w:right="220" w:firstLine="881"/>
        <w:spacing w:after="0" w:line="276" w:lineRule="auto"/>
        <w:rPr>
          <w:sz w:val="20"/>
          <w:szCs w:val="20"/>
          <w:color w:val="auto"/>
        </w:rPr>
      </w:pPr>
      <w:r>
        <w:rPr>
          <w:rFonts w:ascii="Arial" w:cs="Arial" w:eastAsia="Arial" w:hAnsi="Arial"/>
          <w:sz w:val="17"/>
          <w:szCs w:val="17"/>
          <w:color w:val="auto"/>
        </w:rPr>
        <w:t>Our capital expenditures on an accrual basis amounted to US$67.0 million, US$35.7 million and US$59.3 million for the years ended December 31, 2018, 2017 and 2016, respectively, primarily for the construction, development and enhancement of Studio City. We will continue to make capital expenditures to meet the expected growth of our business and expect that cash generated from our operating and financing activities will meet our capital expenditure needs in the foreseeable future. We expect to incur significant capital expenditures for the development of the remaining land of Studio City. See “— Other Financing and Liquidity Matters” below for more information.</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Net cash provided by financing activities was US$5.2 million in 2018, as compared to cash used in a financing activity of US$1.3 million in 2017. Cash used in financing activities was US$122.8 million in 2016.</w:t>
      </w:r>
    </w:p>
    <w:p>
      <w:pPr>
        <w:spacing w:after="0" w:line="170"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Net cash provided by financing activities was US$5.2 million in 2018, attributable to the net proceeds from our initial public offering of ADSs of US$405.2 million, partially offset by the early partial redemption of the 2012 Notes of US$400.0 million.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Cash used in a financing activity was US$1.3 million in 2017, attributable to the payment of debt issuance costs associated with the 2016 Notes and the 2016 Credit Facility.</w:t>
      </w:r>
    </w:p>
    <w:p>
      <w:pPr>
        <w:spacing w:after="0" w:line="170"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Cash used in financing activities was US$122.8 million in 2016, due to (i) the scheduled repayment in September 2016 and subsequently the early repayment in full of the 2013 Project Facility (other than HK$1.0 million rolled over into the term loan facility under the 2016 Credit Facility) of US$1,295.6 million net of proceeds of US$1,200.0 million from the issuance of the 2016 Notes, and (ii) the payments of debt issuance costs primarily associated with the 2016 Notes and the 2016 Credit Facility as well as payments of legal and professional fees for amending the 2013 Project Facility loan documentation of US$27.2 million.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200" w:right="520" w:firstLine="881"/>
        <w:spacing w:after="0" w:line="277" w:lineRule="auto"/>
        <w:rPr>
          <w:sz w:val="20"/>
          <w:szCs w:val="20"/>
          <w:color w:val="auto"/>
        </w:rPr>
      </w:pPr>
      <w:r>
        <w:rPr>
          <w:rFonts w:ascii="Arial" w:cs="Arial" w:eastAsia="Arial" w:hAnsi="Arial"/>
          <w:sz w:val="18"/>
          <w:szCs w:val="18"/>
          <w:color w:val="auto"/>
        </w:rPr>
        <w:t>We enter into loan facilities and issue notes through our subsidiaries. The following table sets forth our gross indebtedness, before the reduction of debt issuance costs, as of December 31, 2018:</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Issuer</w:t>
            </w:r>
          </w:p>
        </w:tc>
        <w:tc>
          <w:tcPr>
            <w:tcW w:w="14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4360" w:type="dxa"/>
            <w:vAlign w:val="bottom"/>
            <w:gridSpan w:val="3"/>
            <w:shd w:val="clear" w:color="auto" w:fill="CCEEFF"/>
          </w:tcPr>
          <w:p>
            <w:pPr>
              <w:ind w:left="2000"/>
              <w:spacing w:after="0"/>
              <w:rPr>
                <w:sz w:val="20"/>
                <w:szCs w:val="20"/>
                <w:color w:val="auto"/>
              </w:rPr>
            </w:pPr>
            <w:r>
              <w:rPr>
                <w:rFonts w:ascii="Arial" w:cs="Arial" w:eastAsia="Arial" w:hAnsi="Arial"/>
                <w:sz w:val="18"/>
                <w:szCs w:val="18"/>
                <w:color w:val="auto"/>
              </w:rPr>
              <w:t>Studio City Finance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306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4360" w:type="dxa"/>
            <w:vAlign w:val="bottom"/>
            <w:gridSpan w:val="3"/>
          </w:tcPr>
          <w:p>
            <w:pPr>
              <w:ind w:left="2000"/>
              <w:spacing w:after="0"/>
              <w:rPr>
                <w:sz w:val="20"/>
                <w:szCs w:val="20"/>
                <w:color w:val="auto"/>
              </w:rPr>
            </w:pPr>
            <w:r>
              <w:rPr>
                <w:rFonts w:ascii="Arial" w:cs="Arial" w:eastAsia="Arial" w:hAnsi="Arial"/>
                <w:sz w:val="18"/>
                <w:szCs w:val="18"/>
                <w:color w:val="auto"/>
              </w:rPr>
              <w:t>Studio City Company</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5.875% Notes</w:t>
            </w:r>
          </w:p>
        </w:tc>
        <w:tc>
          <w:tcPr>
            <w:tcW w:w="4360" w:type="dxa"/>
            <w:vAlign w:val="bottom"/>
            <w:gridSpan w:val="3"/>
            <w:shd w:val="clear" w:color="auto" w:fill="CCEEFF"/>
          </w:tcPr>
          <w:p>
            <w:pPr>
              <w:ind w:left="2000"/>
              <w:spacing w:after="0"/>
              <w:rPr>
                <w:sz w:val="20"/>
                <w:szCs w:val="20"/>
                <w:color w:val="auto"/>
              </w:rPr>
            </w:pPr>
            <w:r>
              <w:rPr>
                <w:rFonts w:ascii="Arial" w:cs="Arial" w:eastAsia="Arial" w:hAnsi="Arial"/>
                <w:sz w:val="18"/>
                <w:szCs w:val="18"/>
                <w:color w:val="auto"/>
              </w:rPr>
              <w:t>Studio City Company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3060" w:type="dxa"/>
            <w:vAlign w:val="bottom"/>
          </w:tcPr>
          <w:p>
            <w:pPr>
              <w:ind w:left="20"/>
              <w:spacing w:after="0"/>
              <w:rPr>
                <w:sz w:val="20"/>
                <w:szCs w:val="20"/>
                <w:color w:val="auto"/>
              </w:rPr>
            </w:pPr>
            <w:r>
              <w:rPr>
                <w:rFonts w:ascii="Arial" w:cs="Arial" w:eastAsia="Arial" w:hAnsi="Arial"/>
                <w:sz w:val="18"/>
                <w:szCs w:val="18"/>
                <w:color w:val="auto"/>
              </w:rPr>
              <w:t>7.250% Notes</w:t>
            </w:r>
          </w:p>
        </w:tc>
        <w:tc>
          <w:tcPr>
            <w:tcW w:w="4360" w:type="dxa"/>
            <w:vAlign w:val="bottom"/>
            <w:gridSpan w:val="3"/>
          </w:tcPr>
          <w:p>
            <w:pPr>
              <w:ind w:left="2000"/>
              <w:spacing w:after="0"/>
              <w:rPr>
                <w:sz w:val="20"/>
                <w:szCs w:val="20"/>
                <w:color w:val="auto"/>
              </w:rPr>
            </w:pPr>
            <w:r>
              <w:rPr>
                <w:rFonts w:ascii="Arial" w:cs="Arial" w:eastAsia="Arial" w:hAnsi="Arial"/>
                <w:sz w:val="18"/>
                <w:szCs w:val="18"/>
                <w:color w:val="auto"/>
              </w:rPr>
              <w:t>Studio City Company</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30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Major changes in our indebtedness during the year ended and subsequent to December 31, 2018 are summarized below.</w:t>
      </w:r>
    </w:p>
    <w:p>
      <w:pPr>
        <w:spacing w:after="0" w:line="225"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On December 31, 2018, Studio City Finance partially redeemed the 2012 Notes in an aggregate principal amount of US$400.0 million, together with accrued interest.</w:t>
      </w:r>
    </w:p>
    <w:p>
      <w:pPr>
        <w:spacing w:after="0" w:line="170" w:lineRule="exact"/>
        <w:rPr>
          <w:sz w:val="20"/>
          <w:szCs w:val="20"/>
          <w:color w:val="auto"/>
        </w:rPr>
      </w:pPr>
    </w:p>
    <w:p>
      <w:pPr>
        <w:ind w:left="200" w:right="100" w:firstLine="881"/>
        <w:spacing w:after="0" w:line="297" w:lineRule="auto"/>
        <w:rPr>
          <w:sz w:val="20"/>
          <w:szCs w:val="20"/>
          <w:color w:val="auto"/>
        </w:rPr>
      </w:pPr>
      <w:r>
        <w:rPr>
          <w:rFonts w:ascii="Arial" w:cs="Arial" w:eastAsia="Arial" w:hAnsi="Arial"/>
          <w:sz w:val="16"/>
          <w:szCs w:val="16"/>
          <w:color w:val="auto"/>
        </w:rPr>
        <w:t>On January 22, 2019, Studio City Finance commenced the 2012 Notes Tender Offer. The 2012 Notes Tender Offer expired on February 4, 2019. The aggregate principal amount of valid tenders received and not validly withdrawn under the 2012 Notes Tender Offer amounted to US$216.5 million. On February 11, 2019, Studio City Finance issued US$600.0 million in aggregate principal amount of the 2019 Notes, the net proceeds of which were used to pay the tendering noteholders from the 2012 Notes Tender Offer and, on March 13, 2019, to redeem, together with accrued interest, all remaining outstanding amounts of the 2012 Notes, which amounted to US$208.5 million in aggregate principal amount.</w:t>
      </w:r>
    </w:p>
    <w:p>
      <w:pPr>
        <w:spacing w:after="0" w:line="158"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For further details of the above indebtedness, see note 7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“Item 5. Operating and Financial Review and Prospects — F. Tabular Disclosure of Contractual Obligations” for details of the maturity profile of debt and “Item 11. Quantitative and Qualitative Disclosures about Market Risk” for further understanding of our hedging of foreign exchange risk exposure.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ind w:left="200" w:right="160" w:firstLine="881"/>
        <w:spacing w:after="0" w:line="286" w:lineRule="auto"/>
        <w:rPr>
          <w:sz w:val="20"/>
          <w:szCs w:val="20"/>
          <w:color w:val="auto"/>
        </w:rPr>
      </w:pPr>
      <w:r>
        <w:rPr>
          <w:rFonts w:ascii="Arial" w:cs="Arial" w:eastAsia="Arial" w:hAnsi="Arial"/>
          <w:sz w:val="17"/>
          <w:szCs w:val="17"/>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the remaining land of Studio City.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left="200" w:right="320" w:firstLine="881"/>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87" w:lineRule="exact"/>
        <w:rPr>
          <w:sz w:val="20"/>
          <w:szCs w:val="20"/>
          <w:color w:val="auto"/>
        </w:rPr>
      </w:pPr>
    </w:p>
    <w:p>
      <w:pPr>
        <w:ind w:left="200" w:right="60" w:firstLine="881"/>
        <w:spacing w:after="0" w:line="293" w:lineRule="auto"/>
        <w:rPr>
          <w:sz w:val="20"/>
          <w:szCs w:val="20"/>
          <w:color w:val="auto"/>
        </w:rPr>
      </w:pPr>
      <w:r>
        <w:rPr>
          <w:rFonts w:ascii="Arial" w:cs="Arial" w:eastAsia="Arial" w:hAnsi="Arial"/>
          <w:sz w:val="16"/>
          <w:szCs w:val="16"/>
          <w:color w:val="auto"/>
        </w:rPr>
        <w:t>In October 2018, we completed our initial public offering of 28,750,000 ADSs (equivalent to 115,000,000 Class A ordinary shares). In November 2018, the underwriters exercised their over-allotment option in full to purchase an additional 4,312,500 ADSs from us. After giving effect to the exercise of the over-allotment option, the total number of ADSs sold in our initial public offering was 33,062,500 ADSs and we received net proceeds of approximately US$406.7 million from the ADSs sold in our initial public offering and aggregate gross proceeds of approximately US$2.5 million from the concurrent private placement to Melco International in connection with Melco International’s “assured entitlement” distribution to its shareholders, after deducting underwriting discounts and commissions and a structuring fee, but before deducting offering expenses payable by us.</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other future developments may be subject to further financing and a number of other factors, many of which are beyond our control.</w:t>
      </w:r>
    </w:p>
    <w:p>
      <w:pPr>
        <w:spacing w:after="0" w:line="248"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As of December 31, 2018, we had capital commitments contracted for but not incurred for the construction and acquisition of property and equipment mainly for the development of remaining land at Studio City totaling US$38.7 million. In addition, we have contingent liabilities arising in the ordinary course of business. For further details for our commitments and contingencies, see note 13 to the consolidated financial statements included elsewhere in this annual report.</w:t>
      </w:r>
    </w:p>
    <w:p>
      <w:pPr>
        <w:spacing w:after="0" w:line="187"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Each of Studio City Company and Studio City Finance has a corporate rating of “BB-” by Standard &amp; Poor’s and a corporate rating of “B1” by Moody’s Investors Service, respectively. For future borrowings, any decrease in our corporate rating could result in an increase in borrowing costs.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left="200" w:right="60" w:firstLine="881"/>
        <w:spacing w:after="0" w:line="290" w:lineRule="auto"/>
        <w:rPr>
          <w:sz w:val="20"/>
          <w:szCs w:val="20"/>
          <w:color w:val="auto"/>
        </w:rPr>
      </w:pPr>
      <w:r>
        <w:rPr>
          <w:rFonts w:ascii="Arial" w:cs="Arial" w:eastAsia="Arial" w:hAnsi="Arial"/>
          <w:sz w:val="16"/>
          <w:szCs w:val="16"/>
          <w:color w:val="auto"/>
        </w:rPr>
        <w:t>The Company is a holding company with no operations of its own. We conduct our operations through our subsidiaries. As a result, our ability to pay dividends depends upon dividends paid by our subsidiaries. Our 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and “Item 8. Financial Information — A. Consolidated Statements and Other Financial Information — Dividend Policy” and note 12 to the consolidated financial statements included elsewhere in this annual report.</w:t>
      </w:r>
    </w:p>
    <w:p>
      <w:pPr>
        <w:spacing w:after="0" w:line="166"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In addition, our subsidiaries incorporated in Macau are required to set aside a minimum of 25% of the entity’s profit after taxation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We have entered into licensing agreements for the use of certain trade names. For other intellectual property that we owned, see “Item 4. Information on the Company — B. Business Overview — Intellectual Property.”</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trends and uncertainties may affect our operations and financial conditions:</w:t>
      </w:r>
    </w:p>
    <w:p>
      <w:pPr>
        <w:spacing w:after="0" w:line="131" w:lineRule="exact"/>
        <w:rPr>
          <w:sz w:val="20"/>
          <w:szCs w:val="20"/>
          <w:color w:val="auto"/>
        </w:rPr>
      </w:pPr>
    </w:p>
    <w:p>
      <w:pPr>
        <w:ind w:left="1060" w:right="80" w:hanging="424"/>
        <w:spacing w:after="0" w:line="255"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Policies and campaigns implemented by the Chinese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China or new measures taken by the Chinese government to deter marketing of gaming activities to mainland Chinese residents by foreign casinos, as well as any slowdown of economic growth in China, may lead to a decline and limit the recovery and growth in the number of patrons visiting our property and the spending amount of such patrons;</w:t>
      </w:r>
    </w:p>
    <w:p>
      <w:pPr>
        <w:spacing w:after="0" w:line="98"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gaming and leisure market in Macau is developing and the competitive landscape is expected to evolve as more gaming and non-gaming facilities are developed in Macau. More supply of integrated resorts in the Cotai region of Macau will intensify the competition in the businesses that we and the Gaming Operator operate;</w:t>
      </w:r>
    </w:p>
    <w:p>
      <w:pPr>
        <w:spacing w:after="0" w:line="86" w:lineRule="exact"/>
        <w:rPr>
          <w:rFonts w:ascii="Arial" w:cs="Arial" w:eastAsia="Arial" w:hAnsi="Arial"/>
          <w:sz w:val="18"/>
          <w:szCs w:val="18"/>
          <w:color w:val="auto"/>
        </w:rPr>
      </w:pPr>
    </w:p>
    <w:p>
      <w:pPr>
        <w:ind w:left="1060" w:right="6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new policies and legislation implemented by the Macau government, including travel and visa policies, anti-smoking legislation as well as policies relating to gaming table allocations and gaming machine requirements;</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Greater regulatory scrutiny and more stringent enforcement of existing laws and regulations in relation to anti-money laundering, including laws and regulations relating to capital movement;</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Gaming promoters in Macau are experiencing increased regulatory scrutiny that has resulted in the cessation of business of certain gaming promoters, a trend which may affect Studio City Casino’s operations in a number of ways:</w:t>
      </w:r>
    </w:p>
    <w:p>
      <w:pPr>
        <w:spacing w:after="0" w:line="75" w:lineRule="exact"/>
        <w:rPr>
          <w:rFonts w:ascii="Arial" w:cs="Arial" w:eastAsia="Arial" w:hAnsi="Arial"/>
          <w:sz w:val="18"/>
          <w:szCs w:val="18"/>
          <w:color w:val="auto"/>
        </w:rPr>
      </w:pPr>
    </w:p>
    <w:p>
      <w:pPr>
        <w:ind w:left="1620" w:right="160" w:hanging="540"/>
        <w:spacing w:after="0" w:line="259" w:lineRule="auto"/>
        <w:rPr>
          <w:rFonts w:ascii="Arial" w:cs="Arial" w:eastAsia="Arial" w:hAnsi="Arial"/>
          <w:sz w:val="18"/>
          <w:szCs w:val="18"/>
          <w:color w:val="auto"/>
        </w:rPr>
      </w:pPr>
      <w:r>
        <w:rPr>
          <w:rFonts w:ascii="Arial" w:cs="Arial" w:eastAsia="Arial" w:hAnsi="Arial"/>
          <w:sz w:val="18"/>
          <w:szCs w:val="18"/>
          <w:color w:val="auto"/>
        </w:rPr>
        <w:t>–a concentration of gaming promoters may result in such gaming promoters having significant leverage and bargaining strength in negotiating agreements with gaming operators, which could result in gaming promoters negotiating changes to the Gaming Operator’s agreements with them or the loss of business to a competitor or the loss of certain relationships with gaming promoters, any of which may adversely affect our results of operations;</w:t>
      </w:r>
    </w:p>
    <w:p>
      <w:pPr>
        <w:spacing w:after="0" w:line="92" w:lineRule="exact"/>
        <w:rPr>
          <w:rFonts w:ascii="Arial" w:cs="Arial" w:eastAsia="Arial" w:hAnsi="Arial"/>
          <w:sz w:val="18"/>
          <w:szCs w:val="18"/>
          <w:color w:val="auto"/>
        </w:rPr>
      </w:pPr>
    </w:p>
    <w:p>
      <w:pPr>
        <w:ind w:left="1620" w:hanging="540"/>
        <w:spacing w:after="0" w:line="259" w:lineRule="auto"/>
        <w:rPr>
          <w:rFonts w:ascii="Arial" w:cs="Arial" w:eastAsia="Arial" w:hAnsi="Arial"/>
          <w:sz w:val="18"/>
          <w:szCs w:val="18"/>
          <w:color w:val="auto"/>
        </w:rPr>
      </w:pPr>
      <w:r>
        <w:rPr>
          <w:rFonts w:ascii="Arial" w:cs="Arial" w:eastAsia="Arial" w:hAnsi="Arial"/>
          <w:sz w:val="18"/>
          <w:szCs w:val="18"/>
          <w:color w:val="auto"/>
        </w:rPr>
        <w:t>–if any of Studio City Casino’s gaming promoters ceases business or fails to maintain the required standards of regulatory compliance, probity and integrity, their exposure to patron and other litigation and regulatory enforcement actions may increase, which in turn may expose us and the Gaming Operator to an increased risk for litigation, regulatory enforcement actions and damage to our reputations; and</w:t>
      </w:r>
    </w:p>
    <w:p>
      <w:pPr>
        <w:spacing w:after="0" w:line="92" w:lineRule="exact"/>
        <w:rPr>
          <w:rFonts w:ascii="Arial" w:cs="Arial" w:eastAsia="Arial" w:hAnsi="Arial"/>
          <w:sz w:val="18"/>
          <w:szCs w:val="18"/>
          <w:color w:val="auto"/>
        </w:rPr>
      </w:pPr>
    </w:p>
    <w:p>
      <w:pPr>
        <w:ind w:left="1620" w:right="20" w:hanging="540"/>
        <w:spacing w:after="0" w:line="34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since the Gaming Operator depends on gaming promoters for its VIP gaming revenue, difficulties in their operations may expose the Studio City Casino to higher operational risk while Studio City Casino continues to conduct VIP rolling chip operations.</w:t>
      </w:r>
    </w:p>
    <w:p>
      <w:pPr>
        <w:spacing w:after="0" w:line="124"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w:t>
      </w:r>
    </w:p>
    <w:p>
      <w:pPr>
        <w:spacing w:after="0" w:line="181" w:lineRule="exact"/>
        <w:rPr>
          <w:sz w:val="20"/>
          <w:szCs w:val="20"/>
          <w:color w:val="auto"/>
        </w:rPr>
      </w:pPr>
    </w:p>
    <w:p>
      <w:pPr>
        <w:jc w:val="both"/>
        <w:ind w:left="200" w:right="420" w:firstLine="881"/>
        <w:spacing w:after="0" w:line="286" w:lineRule="auto"/>
        <w:rPr>
          <w:sz w:val="20"/>
          <w:szCs w:val="20"/>
          <w:color w:val="auto"/>
        </w:rPr>
      </w:pPr>
      <w:r>
        <w:rPr>
          <w:rFonts w:ascii="Arial" w:cs="Arial" w:eastAsia="Arial" w:hAnsi="Arial"/>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240" w:top="459" w:right="5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total long-term indebtedness and other contractual obligations as of December 31, 2018 are summarized below.</w:t>
      </w:r>
    </w:p>
    <w:p>
      <w:pPr>
        <w:spacing w:after="0" w:line="24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Payments Due by Period</w:t>
      </w:r>
    </w:p>
    <w:p>
      <w:pPr>
        <w:spacing w:after="0" w:line="10"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2"/>
              </w:rPr>
              <w:t>Less than</w:t>
            </w: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1-3 years</w:t>
            </w:r>
          </w:p>
        </w:tc>
        <w:tc>
          <w:tcPr>
            <w:tcW w:w="4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74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More than</w:t>
            </w: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1 year</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 years</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4"/>
          </w:tcPr>
          <w:p>
            <w:pPr>
              <w:ind w:left="180"/>
              <w:spacing w:after="0" w:line="142" w:lineRule="exact"/>
              <w:rPr>
                <w:sz w:val="20"/>
                <w:szCs w:val="20"/>
                <w:color w:val="auto"/>
              </w:rPr>
            </w:pPr>
            <w:r>
              <w:rPr>
                <w:rFonts w:ascii="Arial" w:cs="Arial" w:eastAsia="Arial" w:hAnsi="Arial"/>
                <w:sz w:val="14"/>
                <w:szCs w:val="14"/>
                <w:b w:val="1"/>
                <w:bCs w:val="1"/>
                <w:i w:val="1"/>
                <w:iCs w:val="1"/>
                <w:color w:val="auto"/>
                <w:w w:val="96"/>
              </w:rPr>
              <w:t>(in millions of US$)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Long-term debt obligations </w:t>
            </w:r>
            <w:r>
              <w:rPr>
                <w:rFonts w:ascii="Arial" w:cs="Arial" w:eastAsia="Arial" w:hAnsi="Arial"/>
                <w:sz w:val="15"/>
                <w:szCs w:val="15"/>
                <w:color w:val="auto"/>
              </w:rPr>
              <w:t>(1)</w:t>
            </w:r>
            <w:r>
              <w:rPr>
                <w:rFonts w:ascii="Arial" w:cs="Arial" w:eastAsia="Arial" w:hAnsi="Arial"/>
                <w:sz w:val="18"/>
                <w:szCs w:val="18"/>
                <w:b w:val="1"/>
                <w:bCs w:val="1"/>
                <w:i w:val="1"/>
                <w:iCs w:val="1"/>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2012 Notes </w:t>
            </w:r>
            <w:r>
              <w:rPr>
                <w:rFonts w:ascii="Arial" w:cs="Arial" w:eastAsia="Arial" w:hAnsi="Arial"/>
                <w:sz w:val="15"/>
                <w:szCs w:val="15"/>
                <w:color w:val="auto"/>
              </w:rPr>
              <w:t>(2)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425.0</w:t>
            </w: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2016</w:t>
            </w: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2016</w:t>
            </w:r>
          </w:p>
        </w:tc>
        <w:tc>
          <w:tcPr>
            <w:tcW w:w="5400" w:type="dxa"/>
            <w:vAlign w:val="bottom"/>
          </w:tcPr>
          <w:p>
            <w:pPr>
              <w:ind w:left="20"/>
              <w:spacing w:after="0"/>
              <w:rPr>
                <w:sz w:val="20"/>
                <w:szCs w:val="20"/>
                <w:color w:val="auto"/>
              </w:rPr>
            </w:pPr>
            <w:r>
              <w:rPr>
                <w:rFonts w:ascii="Arial" w:cs="Arial" w:eastAsia="Arial" w:hAnsi="Arial"/>
                <w:sz w:val="18"/>
                <w:szCs w:val="18"/>
                <w:color w:val="auto"/>
              </w:rPr>
              <w:t>5.875% Notes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350.0</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2016</w:t>
            </w: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7.250% Notes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9"/>
              </w:rPr>
              <w:t>Construction costs and property and equipment retention payables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Government annual land use fees </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5"/>
              </w:rPr>
              <w:t xml:space="preserve">Construction costs and property and equipment acquisition commitments </w:t>
            </w:r>
            <w:r>
              <w:rPr>
                <w:rFonts w:ascii="Arial" w:cs="Arial" w:eastAsia="Arial" w:hAnsi="Arial"/>
                <w:sz w:val="15"/>
                <w:szCs w:val="15"/>
                <w:color w:val="auto"/>
                <w:w w:val="95"/>
              </w:rPr>
              <w:t>(4)</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1,441.3</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2</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7 to the consolidated financial statements included elsewhere in this annual report for further details on these debt facilities.</w:t>
      </w:r>
    </w:p>
    <w:p>
      <w:pPr>
        <w:spacing w:after="0" w:line="130" w:lineRule="exact"/>
        <w:rPr>
          <w:rFonts w:ascii="Arial" w:cs="Arial" w:eastAsia="Arial" w:hAnsi="Arial"/>
          <w:sz w:val="18"/>
          <w:szCs w:val="18"/>
          <w:color w:val="auto"/>
        </w:rPr>
      </w:pPr>
    </w:p>
    <w:p>
      <w:pPr>
        <w:ind w:left="640" w:right="40" w:hanging="436"/>
        <w:spacing w:after="0" w:line="25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February 11, 2019, Studio City Finance issued US$600.0 million in aggregate principal amount of the 2019 Notes, the net proceeds of which were partly used to pay the tendering noteholders from the 2012 Notes Tender Offer in February 2019, which amounted to US$216.5 million in aggregate principal amount of the 2012 Notes, and to redeem the remaining outstanding principal amount of the 2012 Notes in March 2019, which amounted to US$208.5 million in aggregate principal amount. See note 16 to the consolidated financial statements included elsewhere in this annual report for further details on these subsequent events.</w:t>
      </w:r>
    </w:p>
    <w:p>
      <w:pPr>
        <w:spacing w:after="0" w:line="93" w:lineRule="exact"/>
        <w:rPr>
          <w:rFonts w:ascii="Arial" w:cs="Arial" w:eastAsia="Arial" w:hAnsi="Arial"/>
          <w:sz w:val="18"/>
          <w:szCs w:val="18"/>
          <w:color w:val="auto"/>
        </w:rPr>
      </w:pPr>
    </w:p>
    <w:p>
      <w:pPr>
        <w:ind w:left="640" w:right="80" w:hanging="436"/>
        <w:spacing w:after="0" w:line="286" w:lineRule="auto"/>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Studio City site is located on the land parcel in which we have received a land concession from the Macau government for a 25-year term, renewable for further consecutive periods of ten years, subject to applicable legislation in Macau. See “Item 4. Information on the Company — B. Business Overview — Land and Properties — Land Concession” for further details of the land concession obligation.</w:t>
      </w:r>
    </w:p>
    <w:p>
      <w:pPr>
        <w:spacing w:after="0" w:line="70" w:lineRule="exact"/>
        <w:rPr>
          <w:rFonts w:ascii="Arial" w:cs="Arial" w:eastAsia="Arial" w:hAnsi="Arial"/>
          <w:sz w:val="17"/>
          <w:szCs w:val="17"/>
          <w:color w:val="auto"/>
        </w:rPr>
      </w:pPr>
    </w:p>
    <w:p>
      <w:pPr>
        <w:ind w:left="640" w:right="580" w:hanging="436"/>
        <w:spacing w:after="0" w:line="27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13(a) to the consolidated financial statements included elsewhere in this annual report for further details on construction costs and property and equipment acquisition commitments.</w:t>
      </w:r>
    </w:p>
    <w:p>
      <w:pPr>
        <w:spacing w:after="0" w:line="38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“Special Note Regarding Forward-Looking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DIRECTORS AND SENIOR MANAGEMENT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annual report on Form 20-F.</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6"/>
                <w:szCs w:val="16"/>
                <w:color w:val="auto"/>
              </w:rPr>
            </w:pPr>
          </w:p>
        </w:tc>
        <w:tc>
          <w:tcPr>
            <w:tcW w:w="5920" w:type="dxa"/>
            <w:vAlign w:val="bottom"/>
          </w:tcPr>
          <w:p>
            <w:pPr>
              <w:ind w:left="2540"/>
              <w:spacing w:after="0"/>
              <w:rPr>
                <w:sz w:val="20"/>
                <w:szCs w:val="20"/>
                <w:color w:val="auto"/>
              </w:rPr>
            </w:pPr>
            <w:r>
              <w:rPr>
                <w:rFonts w:ascii="Arial" w:cs="Arial" w:eastAsia="Arial" w:hAnsi="Arial"/>
                <w:sz w:val="14"/>
                <w:szCs w:val="14"/>
                <w:b w:val="1"/>
                <w:bCs w:val="1"/>
                <w:color w:val="auto"/>
              </w:rPr>
              <w:t>Position/Title</w:t>
            </w: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Lawrence Yau Lung Ho</w:t>
            </w:r>
          </w:p>
        </w:tc>
        <w:tc>
          <w:tcPr>
            <w:tcW w:w="2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280" w:type="dxa"/>
            <w:vAlign w:val="bottom"/>
            <w:tcBorders>
              <w:top w:val="single" w:sz="8" w:color="CCEEFF"/>
            </w:tcBorders>
            <w:shd w:val="clear" w:color="auto" w:fill="CCEEFF"/>
          </w:tcPr>
          <w:p>
            <w:pPr>
              <w:spacing w:after="0"/>
              <w:rPr>
                <w:sz w:val="17"/>
                <w:szCs w:val="17"/>
                <w:color w:val="auto"/>
              </w:rPr>
            </w:pPr>
          </w:p>
        </w:tc>
        <w:tc>
          <w:tcPr>
            <w:tcW w:w="5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Evan Andrew Winkler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6"/>
              </w:rPr>
              <w:t>Clarence Yuk Man Chung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Geoffrey Stuart Davis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Stephanie Cheung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Akiko Takahashi</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8"/>
              </w:rPr>
              <w:t>David Anthony Reganato</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Timothy Paul Lavelle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Dominique Mielle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Kevin F. Sullivan</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Nigel Alan Dean</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Geoffry Philip Andres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Property President</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Timothy Green Nauss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Property Chief Financial Officer</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b w:val="1"/>
          <w:bCs w:val="1"/>
          <w:i w:val="1"/>
          <w:iCs w:val="1"/>
          <w:color w:val="auto"/>
        </w:rPr>
        <w:t xml:space="preserve">Mr. Lawrence Yau Lung Ho </w:t>
      </w:r>
      <w:r>
        <w:rPr>
          <w:rFonts w:ascii="Arial" w:cs="Arial" w:eastAsia="Arial" w:hAnsi="Arial"/>
          <w:sz w:val="17"/>
          <w:szCs w:val="17"/>
          <w:color w:val="auto"/>
        </w:rPr>
        <w:t>has been a member of our board of directors since July 2011. Mr. Ho was also appointed as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Melco Resorts on December 20, 2004, and served as its co-chairman and chief executive officer between December 2004 and April 2016 before he was re-designated as chairman and chief executive officer in May 2016. Since November 2001, Mr. Ho has served as the managing director of Melco International and its chairman and chief executive officer since March 2006. Mr. Ho has also been appointed as the chairman and director of Maple Peak Investment Inc., a company listed on the TSX Venture Exchange in Canada, since July 2016, and also serves on numerous boards and committees of privately-held companies in Hong Kong, Macau and mainland China.</w:t>
      </w:r>
    </w:p>
    <w:p>
      <w:pPr>
        <w:spacing w:after="0" w:line="178"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member of the board of directors and a Vice Patron of The Community Chest of Hong Kong; a member of the All China Youth Federation; a member of the Macau Basic Law Promotion Association; chairman of the Macau International Volunteers Association; a member of the Board of Governors of The Canadian Chamber of Commerce in Hong Kong; honorary lifetime director of The Chinese General Chamber of Commerce of Hong Kong; honorary patron of The Canadian Chamber of Commerce in Macao; honorary president of the Association of Property Agents and Real Estate Developers of Macau and director executive of the Macao Chamber of Commerce.</w:t>
      </w:r>
    </w:p>
    <w:p>
      <w:pPr>
        <w:spacing w:after="0" w:line="178" w:lineRule="exact"/>
        <w:rPr>
          <w:sz w:val="20"/>
          <w:szCs w:val="20"/>
          <w:color w:val="auto"/>
        </w:rPr>
      </w:pPr>
    </w:p>
    <w:p>
      <w:pPr>
        <w:ind w:left="200" w:right="220" w:firstLine="881"/>
        <w:spacing w:after="0" w:line="302" w:lineRule="auto"/>
        <w:rPr>
          <w:sz w:val="20"/>
          <w:szCs w:val="20"/>
          <w:color w:val="auto"/>
        </w:rPr>
      </w:pPr>
      <w:r>
        <w:rPr>
          <w:rFonts w:ascii="Arial" w:cs="Arial" w:eastAsia="Arial" w:hAnsi="Arial"/>
          <w:sz w:val="16"/>
          <w:szCs w:val="16"/>
          <w:color w:val="auto"/>
        </w:rPr>
        <w:t>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 In 2017, Mr. Ho was awarded the Medal of Merit — Tourism by the Macau SAR government for his significant contributions to tourism in the territory.</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As a socially responsible young entrepreneur in Hong Kong, Mr. Ho was selected as one of the “Ten Outstanding Young Persons Selection 2006,” organized by Junior Chamber International Hong Kong. In 2007, he was elected as a finalist in the “Best Chairman” category in the “Stevie International Business Awards” and one of the “100 Most Influential People across Asia Pacific” by Asiamoney magazine. In 2008, he was granted the “China Charity Award” by the Ministry of Civil Affairs of the People’s Republic of China.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 Mr. Ho was selected by FinanceAsia magazine as one of the “Best CEOs in Hong Kong” for the fifth time in 2014 and was granted the “Leadership Gold Award” in the Business Awards of Macau in 2015. Mr. Ho has been honored as one of the recipients of the “Asian Corporate Director Recognition Awards” by Corporate Governance Asia magazine for six consecutive years since 2012 and was awarded “Asia’s Best CEO” at the Asian Excellence Awards for the sixth time in 2017.</w:t>
      </w:r>
    </w:p>
    <w:p>
      <w:pPr>
        <w:spacing w:after="0" w:line="167" w:lineRule="exact"/>
        <w:rPr>
          <w:sz w:val="20"/>
          <w:szCs w:val="20"/>
          <w:color w:val="auto"/>
        </w:rPr>
      </w:pPr>
    </w:p>
    <w:p>
      <w:pPr>
        <w:jc w:val="both"/>
        <w:ind w:left="200" w:right="100" w:firstLine="881"/>
        <w:spacing w:after="0" w:line="264"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1"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b w:val="1"/>
          <w:bCs w:val="1"/>
          <w:i w:val="1"/>
          <w:iCs w:val="1"/>
          <w:color w:val="auto"/>
        </w:rPr>
        <w:t xml:space="preserve">Mr. Evan Andrew Winkler </w:t>
      </w:r>
      <w:r>
        <w:rPr>
          <w:rFonts w:ascii="Arial" w:cs="Arial" w:eastAsia="Arial" w:hAnsi="Arial"/>
          <w:sz w:val="17"/>
          <w:szCs w:val="17"/>
          <w:color w:val="auto"/>
        </w:rPr>
        <w:t>has been a member of our board of directors since August 2016. Mr. Winkler was also appointed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non-executive director of Melco Resorts on August 3, 2016. Mr. Winkler served as the managing director of Melco International since August 2016 and was appointed a director of various subsidiaries of Melco International. In May 2018, Mr. Winkler assumed the role of president and managing director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78"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b w:val="1"/>
          <w:bCs w:val="1"/>
          <w:i w:val="1"/>
          <w:iCs w:val="1"/>
          <w:color w:val="auto"/>
        </w:rPr>
        <w:t xml:space="preserve">Mr. Clarence Yuk Man Chung </w:t>
      </w:r>
      <w:r>
        <w:rPr>
          <w:rFonts w:ascii="Arial" w:cs="Arial" w:eastAsia="Arial" w:hAnsi="Arial"/>
          <w:sz w:val="16"/>
          <w:szCs w:val="16"/>
          <w:color w:val="auto"/>
        </w:rPr>
        <w:t>has been a member of our board of directors since October 2018. Mr. Chung was appointed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a company listed on the Philippine Stock Exchange,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(including 2018)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67"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b w:val="1"/>
          <w:bCs w:val="1"/>
          <w:i w:val="1"/>
          <w:iCs w:val="1"/>
          <w:color w:val="auto"/>
        </w:rPr>
        <w:t xml:space="preserve">Mr. Geoffrey Stuart Davis </w:t>
      </w:r>
      <w:r>
        <w:rPr>
          <w:rFonts w:ascii="Arial" w:cs="Arial" w:eastAsia="Arial" w:hAnsi="Arial"/>
          <w:sz w:val="17"/>
          <w:szCs w:val="17"/>
          <w:color w:val="auto"/>
        </w:rPr>
        <w:t>has been a member of our board of directors since October 2018. Mr. Davis is the executive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of Melco International since December 2017 and a director of MRP since January 2018. Prior to joining Melco Resorts, Mr. Davis was a research analyst for Citigroup Investment Research, where he covered the U.S. gaming industry from 2001 to 2007. From 1996 to 2000, he held a number of positions at Hilton Hotels Corporation and Park Place Entertainment. Park Place was spun off from Hilton Hotels Corporation and subsequently renamed Caesars Entertainment. Mr. Davis has been a CFA charter holder since 2000 and obtained a bachelor of arts degree from Brown University.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b w:val="1"/>
          <w:bCs w:val="1"/>
          <w:i w:val="1"/>
          <w:iCs w:val="1"/>
          <w:color w:val="auto"/>
        </w:rPr>
        <w:t xml:space="preserve">Ms. Stephanie Cheung </w:t>
      </w:r>
      <w:r>
        <w:rPr>
          <w:rFonts w:ascii="Arial" w:cs="Arial" w:eastAsia="Arial" w:hAnsi="Arial"/>
          <w:sz w:val="18"/>
          <w:szCs w:val="18"/>
          <w:color w:val="auto"/>
        </w:rPr>
        <w:t>has been a member of our board of directors since October 2018. Ms. Cheung is the executive vice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legal officer of Melco Resorts and she was appointed to this role in December 2008. Prior to that, she held the title of general counsel of Melco Resorts from November 2006, when she joined Melco Resorts. She has acted as the secretary to the board of Melco Resorts since she joined Melco Resorts. Prior to joining Melco Resorts, Ms. Cheung practiced law with various international law firms in Hong Kong, Singapore and Toronto. Ms. Cheung graduated with a bachelor of laws degree from Osgoode Hall Law School and a master’s degree in business administration from York University. Ms. Cheung is admitted as a solicitor in Ontario, Canada, England and Wales and Hong Kong and is a member of the Hong Kong Institute of Directors and a fellow of Salzburg Global.</w:t>
      </w:r>
    </w:p>
    <w:p>
      <w:pPr>
        <w:spacing w:after="0" w:line="189"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has been a member of our board of directors since October 2018. Ms. Takahashi is the executive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officer, human resources/corporate social responsibility, of Melco Resorts and was appointed to this role in December 2008. Prior to that, she held the title of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w:t>
      </w:r>
    </w:p>
    <w:p>
      <w:pPr>
        <w:spacing w:after="0" w:line="183"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b w:val="1"/>
          <w:bCs w:val="1"/>
          <w:i w:val="1"/>
          <w:iCs w:val="1"/>
          <w:color w:val="auto"/>
        </w:rPr>
        <w:t xml:space="preserve">Mr. David Anthony Reganato </w:t>
      </w:r>
      <w:r>
        <w:rPr>
          <w:rFonts w:ascii="Arial" w:cs="Arial" w:eastAsia="Arial" w:hAnsi="Arial"/>
          <w:sz w:val="17"/>
          <w:szCs w:val="17"/>
          <w:color w:val="auto"/>
        </w:rPr>
        <w:t>has been a member of our board of directors since March 2014. Mr. Reganato also serves on the boards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Codere S.A., Granite Broadcasting LLC and Rotech Healthcare, Inc.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w:t>
      </w:r>
    </w:p>
    <w:p>
      <w:pPr>
        <w:spacing w:after="0" w:line="171" w:lineRule="exact"/>
        <w:rPr>
          <w:sz w:val="20"/>
          <w:szCs w:val="20"/>
          <w:color w:val="auto"/>
        </w:rPr>
      </w:pPr>
    </w:p>
    <w:p>
      <w:pPr>
        <w:ind w:left="200" w:right="100" w:firstLine="881"/>
        <w:spacing w:after="0" w:line="279" w:lineRule="auto"/>
        <w:rPr>
          <w:sz w:val="20"/>
          <w:szCs w:val="20"/>
          <w:color w:val="auto"/>
        </w:rPr>
      </w:pPr>
      <w:r>
        <w:rPr>
          <w:rFonts w:ascii="Arial" w:cs="Arial" w:eastAsia="Arial" w:hAnsi="Arial"/>
          <w:sz w:val="17"/>
          <w:szCs w:val="17"/>
          <w:b w:val="1"/>
          <w:bCs w:val="1"/>
          <w:i w:val="1"/>
          <w:iCs w:val="1"/>
          <w:color w:val="auto"/>
        </w:rPr>
        <w:t xml:space="preserve">Mr. Timothy Paul Lavelle </w:t>
      </w:r>
      <w:r>
        <w:rPr>
          <w:rFonts w:ascii="Arial" w:cs="Arial" w:eastAsia="Arial" w:hAnsi="Arial"/>
          <w:sz w:val="17"/>
          <w:szCs w:val="17"/>
          <w:color w:val="auto"/>
        </w:rPr>
        <w:t>has been a member of our board of directors since October 2018. Mr. Lavelle is a senior investment analyst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Silver Point Capital, L.P., an investment advisor, which he joined in August 2008. Prior to Silver Point Capital, L.P., Mr. Lavelle worked in the investment banking division of Credit Suisse. Mr. Lavelle also serves on the boards of Codere S.A., Speedstar Holding, LLC and Rotech Healthcare, Inc. Mr. Lavelle graduated with his B.B.A. in Finance and Psychology from the University of Notre Dame.</w:t>
      </w:r>
    </w:p>
    <w:p>
      <w:pPr>
        <w:spacing w:after="0" w:line="171"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b w:val="1"/>
          <w:bCs w:val="1"/>
          <w:i w:val="1"/>
          <w:iCs w:val="1"/>
          <w:color w:val="auto"/>
        </w:rPr>
        <w:t xml:space="preserve">Ms. Dominique Mielle </w:t>
      </w:r>
      <w:r>
        <w:rPr>
          <w:rFonts w:ascii="Arial" w:cs="Arial" w:eastAsia="Arial" w:hAnsi="Arial"/>
          <w:sz w:val="16"/>
          <w:szCs w:val="16"/>
          <w:color w:val="auto"/>
        </w:rPr>
        <w:t>has been a member of our board of directors since October 2018. Ms. Mielle was a partner at Canyon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 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graduated with an M.B.A. (Finance) from Stanford University and a Master in Management degree from Ecole des Hautes Etudes Commerciales in France (HEC Paris).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b w:val="1"/>
          <w:bCs w:val="1"/>
          <w:i w:val="1"/>
          <w:iCs w:val="1"/>
          <w:color w:val="auto"/>
        </w:rPr>
        <w:t xml:space="preserve">Mr. Kevin F. Sullivan </w:t>
      </w:r>
      <w:r>
        <w:rPr>
          <w:rFonts w:ascii="Arial" w:cs="Arial" w:eastAsia="Arial" w:hAnsi="Arial"/>
          <w:sz w:val="16"/>
          <w:szCs w:val="16"/>
          <w:color w:val="auto"/>
        </w:rPr>
        <w:t>has been a member of our board of directors since October 2018. He is a Managing Director at MidOcean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 private investment firm that specializes in U.S. hedge fund investments. Prior to joining MidOcean Credit Partners, Mr. Sullivan was a Managing Director at Deutsche Bank, and a predecessor bank, Bankers Trust, from 1980 until November 2012. Mr. Sullivan held positions of increasing responsibility over his 32 years at Deutsche Bank and Bankers Trust, 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has also been the lead independent director of Griffon Corporation and has served on its board, audit and head of finance committees since January 2013. Mr. Sullivan graduated with an M.B.A. in Finance from St. John’s University and a B.S. degree in Accounting from Fordham University.</w:t>
      </w:r>
    </w:p>
    <w:p>
      <w:pPr>
        <w:spacing w:after="0" w:line="166"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b w:val="1"/>
          <w:bCs w:val="1"/>
          <w:i w:val="1"/>
          <w:iCs w:val="1"/>
          <w:color w:val="auto"/>
        </w:rPr>
        <w:t xml:space="preserve">Mr. Nigel Alan Dean </w:t>
      </w:r>
      <w:r>
        <w:rPr>
          <w:rFonts w:ascii="Arial" w:cs="Arial" w:eastAsia="Arial" w:hAnsi="Arial"/>
          <w:sz w:val="16"/>
          <w:szCs w:val="16"/>
          <w:color w:val="auto"/>
        </w:rPr>
        <w:t>has been a member of our board of directors since October 2018. Mr. Dean was Melco’s Executive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Internal Auditor from December 2008 until September 2012 and held the title of Director, Internal Audit from December 2006, when he joined Melco. Prior to joining Melco,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20" w:firstLine="881"/>
        <w:spacing w:after="0" w:line="253" w:lineRule="auto"/>
        <w:rPr>
          <w:sz w:val="20"/>
          <w:szCs w:val="20"/>
          <w:color w:val="auto"/>
        </w:rPr>
      </w:pPr>
      <w:r>
        <w:rPr>
          <w:rFonts w:ascii="Arial" w:cs="Arial" w:eastAsia="Arial" w:hAnsi="Arial"/>
          <w:sz w:val="18"/>
          <w:szCs w:val="18"/>
          <w:b w:val="1"/>
          <w:bCs w:val="1"/>
          <w:i w:val="1"/>
          <w:iCs w:val="1"/>
          <w:color w:val="auto"/>
        </w:rPr>
        <w:t xml:space="preserve">Mr. Geoffry Philip Andres </w:t>
      </w:r>
      <w:r>
        <w:rPr>
          <w:rFonts w:ascii="Arial" w:cs="Arial" w:eastAsia="Arial" w:hAnsi="Arial"/>
          <w:sz w:val="18"/>
          <w:szCs w:val="18"/>
          <w:color w:val="auto"/>
        </w:rPr>
        <w:t>has served as our property president since February 2018. Prior to Mr. Andres’ current position, Mr. Andres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property president / chief operating officer of MRP, from November 2015 to January 2018. Prior to joining MRP, Mr. Andres was the chief executive officer and executive director on the board of Aquis Entertainment Limited in Canberra, Australia, responsible for an existing casino and assisting with the development and acquisition of additional casinos. Prior to this position, from September 2011 until April 2015, Mr. Andres was senior vice president and general manager of Sands Macau, responsible for its overall operations, including a casino with 300 tables and 1,100 slot machines, six restaurants and a 289-room hotel. From December 2010 to September 2011, Mr. Andres was vice-president, slots, for all of Sands China Limited, including The Venetian Macao, Sands Macao and The Plaza Macao, totaling 3,490 slot machines. Mr. Andres began his career with Harrah’s in 1988, and from June 2005 to December 2010, Mr. Andres was the vice president and general manager for Harrah’s Ak-Chin Casino Resort in Arizona. Mr. Andres graduated from the University of Nevada with a bachelor of science degree in business administration and a master’s degree in business administration.</w:t>
      </w:r>
    </w:p>
    <w:p>
      <w:pPr>
        <w:spacing w:after="0" w:line="195"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b w:val="1"/>
          <w:bCs w:val="1"/>
          <w:i w:val="1"/>
          <w:iCs w:val="1"/>
          <w:color w:val="auto"/>
        </w:rPr>
        <w:t xml:space="preserve">Mr. Timothy Green Nauss </w:t>
      </w:r>
      <w:r>
        <w:rPr>
          <w:rFonts w:ascii="Arial" w:cs="Arial" w:eastAsia="Arial" w:hAnsi="Arial"/>
          <w:sz w:val="18"/>
          <w:szCs w:val="18"/>
          <w:color w:val="auto"/>
        </w:rPr>
        <w:t>is our property chief financial officer at Studio City and he was appointed to his current role in January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recently, Mr. Nauss was the Executive Director, Finance for Wynn Palace, where he focused on the Cotai Strip development for the Finance division. Prior to this role, he was Director of Finance at Wynn Resorts Macau and was involved in opening of Encore Macau. Prior to joining Wynn Resorts Macau in 2009, Mr. Nauss was the Director of Finance, Cotai for Venetian Macau Limited, and served as Director of Finance in the pre-opening development, operational development and opening for Venetian Macau. He was VP of Finance with Wyndham International from 2000 to 2005. Mr. Nauss began his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career in hospitality with Hilton Hotels Corporation where he served in a number of executive capacities in both Operations and Finance. Mr. Nauss graduated with his bachelor of arts and sciences degree from the University of South Carolina with a major in psychology and a minor in accounting.</w:t>
      </w: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ind w:left="200" w:right="520" w:firstLine="881"/>
        <w:spacing w:after="0" w:line="264" w:lineRule="auto"/>
        <w:rPr>
          <w:sz w:val="20"/>
          <w:szCs w:val="20"/>
          <w:color w:val="auto"/>
        </w:rPr>
      </w:pPr>
      <w:r>
        <w:rPr>
          <w:rFonts w:ascii="Arial" w:cs="Arial" w:eastAsia="Arial" w:hAnsi="Arial"/>
          <w:sz w:val="18"/>
          <w:szCs w:val="18"/>
          <w:color w:val="auto"/>
        </w:rPr>
        <w:t>In 2018, we paid an aggregate of US$2.4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jc w:val="both"/>
        <w:ind w:left="200" w:right="240" w:firstLine="881"/>
        <w:spacing w:after="0" w:line="264" w:lineRule="auto"/>
        <w:rPr>
          <w:sz w:val="20"/>
          <w:szCs w:val="20"/>
          <w:color w:val="auto"/>
        </w:rPr>
      </w:pPr>
      <w:r>
        <w:rPr>
          <w:rFonts w:ascii="Arial" w:cs="Arial" w:eastAsia="Arial" w:hAnsi="Arial"/>
          <w:sz w:val="18"/>
          <w:szCs w:val="18"/>
          <w:color w:val="auto"/>
        </w:rPr>
        <w:t>We currently do not have a share incentive plan. However, our directors, employees and consultants are eligible to participate in the 2011 share incentive plan of Melco Resorts, which is open to directors, employees and consultants of Melco Resorts and any parent or subsidiary of Melco Resorts.</w:t>
      </w:r>
    </w:p>
    <w:p>
      <w:pPr>
        <w:spacing w:after="0" w:line="18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types of awards that may be granted under the 2011 share incentive plan of Melco Resorts include options, incentive share options, restricted shares, share appreciation rights, dividend equivalents, share 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2011 share incentive plan is 100,000,000 shares and the 2011 share incentive plan will expire in December 2021.</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left="200" w:right="100" w:firstLine="881"/>
        <w:spacing w:after="0" w:line="269" w:lineRule="auto"/>
        <w:rPr>
          <w:sz w:val="20"/>
          <w:szCs w:val="20"/>
          <w:color w:val="auto"/>
        </w:rPr>
      </w:pPr>
      <w:r>
        <w:rPr>
          <w:rFonts w:ascii="Arial" w:cs="Arial" w:eastAsia="Arial" w:hAnsi="Arial"/>
          <w:sz w:val="17"/>
          <w:szCs w:val="17"/>
          <w:color w:val="auto"/>
        </w:rPr>
        <w:t>Our board of directors consists of eleven directors, including three independent directors. Under the Shareholders’ Agreement and our articles of association,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 —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w:t>
      </w:r>
    </w:p>
    <w:p>
      <w:pPr>
        <w:spacing w:after="0" w:line="183" w:lineRule="exact"/>
        <w:rPr>
          <w:sz w:val="20"/>
          <w:szCs w:val="20"/>
          <w:color w:val="auto"/>
        </w:rPr>
      </w:pPr>
    </w:p>
    <w:p>
      <w:pPr>
        <w:ind w:left="200" w:right="140" w:firstLine="881"/>
        <w:spacing w:after="0" w:line="279" w:lineRule="auto"/>
        <w:rPr>
          <w:sz w:val="20"/>
          <w:szCs w:val="20"/>
          <w:color w:val="auto"/>
        </w:rPr>
      </w:pPr>
      <w:r>
        <w:rPr>
          <w:rFonts w:ascii="Arial" w:cs="Arial" w:eastAsia="Arial" w:hAnsi="Arial"/>
          <w:sz w:val="17"/>
          <w:szCs w:val="17"/>
          <w:color w:val="auto"/>
        </w:rPr>
        <w:t>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200" w:right="100" w:firstLine="881"/>
        <w:spacing w:after="0" w:line="290" w:lineRule="auto"/>
        <w:rPr>
          <w:sz w:val="20"/>
          <w:szCs w:val="20"/>
          <w:color w:val="auto"/>
        </w:rPr>
      </w:pPr>
      <w:r>
        <w:rPr>
          <w:rFonts w:ascii="Arial" w:cs="Arial" w:eastAsia="Arial" w:hAnsi="Arial"/>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31"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 independence standards under Rule 10A-3 under the Exchange Act. The audit and risk committee is responsible for assisting our board in overseeing and monitoring:</w:t>
      </w:r>
    </w:p>
    <w:p>
      <w:pPr>
        <w:spacing w:after="0" w:line="92"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account and financial reporting processes of our company and the integrity of our systems of internal accounting and financial controls;</w:t>
      </w:r>
    </w:p>
    <w:p>
      <w:pPr>
        <w:spacing w:after="0" w:line="153" w:lineRule="exact"/>
        <w:rPr>
          <w:rFonts w:ascii="Arial" w:cs="Arial" w:eastAsia="Arial" w:hAnsi="Arial"/>
          <w:sz w:val="16"/>
          <w:szCs w:val="16"/>
          <w:color w:val="auto"/>
        </w:rPr>
      </w:pPr>
    </w:p>
    <w:p>
      <w:pPr>
        <w:jc w:val="both"/>
        <w:ind w:left="1060" w:right="420" w:hanging="424"/>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auditors, the review of the financial statements and related material, the internal audit process and the procedure for receiving complaints regarding accounting, internal accounting controls, auditing or other related matters;</w:t>
      </w:r>
    </w:p>
    <w:p>
      <w:pPr>
        <w:spacing w:after="0" w:line="86"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w:t>
      </w:r>
    </w:p>
    <w:p>
      <w:pPr>
        <w:spacing w:after="0" w:line="130" w:lineRule="exact"/>
        <w:rPr>
          <w:rFonts w:ascii="Arial" w:cs="Arial" w:eastAsia="Arial" w:hAnsi="Arial"/>
          <w:sz w:val="18"/>
          <w:szCs w:val="18"/>
          <w:color w:val="auto"/>
        </w:rPr>
      </w:pPr>
    </w:p>
    <w:p>
      <w:pPr>
        <w:ind w:left="1080" w:right="6000" w:hanging="444"/>
        <w:spacing w:after="0" w:line="502" w:lineRule="auto"/>
        <w:tabs>
          <w:tab w:leader="none" w:pos="10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risk management policies, procedures and practices. The other duties of the audit and risk committee include:</w:t>
      </w:r>
    </w:p>
    <w:p>
      <w:pPr>
        <w:ind w:left="1060" w:right="46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6"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approving the internal audit charter and annual audit plans, and undertaking an annual performance evaluation of the internal audit function;</w:t>
      </w:r>
    </w:p>
    <w:p>
      <w:pPr>
        <w:spacing w:after="0" w:line="153" w:lineRule="exact"/>
        <w:rPr>
          <w:rFonts w:ascii="Arial" w:cs="Arial" w:eastAsia="Arial" w:hAnsi="Arial"/>
          <w:sz w:val="16"/>
          <w:szCs w:val="16"/>
          <w:color w:val="auto"/>
        </w:rPr>
      </w:pPr>
    </w:p>
    <w:p>
      <w:pPr>
        <w:ind w:left="1060" w:right="320" w:hanging="424"/>
        <w:spacing w:after="0" w:line="342"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assessing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29" w:lineRule="exact"/>
        <w:rPr>
          <w:rFonts w:ascii="Arial" w:cs="Arial" w:eastAsia="Arial" w:hAnsi="Arial"/>
          <w:sz w:val="16"/>
          <w:szCs w:val="16"/>
          <w:color w:val="auto"/>
        </w:rPr>
      </w:pPr>
    </w:p>
    <w:p>
      <w:pPr>
        <w:ind w:left="1060" w:right="40" w:hanging="424"/>
        <w:spacing w:after="0" w:line="312"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and risk committee on an annual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assessing the adequacy of the charter of the audit and risk committee;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Our compensation committee consists of Dominique Mielle, Kevin F. Sullivan, David Anthony Reganato and Nigel Alan Dean, and is chaired by Mr. Dean. Each of Dominique Mielle, Kevin F. Sullivan and Nigel Alan Dean satisfies the “independence” requirements of Section 303A of the New York Stock Exchange Listed Company Manual. Our compensation committee assists the board in discharging the responsibilities of the board relating to compensation of our executives, including by designing (in consultation with management and our board), recommending to our board for approval and evaluating the executive and director compensation plans, policies and programs of our company. Members of this committee are not prohibited from direct involvement in determining their own compensation.</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executive officers may not be present at any compensation committee meeting during which their compensation is deliberated upon.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will be responsible for, among other things:</w:t>
      </w:r>
    </w:p>
    <w:p>
      <w:pPr>
        <w:spacing w:after="0" w:line="116" w:lineRule="exact"/>
        <w:rPr>
          <w:sz w:val="20"/>
          <w:szCs w:val="20"/>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least annually, making recommendations to our board with respect to the compensation arrangements for our non-executive directors, and approving compensation arrangements for our property president and property chief financial officer;</w:t>
      </w:r>
    </w:p>
    <w:p>
      <w:pPr>
        <w:spacing w:after="0" w:line="75" w:lineRule="exact"/>
        <w:rPr>
          <w:rFonts w:ascii="Arial" w:cs="Arial" w:eastAsia="Arial" w:hAnsi="Arial"/>
          <w:sz w:val="18"/>
          <w:szCs w:val="18"/>
          <w:color w:val="auto"/>
        </w:rPr>
      </w:pPr>
    </w:p>
    <w:p>
      <w:pPr>
        <w:ind w:left="1060" w:right="780" w:hanging="424"/>
        <w:spacing w:after="0" w:line="342"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annually, reviewing and approving our general compensation scheme and equity-based plans, if any, and overseeing the administration of these plans and discharging any responsibilities imposed on the compensation committee by any of these plans;</w:t>
      </w:r>
    </w:p>
    <w:p>
      <w:pPr>
        <w:spacing w:after="0" w:line="29"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executive officers in connection with any loss or termination of their office or appointment;</w:t>
      </w:r>
    </w:p>
    <w:p>
      <w:pPr>
        <w:spacing w:after="0" w:line="75"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recommending any benefits in kind received by any director or approving executive officer where such benefits are not provided for under the relevant employment terms;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officers;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assessing the adequacy of the charter of the compensation committee;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Our nominating and corporate governance committee consists of Dominique Mielle, Kevin F. Sullivan, Timothy Paul Lavelle and Nigel Alan Dean, and is chaired by Ms. Mielle. Each of Dominique Mielle, Kevin F. Sullivan and Nigel Alan Dean satisfies the “independence” requirements of Section 303A of the New York Stock Exchange Listed Company Manual. The nominating and corporate governance committee will be responsible for, among other things, assisting our board in discharging its responsibilities regarding:</w:t>
      </w:r>
    </w:p>
    <w:p>
      <w:pPr>
        <w:spacing w:after="0" w:line="92" w:lineRule="exact"/>
        <w:rPr>
          <w:sz w:val="20"/>
          <w:szCs w:val="20"/>
          <w:color w:val="auto"/>
        </w:rPr>
      </w:pPr>
    </w:p>
    <w:p>
      <w:pPr>
        <w:ind w:left="1060" w:right="64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New York Stock Exchange corporate governance rules and nominating directors who meet such independence criteria;</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the Cayman Islands, the SEC and the New York Stock Exchange;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development and recommendation to our board of a set of corporate governance principles applicable to our company; and</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w:t>
      </w:r>
    </w:p>
    <w:p>
      <w:pPr>
        <w:spacing w:after="0" w:line="17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The other duties of the nominating and corporate governance committee include:</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5" w:lineRule="exact"/>
        <w:rPr>
          <w:rFonts w:ascii="Arial" w:cs="Arial" w:eastAsia="Arial" w:hAnsi="Arial"/>
          <w:sz w:val="18"/>
          <w:szCs w:val="18"/>
          <w:color w:val="auto"/>
        </w:rPr>
      </w:pPr>
    </w:p>
    <w:p>
      <w:pPr>
        <w:jc w:val="both"/>
        <w:ind w:left="1060" w:right="340" w:hanging="424"/>
        <w:spacing w:after="0" w:line="264"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deciding whether any material information which is brought to its attention (other than that regarding the quality or integrity of our financial statements) should be disclosed;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staff and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assessing the adequacy of the charter of the nominating and corporate governance committee;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200" w:right="220" w:firstLine="881"/>
        <w:spacing w:after="0" w:line="255" w:lineRule="auto"/>
        <w:rPr>
          <w:sz w:val="20"/>
          <w:szCs w:val="20"/>
          <w:color w:val="auto"/>
        </w:rPr>
      </w:pPr>
      <w:r>
        <w:rPr>
          <w:rFonts w:ascii="Arial" w:cs="Arial" w:eastAsia="Arial" w:hAnsi="Arial"/>
          <w:sz w:val="18"/>
          <w:szCs w:val="18"/>
          <w:color w:val="auto"/>
        </w:rPr>
        <w:t>We have, through our subsidiary, entered into employment agreements with our executive officers. Each of our executive officers is employed for a continuous term, unless either we or the executive officer gives prior notice to terminate such employment. Whenever an executive officer is a non-resident worker, the term of the employment agreement is subject to the issuance and subsequent renewal of the appropriate working visa. We may terminate the employment for cause at any time by immediate notice and without remuneration for certain acts of the executive officer, including but not limited to the commitments of any serious breach, continued failure to perform his or her duties and responsibilities, any serious criminal offense or habitual neglect of his or her duties. An executive officer may terminate his or her employment at any time with a six-month prior written notice.</w:t>
      </w:r>
    </w:p>
    <w:p>
      <w:pPr>
        <w:spacing w:after="0" w:line="189"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Each executive officer has agreed to hold, both during and after the employment agreement expires or is earlier terminated, in confidence and not to use or disclose to any person, firm or corporation, any confidential information. Each executive officer has also agreed to disclose to us all intellectual property rights which they created, generated, made, conceived, authored, developed or acquired during the executive officer’s employment with us and to waive all moral rights and rights of a similar nature in which copyright may subsist, created by him or her during the period of the executive officer’s employment with us. In addition, each executive officer has agreed not to, for a certain period following termination of his or her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 EMPLOYEES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Staff</w:t>
      </w:r>
    </w:p>
    <w:p>
      <w:pPr>
        <w:spacing w:after="0" w:line="121"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There were 4,374, 4,520 and 4,812 dedicated staff members as of December 31, 2018, 2017 and 2016, respectively, performing services solely at Studio City. The Gaming Operator is responsible for the hiring, managing and training of the gaming staff and deducts such costs relating to such gaming staff from Studio City Casino’s gross gaming revenue in accordance with the Services and Right to Use Arrangements. See “Item 7. Major Shareholders and Related Party Transactions — B. Related Party Transactions — Services and Right to Use Arrangements.”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president and property chief financial officer are employed by us and oversee the operations of Studio City. Our property president has oversight over all non-gaming staff members solely dedicated to Studio City and exercises input over their performance, which enables us to effectively evaluate their performance and manage talent. Our property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2018:</w:t>
      </w:r>
    </w:p>
    <w:p>
      <w:pPr>
        <w:spacing w:after="0" w:line="19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Function</w:t>
            </w:r>
          </w:p>
        </w:tc>
        <w:tc>
          <w:tcPr>
            <w:tcW w:w="2760" w:type="dxa"/>
            <w:vAlign w:val="bottom"/>
            <w:gridSpan w:val="3"/>
          </w:tcPr>
          <w:p>
            <w:pPr>
              <w:ind w:left="1700"/>
              <w:spacing w:after="0"/>
              <w:rPr>
                <w:sz w:val="20"/>
                <w:szCs w:val="20"/>
                <w:color w:val="auto"/>
              </w:rPr>
            </w:pPr>
            <w:r>
              <w:rPr>
                <w:rFonts w:ascii="Arial" w:cs="Arial" w:eastAsia="Arial" w:hAnsi="Arial"/>
                <w:sz w:val="14"/>
                <w:szCs w:val="14"/>
                <w:b w:val="1"/>
                <w:bCs w:val="1"/>
                <w:color w:val="auto"/>
                <w:w w:val="99"/>
              </w:rPr>
              <w:t>Number of Staff</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Management, Administrative and Finance</w:t>
            </w:r>
          </w:p>
        </w:tc>
        <w:tc>
          <w:tcPr>
            <w:tcW w:w="17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Gaming</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Entertainment and Projects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7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4,374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881"/>
        <w:spacing w:after="0" w:line="297" w:lineRule="auto"/>
        <w:rPr>
          <w:sz w:val="20"/>
          <w:szCs w:val="20"/>
          <w:color w:val="auto"/>
        </w:rPr>
      </w:pPr>
      <w:r>
        <w:rPr>
          <w:rFonts w:ascii="Arial" w:cs="Arial" w:eastAsia="Arial" w:hAnsi="Arial"/>
          <w:sz w:val="16"/>
          <w:szCs w:val="16"/>
          <w:color w:val="auto"/>
        </w:rPr>
        <w:t>Through the Management and Shared Services Arrangements,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the beneficial interest of each director and executive officer in our ordinary shares as of March 27, 2019.</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Approximate</w:t>
            </w: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Class A</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B</w:t>
            </w:r>
          </w:p>
        </w:tc>
        <w:tc>
          <w:tcPr>
            <w:tcW w:w="78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percentage of</w:t>
            </w: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ordinary shares</w:t>
            </w:r>
          </w:p>
        </w:tc>
        <w:tc>
          <w:tcPr>
            <w:tcW w:w="480" w:type="dxa"/>
            <w:vAlign w:val="bottom"/>
          </w:tcPr>
          <w:p>
            <w:pPr>
              <w:spacing w:after="0"/>
              <w:rPr>
                <w:sz w:val="14"/>
                <w:szCs w:val="14"/>
                <w:color w:val="auto"/>
              </w:rPr>
            </w:pPr>
          </w:p>
        </w:tc>
        <w:tc>
          <w:tcPr>
            <w:tcW w:w="13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ordinary shares</w:t>
            </w: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 xml:space="preserve">voting power </w:t>
            </w:r>
            <w:r>
              <w:rPr>
                <w:rFonts w:ascii="Arial" w:cs="Arial" w:eastAsia="Arial" w:hAnsi="Arial"/>
                <w:sz w:val="12"/>
                <w:szCs w:val="12"/>
                <w:b w:val="1"/>
                <w:bCs w:val="1"/>
                <w:color w:val="auto"/>
              </w:rPr>
              <w:t>(1)</w:t>
            </w: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Lawrence Yau Lung Ho </w:t>
            </w:r>
            <w:r>
              <w:rPr>
                <w:rFonts w:ascii="Arial" w:cs="Arial" w:eastAsia="Arial" w:hAnsi="Arial"/>
                <w:sz w:val="15"/>
                <w:szCs w:val="15"/>
                <w:color w:val="auto"/>
              </w:rPr>
              <w:t>(2)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170,834,928</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Evan Andrew Winkler</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Clarence Yuk Man Chung</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ind w:right="310"/>
              <w:spacing w:after="0"/>
              <w:rPr>
                <w:sz w:val="20"/>
                <w:szCs w:val="20"/>
                <w:color w:val="auto"/>
              </w:rPr>
            </w:pPr>
            <w:r>
              <w:rPr>
                <w:rFonts w:ascii="Arial" w:cs="Arial" w:eastAsia="Arial" w:hAnsi="Arial"/>
                <w:sz w:val="18"/>
                <w:szCs w:val="18"/>
                <w:color w:val="auto"/>
                <w:w w:val="84"/>
              </w:rPr>
              <w:t>*</w:t>
            </w:r>
          </w:p>
        </w:tc>
        <w:tc>
          <w:tcPr>
            <w:tcW w:w="3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Geoffrey Stuart Davis</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Stephanie Cheung</w:t>
            </w:r>
          </w:p>
        </w:tc>
        <w:tc>
          <w:tcPr>
            <w:tcW w:w="15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Akiko Takahashi</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David Anthony Reganato</w:t>
            </w:r>
          </w:p>
        </w:tc>
        <w:tc>
          <w:tcPr>
            <w:tcW w:w="15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Timothy Paul Lavelle</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Dominique Mielle</w:t>
            </w:r>
          </w:p>
        </w:tc>
        <w:tc>
          <w:tcPr>
            <w:tcW w:w="15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Kevin F. Sullivan</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Nigel Alan Dean</w:t>
            </w:r>
          </w:p>
        </w:tc>
        <w:tc>
          <w:tcPr>
            <w:tcW w:w="15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Geoffry Philip Andres</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Timothy Green Nauss</w:t>
            </w:r>
          </w:p>
        </w:tc>
        <w:tc>
          <w:tcPr>
            <w:tcW w:w="15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 as a group</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170,838,168</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r>
    </w:tbl>
    <w:p>
      <w:pPr>
        <w:spacing w:after="0" w:line="107"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less than 1% of our total outstanding shares.</w:t>
      </w:r>
    </w:p>
    <w:p>
      <w:pPr>
        <w:spacing w:after="0" w:line="131" w:lineRule="exact"/>
        <w:rPr>
          <w:sz w:val="20"/>
          <w:szCs w:val="20"/>
          <w:color w:val="auto"/>
        </w:rPr>
      </w:pPr>
    </w:p>
    <w:p>
      <w:pPr>
        <w:ind w:left="640" w:right="60" w:hanging="436"/>
        <w:spacing w:after="0" w:line="293" w:lineRule="auto"/>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27, 2019, by the sum of (i) 314,329,776 which is the total number of Class A ordinary shares and Class B ordinary shares outstanding as of March 27, 2019, and (ii) the number of Class A ordinary shares and Class B ordinary shares that such person or group has the right to acquire beneficial ownership within 60 days of March 27, 2019.</w:t>
      </w:r>
    </w:p>
    <w:p>
      <w:pPr>
        <w:spacing w:after="0" w:line="70" w:lineRule="exact"/>
        <w:rPr>
          <w:rFonts w:ascii="Arial" w:cs="Arial" w:eastAsia="Arial" w:hAnsi="Arial"/>
          <w:sz w:val="16"/>
          <w:szCs w:val="16"/>
          <w:color w:val="auto"/>
        </w:rPr>
      </w:pPr>
    </w:p>
    <w:p>
      <w:pPr>
        <w:ind w:left="640" w:right="60" w:hanging="436"/>
        <w:spacing w:after="0" w:line="255"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108,767,640 Class A ordinary shares and 15,330,000 ADSs (representing 61,320,000 Class A ordinary shares) held by MCO Cotai and 747,288 Class A ordinary shares held by Melco International, among which include 118 ADSs (representing 472 Class A ordinary shares) held by agents on its behalf. Mr. Ho holds approximately 55.05% of the total issued shares of Melco International, including beneficial interest, interest of his controlled corporations and interest of a trust in which he is one of the beneficiaries and taken to have interest by virtue of the Securities and Futures Ordinance (Chapter 571, the Laws of Hong Kong). See “Item 7. Major Shareholders and Related Party Transactions – A. Major Shareholders.”</w:t>
      </w:r>
    </w:p>
    <w:p>
      <w:pPr>
        <w:spacing w:after="0" w:line="193" w:lineRule="exact"/>
        <w:rPr>
          <w:sz w:val="20"/>
          <w:szCs w:val="20"/>
          <w:color w:val="auto"/>
        </w:rPr>
      </w:pPr>
    </w:p>
    <w:p>
      <w:pPr>
        <w:jc w:val="center"/>
        <w:ind w:left="840" w:right="480"/>
        <w:spacing w:after="0" w:line="449" w:lineRule="auto"/>
        <w:rPr>
          <w:sz w:val="20"/>
          <w:szCs w:val="20"/>
          <w:color w:val="auto"/>
        </w:rPr>
      </w:pPr>
      <w:r>
        <w:rPr>
          <w:rFonts w:ascii="Arial" w:cs="Arial" w:eastAsia="Arial" w:hAnsi="Arial"/>
          <w:sz w:val="18"/>
          <w:szCs w:val="18"/>
          <w:color w:val="auto"/>
        </w:rPr>
        <w:t>None of our directors or executive officers who are shareholders have different voting rights from other shareholders of our Company. 108</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March 27, 2019 by all persons who are known to us to be the beneficial owners of 5% or more of our share capital.</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Class A ordinary</w:t>
            </w: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Class B ordinary</w:t>
            </w:r>
          </w:p>
        </w:tc>
        <w:tc>
          <w:tcPr>
            <w:tcW w:w="2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Percentage Voting</w:t>
            </w:r>
          </w:p>
        </w:tc>
        <w:tc>
          <w:tcPr>
            <w:tcW w:w="0" w:type="dxa"/>
            <w:vAlign w:val="bottom"/>
          </w:tcPr>
          <w:p>
            <w:pPr>
              <w:spacing w:after="0"/>
              <w:rPr>
                <w:sz w:val="1"/>
                <w:szCs w:val="1"/>
                <w:color w:val="auto"/>
              </w:rPr>
            </w:pPr>
          </w:p>
        </w:tc>
      </w:tr>
      <w:tr>
        <w:trPr>
          <w:trHeight w:val="158"/>
        </w:trPr>
        <w:tc>
          <w:tcPr>
            <w:tcW w:w="286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7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shares beneficially owned</w:t>
            </w:r>
          </w:p>
        </w:tc>
        <w:tc>
          <w:tcPr>
            <w:tcW w:w="920" w:type="dxa"/>
            <w:vAlign w:val="bottom"/>
          </w:tcPr>
          <w:p>
            <w:pPr>
              <w:spacing w:after="0"/>
              <w:rPr>
                <w:sz w:val="13"/>
                <w:szCs w:val="13"/>
                <w:color w:val="auto"/>
              </w:rPr>
            </w:pPr>
          </w:p>
        </w:tc>
        <w:tc>
          <w:tcPr>
            <w:tcW w:w="174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3"/>
              </w:rPr>
              <w:t>shares beneficially owned</w:t>
            </w:r>
          </w:p>
        </w:tc>
        <w:tc>
          <w:tcPr>
            <w:tcW w:w="900" w:type="dxa"/>
            <w:vAlign w:val="bottom"/>
          </w:tcPr>
          <w:p>
            <w:pPr>
              <w:spacing w:after="0"/>
              <w:rPr>
                <w:sz w:val="13"/>
                <w:szCs w:val="13"/>
                <w:color w:val="auto"/>
              </w:rPr>
            </w:pPr>
          </w:p>
        </w:tc>
        <w:tc>
          <w:tcPr>
            <w:tcW w:w="13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 xml:space="preserve">Power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Melco International </w:t>
            </w:r>
            <w:r>
              <w:rPr>
                <w:rFonts w:ascii="Arial" w:cs="Arial" w:eastAsia="Arial" w:hAnsi="Arial"/>
                <w:sz w:val="15"/>
                <w:szCs w:val="15"/>
                <w:color w:val="auto"/>
              </w:rPr>
              <w:t>(2)</w:t>
            </w:r>
          </w:p>
        </w:tc>
        <w:tc>
          <w:tcPr>
            <w:tcW w:w="6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170,834,928</w:t>
            </w:r>
          </w:p>
        </w:tc>
        <w:tc>
          <w:tcPr>
            <w:tcW w:w="92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 xml:space="preserve">New Cotai and its affiliates </w:t>
            </w:r>
            <w:r>
              <w:rPr>
                <w:rFonts w:ascii="Arial" w:cs="Arial" w:eastAsia="Arial" w:hAnsi="Arial"/>
                <w:sz w:val="15"/>
                <w:szCs w:val="15"/>
                <w:color w:val="auto"/>
              </w:rPr>
              <w:t>(3)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41,622,800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72,511,760</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Ivy Investment Management</w:t>
            </w:r>
          </w:p>
        </w:tc>
        <w:tc>
          <w:tcPr>
            <w:tcW w:w="6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5"/>
                <w:szCs w:val="15"/>
                <w:color w:val="auto"/>
              </w:rPr>
              <w:t>(4)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12,016,600</w:t>
            </w:r>
          </w:p>
        </w:tc>
        <w:tc>
          <w:tcPr>
            <w:tcW w:w="92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right="60" w:hanging="436"/>
        <w:spacing w:after="0" w:line="264"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w:t>
      </w:r>
    </w:p>
    <w:p>
      <w:pPr>
        <w:spacing w:after="0" w:line="86" w:lineRule="exact"/>
        <w:rPr>
          <w:rFonts w:ascii="Arial" w:cs="Arial" w:eastAsia="Arial" w:hAnsi="Arial"/>
          <w:sz w:val="18"/>
          <w:szCs w:val="18"/>
          <w:color w:val="auto"/>
        </w:rPr>
      </w:pPr>
    </w:p>
    <w:p>
      <w:pPr>
        <w:ind w:left="640" w:right="80" w:hanging="436"/>
        <w:spacing w:after="0" w:line="288" w:lineRule="auto"/>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108,767,640 Class A ordinary shares and 15,330,000 ADSs (representing 61,320,000 Class A ordinary shares), constituting 70.3% of outstanding Class A ordinary shares, held by MCO Cotai and 747,288 Class A ordinary shares, constituting 0.3% of outstanding Class A ordinary shares, held by Melco International, among which include 118 ADSs (representing 472 Class A ordinary shares) held by agents on its behalf.</w:t>
      </w:r>
    </w:p>
    <w:p>
      <w:pPr>
        <w:ind w:left="640"/>
        <w:spacing w:after="0" w:line="252" w:lineRule="auto"/>
        <w:rPr>
          <w:rFonts w:ascii="Arial" w:cs="Arial" w:eastAsia="Arial" w:hAnsi="Arial"/>
          <w:sz w:val="16"/>
          <w:szCs w:val="16"/>
          <w:color w:val="auto"/>
        </w:rPr>
      </w:pPr>
      <w:r>
        <w:rPr>
          <w:rFonts w:ascii="Arial" w:cs="Arial" w:eastAsia="Arial" w:hAnsi="Arial"/>
          <w:sz w:val="18"/>
          <w:szCs w:val="18"/>
          <w:color w:val="auto"/>
        </w:rPr>
        <w:t>Mr. Ho is the majority shareholder of Melco International, which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The registered address for each of MCO Cotai and MCO Holdings is Intertrust Corporate Services (Cayman) Limited, 190 Elgin Avenue, George Town, Grand Cayman KY1-9005, Cayman Islands. The principal business address for Melco Resorts is 36th Floor, The Centrium, 60 Wyndham Street, Central, Hong Kong. The principal business address for Melco Leisure is c/o 38th Floor, The Centrium, 60 Wyndham Street, Central, Hong Kong. The principal business address for Mr. Ho and Melco International is 38th Floor, The Centrium, 60 Wyndham Street, Central, Hong Kong.</w:t>
      </w:r>
    </w:p>
    <w:p>
      <w:pPr>
        <w:spacing w:after="0" w:line="97" w:lineRule="exact"/>
        <w:rPr>
          <w:rFonts w:ascii="Arial" w:cs="Arial" w:eastAsia="Arial" w:hAnsi="Arial"/>
          <w:sz w:val="16"/>
          <w:szCs w:val="16"/>
          <w:color w:val="auto"/>
        </w:rPr>
      </w:pPr>
    </w:p>
    <w:p>
      <w:pPr>
        <w:ind w:left="640" w:hanging="436"/>
        <w:spacing w:after="0" w:line="269"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72,511,760 Class B ordinary shares, constituting 100.0% of outstanding Class B ordinary shares, directly held by New Cotai, which is a Delaware limited liability company, and 41,622,800 Class A ordinary shares, constituting 17.2% of outstanding Class A ordinary shares, held by certain affiliates of New Cotai in the form of ADSs. Subject to the terms of the exchange arrangements described in “Item 7. Major Shareholders and Related Party Transactions —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Pursuant to Rule 13d-3 under the Exchange Act, a person has beneficial ownership of a security as to which that person, directly or indirectly, through any contract, arrangement, understanding, relationship, or otherwise has or shares voting power and/or investment power of such security and as to which that person has the right to acquire beneficial ownership of such security within 60 days. As a result, beneficial ownership of Participation Interest is reflected as beneficial ownership of Class A ordinary shares for which such Participation Interest may be exchanged.</w:t>
      </w:r>
    </w:p>
    <w:p>
      <w:pPr>
        <w:spacing w:after="0" w:line="88" w:lineRule="exact"/>
        <w:rPr>
          <w:rFonts w:ascii="Arial" w:cs="Arial" w:eastAsia="Arial" w:hAnsi="Arial"/>
          <w:sz w:val="17"/>
          <w:szCs w:val="17"/>
          <w:color w:val="auto"/>
        </w:rPr>
      </w:pPr>
    </w:p>
    <w:p>
      <w:pPr>
        <w:ind w:left="640" w:right="420"/>
        <w:spacing w:after="0" w:line="342" w:lineRule="auto"/>
        <w:rPr>
          <w:rFonts w:ascii="Arial" w:cs="Arial" w:eastAsia="Arial" w:hAnsi="Arial"/>
          <w:sz w:val="17"/>
          <w:szCs w:val="17"/>
          <w:color w:val="auto"/>
        </w:rPr>
      </w:pPr>
      <w:r>
        <w:rPr>
          <w:rFonts w:ascii="Arial" w:cs="Arial" w:eastAsia="Arial" w:hAnsi="Arial"/>
          <w:sz w:val="16"/>
          <w:szCs w:val="16"/>
          <w:color w:val="auto"/>
        </w:rPr>
        <w:t>Information regarding beneficial ownership of Class A ordinary shares is reported as of December 31, 2018 and is based on the information contained in the Schedule 13G filed by Silver Point Capital, L.P., Edward A. Mulé and Robert J. O’Shea with the SEC on February 14, 2019.</w:t>
      </w:r>
    </w:p>
    <w:p>
      <w:pPr>
        <w:spacing w:after="0" w:line="29" w:lineRule="exact"/>
        <w:rPr>
          <w:rFonts w:ascii="Arial" w:cs="Arial" w:eastAsia="Arial" w:hAnsi="Arial"/>
          <w:sz w:val="17"/>
          <w:szCs w:val="17"/>
          <w:color w:val="auto"/>
        </w:rPr>
      </w:pPr>
    </w:p>
    <w:p>
      <w:pPr>
        <w:ind w:left="640" w:right="420"/>
        <w:spacing w:after="0" w:line="277" w:lineRule="auto"/>
        <w:rPr>
          <w:rFonts w:ascii="Arial" w:cs="Arial" w:eastAsia="Arial" w:hAnsi="Arial"/>
          <w:sz w:val="17"/>
          <w:szCs w:val="17"/>
          <w:color w:val="auto"/>
        </w:rPr>
      </w:pPr>
      <w:r>
        <w:rPr>
          <w:rFonts w:ascii="Arial" w:cs="Arial" w:eastAsia="Arial" w:hAnsi="Arial"/>
          <w:sz w:val="18"/>
          <w:szCs w:val="18"/>
          <w:color w:val="auto"/>
        </w:rPr>
        <w:t>The registered address of New Cotai is 2 Greenwich Plaza, First Floor, Greenwich, CT 06830. The address of the principal business office of Silver Point Capital, L.P., Mr. Mulé and Mr. O’Shea is Two Greenwich Plaza, Greenwich, CT 06830.</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0" w:hanging="436"/>
        <w:spacing w:after="0" w:line="302" w:lineRule="auto"/>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Reflects 12,016,600 Class A ordinary shares, constituting 5.0% of outstanding Class A ordinary shares, represented by ADSs. Information regarding beneficial ownership is reported as of December 31, 2018 and is based on the information contained in the Schedule 13G filed by Ivy Investment Management Company and Waddell &amp; Reed Financial, Inc. with the SEC on February 14, 2019. The address for each of Ivy Investment Management Company and Waddell &amp; Reed Financial, Inc. is 6300 Lamar Avenue, Overland Park, KS 66202.</w:t>
      </w:r>
    </w:p>
    <w:p>
      <w:pPr>
        <w:spacing w:after="0" w:line="154"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As of December 31, 2018, a total of 314,329,776 Class A ordinary shares and Class B ordinary shares were outstanding, of which 132,306,684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w:t>
      </w:r>
    </w:p>
    <w:p>
      <w:pPr>
        <w:spacing w:after="0" w:line="188" w:lineRule="exact"/>
        <w:rPr>
          <w:sz w:val="20"/>
          <w:szCs w:val="20"/>
          <w:color w:val="auto"/>
        </w:rPr>
      </w:pPr>
    </w:p>
    <w:p>
      <w:pPr>
        <w:ind w:left="200" w:right="720" w:firstLine="881"/>
        <w:spacing w:after="0" w:line="277" w:lineRule="auto"/>
        <w:rPr>
          <w:sz w:val="20"/>
          <w:szCs w:val="20"/>
          <w:color w:val="auto"/>
        </w:rPr>
      </w:pPr>
      <w:r>
        <w:rPr>
          <w:rFonts w:ascii="Arial" w:cs="Arial" w:eastAsia="Arial" w:hAnsi="Arial"/>
          <w:sz w:val="18"/>
          <w:szCs w:val="18"/>
          <w:color w:val="auto"/>
        </w:rPr>
        <w:t>None of our shareholders have different voting rights from other shareholders. We are not aware of any arrangement that may, at a subsequent date, result in a change of control of our Company.</w:t>
      </w:r>
    </w:p>
    <w:p>
      <w:pPr>
        <w:spacing w:after="0" w:line="170"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left="200" w:right="300" w:firstLine="881"/>
        <w:spacing w:after="0" w:line="277" w:lineRule="auto"/>
        <w:rPr>
          <w:sz w:val="20"/>
          <w:szCs w:val="20"/>
          <w:color w:val="auto"/>
        </w:rPr>
      </w:pPr>
      <w:r>
        <w:rPr>
          <w:rFonts w:ascii="Arial" w:cs="Arial" w:eastAsia="Arial" w:hAnsi="Arial"/>
          <w:sz w:val="18"/>
          <w:szCs w:val="18"/>
          <w:color w:val="auto"/>
        </w:rPr>
        <w:t>For a discussion of significant related party transactions we entered into during the years ended December 31, 2018, 2017 and 2016, see note 14 to the consolidated financial statements included elsewhere in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Pre-IPO Organizational Transactions</w:t>
      </w:r>
    </w:p>
    <w:p>
      <w:pPr>
        <w:spacing w:after="0" w:line="12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w:t>
      </w:r>
    </w:p>
    <w:p>
      <w:pPr>
        <w:spacing w:after="0" w:line="92" w:lineRule="exact"/>
        <w:rPr>
          <w:sz w:val="20"/>
          <w:szCs w:val="20"/>
          <w:color w:val="auto"/>
        </w:rPr>
      </w:pPr>
    </w:p>
    <w:p>
      <w:pPr>
        <w:ind w:left="1060" w:right="52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amended and restated our memorandum of association and articles of association to, among other things, authorize two classes of ordinary shares.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MCO Cotai’s 60% equity interest in our company was reclassified into Class A ordinary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New Cotai’s 40% equity interest in our company was exchanged for Class B ordinary shares.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New Cotai was granted a Participation Interest in MSC Cotai, the terms of which are set forth in the Participation Agreement that was entered into by MSC Cotai, New Cotai and us. See “— Participation Agreement.”</w:t>
      </w:r>
    </w:p>
    <w:p>
      <w:pPr>
        <w:spacing w:after="0" w:line="75" w:lineRule="exact"/>
        <w:rPr>
          <w:rFonts w:ascii="Arial" w:cs="Arial" w:eastAsia="Arial" w:hAnsi="Arial"/>
          <w:sz w:val="18"/>
          <w:szCs w:val="18"/>
          <w:color w:val="auto"/>
        </w:rPr>
      </w:pPr>
    </w:p>
    <w:p>
      <w:pPr>
        <w:ind w:left="1060" w:right="120" w:hanging="316"/>
        <w:spacing w:after="0" w:line="297"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Participation Agreement provides that New Cotai is entitled to exchange all or a portion of its Participation Interest for a number of Class A ordinary shares subject to adjustments, exceptions and conditions as set out in the Participation Agreement. See “— Participation Agreement.” When New Cotai exchanges all or a portion of the Participation Interest for Class A ordinary shares pursuant to the terms of exchange set forth in the Participation Agreement and described herein, a proportionate number of Class B ordinary shares will be deemed surrendered and automatically canceled for no consideration as set out in the Participation Agreement.</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Participation Agreement</w:t>
      </w:r>
    </w:p>
    <w:p>
      <w:pPr>
        <w:spacing w:after="0" w:line="117" w:lineRule="exact"/>
        <w:rPr>
          <w:sz w:val="20"/>
          <w:szCs w:val="20"/>
          <w:color w:val="auto"/>
        </w:rPr>
      </w:pPr>
    </w:p>
    <w:p>
      <w:pPr>
        <w:ind w:left="200" w:right="140" w:firstLine="881"/>
        <w:spacing w:after="0" w:line="272" w:lineRule="auto"/>
        <w:rPr>
          <w:sz w:val="20"/>
          <w:szCs w:val="20"/>
          <w:color w:val="auto"/>
        </w:rPr>
      </w:pPr>
      <w:r>
        <w:rPr>
          <w:rFonts w:ascii="Arial" w:cs="Arial" w:eastAsia="Arial" w:hAnsi="Arial"/>
          <w:sz w:val="17"/>
          <w:szCs w:val="17"/>
          <w:color w:val="auto"/>
        </w:rPr>
        <w:t>As part of the Organizational Transactions, we, MSC Cotai and New Cotai entered into the participation agreement, or the Participation Agreement, pursuant to which MSC Cotai granted a participation 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rateable number of Class A ordinary shares.</w:t>
      </w:r>
    </w:p>
    <w:p>
      <w:pPr>
        <w:spacing w:after="0" w:line="178"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b w:val="1"/>
          <w:bCs w:val="1"/>
          <w:i w:val="1"/>
          <w:iCs w:val="1"/>
          <w:color w:val="auto"/>
        </w:rPr>
        <w:t xml:space="preserve">Payments on the Participation Interest. </w:t>
      </w:r>
      <w:r>
        <w:rPr>
          <w:rFonts w:ascii="Arial" w:cs="Arial" w:eastAsia="Arial" w:hAnsi="Arial"/>
          <w:sz w:val="16"/>
          <w:szCs w:val="16"/>
          <w:color w:val="auto"/>
        </w:rPr>
        <w:t>Generally, Participants are entitled to receive a ratable proportionate amount of the distributions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w:t>
      </w:r>
    </w:p>
    <w:p>
      <w:pPr>
        <w:spacing w:after="0" w:line="154"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b w:val="1"/>
          <w:bCs w:val="1"/>
          <w:i w:val="1"/>
          <w:iCs w:val="1"/>
          <w:color w:val="auto"/>
        </w:rPr>
        <w:t xml:space="preserve">Adjustments to Participation Interest and the Number of Class B Ordinary Shares Held. </w:t>
      </w:r>
      <w:r>
        <w:rPr>
          <w:rFonts w:ascii="Arial" w:cs="Arial" w:eastAsia="Arial" w:hAnsi="Arial"/>
          <w:sz w:val="18"/>
          <w:szCs w:val="18"/>
          <w:color w:val="auto"/>
        </w:rPr>
        <w:t>Generally, the Participation Interest is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w:t>
      </w:r>
    </w:p>
    <w:p>
      <w:pPr>
        <w:spacing w:after="0" w:line="189" w:lineRule="exact"/>
        <w:rPr>
          <w:sz w:val="20"/>
          <w:szCs w:val="20"/>
          <w:color w:val="auto"/>
        </w:rPr>
      </w:pPr>
    </w:p>
    <w:p>
      <w:pPr>
        <w:ind w:left="200" w:right="60" w:firstLine="881"/>
        <w:spacing w:after="0" w:line="285" w:lineRule="auto"/>
        <w:rPr>
          <w:sz w:val="20"/>
          <w:szCs w:val="20"/>
          <w:color w:val="auto"/>
        </w:rPr>
      </w:pPr>
      <w:r>
        <w:rPr>
          <w:rFonts w:ascii="Arial" w:cs="Arial" w:eastAsia="Arial" w:hAnsi="Arial"/>
          <w:sz w:val="16"/>
          <w:szCs w:val="16"/>
          <w:b w:val="1"/>
          <w:bCs w:val="1"/>
          <w:i w:val="1"/>
          <w:iCs w:val="1"/>
          <w:color w:val="auto"/>
        </w:rPr>
        <w:t xml:space="preserve">Capital Contributions. </w:t>
      </w:r>
      <w:r>
        <w:rPr>
          <w:rFonts w:ascii="Arial" w:cs="Arial" w:eastAsia="Arial" w:hAnsi="Arial"/>
          <w:sz w:val="16"/>
          <w:szCs w:val="16"/>
          <w:color w:val="auto"/>
        </w:rPr>
        <w:t>Upon any Class A ordinary share issuance by the Company, the Company will contribute all proceeds to MSC Cotai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w:t>
      </w:r>
    </w:p>
    <w:p>
      <w:pPr>
        <w:spacing w:after="0" w:line="2" w:lineRule="exact"/>
        <w:rPr>
          <w:sz w:val="20"/>
          <w:szCs w:val="20"/>
          <w:color w:val="auto"/>
        </w:rPr>
      </w:pPr>
    </w:p>
    <w:p>
      <w:pPr>
        <w:ind w:left="200" w:firstLine="4"/>
        <w:spacing w:after="0" w:line="261" w:lineRule="auto"/>
        <w:tabs>
          <w:tab w:leader="none" w:pos="5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pursuant to public offerings. Issuances to affiliates, unless they are made through public offerings, will generally be subject to pre-emption as further described below.</w:t>
      </w:r>
    </w:p>
    <w:p>
      <w:pPr>
        <w:spacing w:after="0" w:line="184"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b w:val="1"/>
          <w:bCs w:val="1"/>
          <w:i w:val="1"/>
          <w:iCs w:val="1"/>
          <w:color w:val="auto"/>
        </w:rPr>
        <w:t xml:space="preserve">Share Repurchases and Redemptions. </w:t>
      </w:r>
      <w:r>
        <w:rPr>
          <w:rFonts w:ascii="Arial" w:cs="Arial" w:eastAsia="Arial" w:hAnsi="Arial"/>
          <w:sz w:val="18"/>
          <w:szCs w:val="18"/>
          <w:color w:val="auto"/>
        </w:rPr>
        <w:t>In the event that MSC Cotai carries out a share redemption or repurchase of shares of MSC Cotai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w:t>
      </w:r>
    </w:p>
    <w:p>
      <w:pPr>
        <w:spacing w:after="0" w:line="187"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b w:val="1"/>
          <w:bCs w:val="1"/>
          <w:i w:val="1"/>
          <w:iCs w:val="1"/>
          <w:color w:val="auto"/>
        </w:rPr>
        <w:t xml:space="preserve">Exchanges of Participation Interest. </w:t>
      </w:r>
      <w:r>
        <w:rPr>
          <w:rFonts w:ascii="Arial" w:cs="Arial" w:eastAsia="Arial" w:hAnsi="Arial"/>
          <w:sz w:val="18"/>
          <w:szCs w:val="18"/>
          <w:color w:val="auto"/>
        </w:rPr>
        <w:t>A Participant may elect, from time to time, to exchange its Participation Interest, in whole or in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Class A ordinary shares. When electing to exchange, a Participant must deliver an exchange notice to MSC Cotai, which notice must be delivered at least five business days prior to 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w:t>
      </w:r>
    </w:p>
    <w:p>
      <w:pPr>
        <w:spacing w:after="0" w:line="181" w:lineRule="exact"/>
        <w:rPr>
          <w:sz w:val="20"/>
          <w:szCs w:val="20"/>
          <w:color w:val="auto"/>
        </w:rPr>
      </w:pPr>
    </w:p>
    <w:p>
      <w:pPr>
        <w:ind w:left="200" w:right="240" w:firstLine="881"/>
        <w:spacing w:after="0" w:line="257" w:lineRule="auto"/>
        <w:rPr>
          <w:sz w:val="20"/>
          <w:szCs w:val="20"/>
          <w:color w:val="auto"/>
        </w:rPr>
      </w:pPr>
      <w:r>
        <w:rPr>
          <w:rFonts w:ascii="Arial" w:cs="Arial" w:eastAsia="Arial" w:hAnsi="Arial"/>
          <w:sz w:val="18"/>
          <w:szCs w:val="18"/>
          <w:b w:val="1"/>
          <w:bCs w:val="1"/>
          <w:i w:val="1"/>
          <w:iCs w:val="1"/>
          <w:color w:val="auto"/>
        </w:rPr>
        <w:t xml:space="preserve">Mandatory Exchanges. </w:t>
      </w:r>
      <w:r>
        <w:rPr>
          <w:rFonts w:ascii="Arial" w:cs="Arial" w:eastAsia="Arial" w:hAnsi="Arial"/>
          <w:sz w:val="18"/>
          <w:szCs w:val="18"/>
          <w:color w:val="auto"/>
        </w:rPr>
        <w:t>In case of certain change of control events relating to the Company, distributions to be made upon MSC Cotai’s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w:t>
      </w:r>
    </w:p>
    <w:p>
      <w:pPr>
        <w:spacing w:after="0" w:line="188"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b w:val="1"/>
          <w:bCs w:val="1"/>
          <w:i w:val="1"/>
          <w:iCs w:val="1"/>
          <w:color w:val="auto"/>
        </w:rPr>
        <w:t xml:space="preserve">Preemptive Rights. </w:t>
      </w:r>
      <w:r>
        <w:rPr>
          <w:rFonts w:ascii="Arial" w:cs="Arial" w:eastAsia="Arial" w:hAnsi="Arial"/>
          <w:sz w:val="18"/>
          <w:szCs w:val="18"/>
          <w:color w:val="auto"/>
        </w:rPr>
        <w:t>If the Company (1) proposes to offer equity securities solely or primarily to Melco Resorts or one of its affiliates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1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b w:val="1"/>
          <w:bCs w:val="1"/>
          <w:i w:val="1"/>
          <w:iCs w:val="1"/>
          <w:color w:val="auto"/>
        </w:rPr>
        <w:t xml:space="preserve">Capital Contributions. </w:t>
      </w:r>
      <w:r>
        <w:rPr>
          <w:rFonts w:ascii="Arial" w:cs="Arial" w:eastAsia="Arial" w:hAnsi="Arial"/>
          <w:sz w:val="18"/>
          <w:szCs w:val="18"/>
          <w:color w:val="auto"/>
        </w:rPr>
        <w:t>The Company is required to contribute to MSC Cotai all net proceeds received by it from sales of equity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sales of assets.</w:t>
      </w:r>
    </w:p>
    <w:p>
      <w:pPr>
        <w:spacing w:after="0" w:line="170"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b w:val="1"/>
          <w:bCs w:val="1"/>
          <w:i w:val="1"/>
          <w:iCs w:val="1"/>
          <w:color w:val="auto"/>
        </w:rPr>
        <w:t xml:space="preserve">Debt Arrangements. </w:t>
      </w:r>
      <w:r>
        <w:rPr>
          <w:rFonts w:ascii="Arial" w:cs="Arial" w:eastAsia="Arial" w:hAnsi="Arial"/>
          <w:sz w:val="18"/>
          <w:szCs w:val="18"/>
          <w:color w:val="auto"/>
        </w:rPr>
        <w:t>If the Company enters into any debt financing or other borrowing arrangement, the Company will be required to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entire proceeds from such financing or borrowing arrangement to MSC Cotai on the same terms and conditions that the Company borrowed such proceeds.</w:t>
      </w:r>
    </w:p>
    <w:p>
      <w:pPr>
        <w:spacing w:after="0" w:line="181"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b w:val="1"/>
          <w:bCs w:val="1"/>
          <w:i w:val="1"/>
          <w:iCs w:val="1"/>
          <w:color w:val="auto"/>
        </w:rPr>
        <w:t xml:space="preserve">HoldCo Relationship. </w:t>
      </w:r>
      <w:r>
        <w:rPr>
          <w:rFonts w:ascii="Arial" w:cs="Arial" w:eastAsia="Arial" w:hAnsi="Arial"/>
          <w:sz w:val="18"/>
          <w:szCs w:val="18"/>
          <w:color w:val="auto"/>
        </w:rPr>
        <w:t>The Company covenants that it will always own all of the issued and outstanding shares of MSC Cotai, and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own equity interests in any other entity.</w:t>
      </w:r>
    </w:p>
    <w:p>
      <w:pPr>
        <w:spacing w:after="0" w:line="170"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b w:val="1"/>
          <w:bCs w:val="1"/>
          <w:i w:val="1"/>
          <w:iCs w:val="1"/>
          <w:color w:val="auto"/>
        </w:rPr>
        <w:t xml:space="preserve">Permitted Transferees. </w:t>
      </w:r>
      <w:r>
        <w:rPr>
          <w:rFonts w:ascii="Arial" w:cs="Arial" w:eastAsia="Arial" w:hAnsi="Arial"/>
          <w:sz w:val="18"/>
          <w:szCs w:val="18"/>
          <w:color w:val="auto"/>
        </w:rPr>
        <w:t>Holders of the Participation Interests are able to transfer all or part of their Participation Interest and any rights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w:t>
      </w:r>
    </w:p>
    <w:p>
      <w:pPr>
        <w:spacing w:after="0" w:line="188" w:lineRule="exact"/>
        <w:rPr>
          <w:sz w:val="20"/>
          <w:szCs w:val="20"/>
          <w:color w:val="auto"/>
        </w:rPr>
      </w:pPr>
    </w:p>
    <w:p>
      <w:pPr>
        <w:ind w:left="200" w:right="40" w:firstLine="881"/>
        <w:spacing w:after="0" w:line="273" w:lineRule="auto"/>
        <w:rPr>
          <w:sz w:val="20"/>
          <w:szCs w:val="20"/>
          <w:color w:val="auto"/>
        </w:rPr>
      </w:pPr>
      <w:r>
        <w:rPr>
          <w:rFonts w:ascii="Arial" w:cs="Arial" w:eastAsia="Arial" w:hAnsi="Arial"/>
          <w:sz w:val="17"/>
          <w:szCs w:val="17"/>
          <w:b w:val="1"/>
          <w:bCs w:val="1"/>
          <w:i w:val="1"/>
          <w:iCs w:val="1"/>
          <w:color w:val="auto"/>
        </w:rPr>
        <w:t xml:space="preserve">Termination, Governing Law and Arbitration. </w:t>
      </w:r>
      <w:r>
        <w:rPr>
          <w:rFonts w:ascii="Arial" w:cs="Arial" w:eastAsia="Arial" w:hAnsi="Arial"/>
          <w:sz w:val="17"/>
          <w:szCs w:val="17"/>
          <w:color w:val="auto"/>
        </w:rPr>
        <w:t>The Participation Agreement will terminate when the holders of the Participation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 offering. We believe arbitration provisions in commercial agreements are generally respected by federal courts and state courts of New York.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Assured Entitlement Subscription Agreement</w:t>
      </w:r>
    </w:p>
    <w:p>
      <w:pPr>
        <w:spacing w:after="0" w:line="121" w:lineRule="exact"/>
        <w:rPr>
          <w:sz w:val="20"/>
          <w:szCs w:val="20"/>
          <w:color w:val="auto"/>
        </w:rPr>
      </w:pPr>
    </w:p>
    <w:p>
      <w:pPr>
        <w:ind w:left="200" w:right="20" w:firstLine="881"/>
        <w:spacing w:after="0" w:line="286" w:lineRule="auto"/>
        <w:rPr>
          <w:sz w:val="20"/>
          <w:szCs w:val="20"/>
          <w:color w:val="auto"/>
        </w:rPr>
      </w:pPr>
      <w:r>
        <w:rPr>
          <w:rFonts w:ascii="Arial" w:cs="Arial" w:eastAsia="Arial" w:hAnsi="Arial"/>
          <w:sz w:val="17"/>
          <w:szCs w:val="17"/>
          <w:color w:val="auto"/>
        </w:rPr>
        <w:t>Pursuant to the assured entitlement distribution, we entered into a subscription agreement with Melco International pursuant to which Melco International purchased from us 800,376 new Class A ordinary shares at the initial public offering price per ADS divided by the number of Class A ordinary shares represented by one ADS for each Class A ordinary share for the purpose of its assured entitlement distribution in specie.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In connection with our initial public offering and the Organizational Transactions, we entered into an amended shareholders agreement with Melco Resorts, MCO Cotai and New Cotai which took effect immediately 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“Item 6. Directors, Senior Management and Employees — C. Board Practices — Employment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 with the Gaming Operator under Services and Right to Use Arrangements</w:t>
      </w:r>
    </w:p>
    <w:p>
      <w:pPr>
        <w:spacing w:after="0" w:line="121" w:lineRule="exact"/>
        <w:rPr>
          <w:sz w:val="20"/>
          <w:szCs w:val="20"/>
          <w:color w:val="auto"/>
        </w:rPr>
      </w:pPr>
    </w:p>
    <w:p>
      <w:pPr>
        <w:jc w:val="both"/>
        <w:ind w:left="200" w:right="20" w:firstLine="881"/>
        <w:spacing w:after="0" w:line="259" w:lineRule="auto"/>
        <w:rPr>
          <w:sz w:val="20"/>
          <w:szCs w:val="20"/>
          <w:color w:val="auto"/>
        </w:rPr>
      </w:pPr>
      <w:r>
        <w:rPr>
          <w:rFonts w:ascii="Arial" w:cs="Arial" w:eastAsia="Arial" w:hAnsi="Arial"/>
          <w:sz w:val="18"/>
          <w:szCs w:val="18"/>
          <w:color w:val="auto"/>
        </w:rPr>
        <w:t>Under the Services and Right to Use Arrangements, the Gaming Operator is responsible for the operation of Studio City Casino and deducts gaming tax and the costs incurred in connection with its operation of Studio City Casino from the gross gaming revenues. We receive the residual gross gaming revenues and recognize these amounts as revenues from provision of gaming related services. See “— Services and Right to Use Arrangements” for details of the terms of the Services and Right to Use Arrangements.</w:t>
      </w:r>
    </w:p>
    <w:p>
      <w:pPr>
        <w:spacing w:after="0" w:line="18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In 2018, 2017 and 2016, total gaming tax and costs incurred in connection with the operation of Studio City Casino deducted by the Gaming Operator from gross gaming revenues were US$1,243.9 million, US$1,142.5 million and US$554.6 million, respectively. After the deduction by the Gaming Operator of gaming tax and the costs incurred in connection with its operation of Studio City Casino from gross gaming revenues, we recognized revenues from the provision of gaming related services of US$339.9 million, US$295.6 million and US$151.6 million in 2018, 2017 and 2016, respectively.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Services and Right to Use Arrangements</w:t>
      </w:r>
    </w:p>
    <w:p>
      <w:pPr>
        <w:spacing w:after="0" w:line="121"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On May 11, 2007, our subsidiary, Studio City Entertainment, and the Gaming Operator entered into the Services and Right to Use Agreement (as amended on June 15, 2012, together with the reimbursement agreement of the same date and other agreements or arrangements entered into from time to time regarding the operation of Studio City Casino, the “Services and Right to Use Arrangements”) pursuant to which the Gaming Operator operates Studio City Casino. These arrangements remain effective until June 26, 2022, and will be extended if the Gaming Operator obtains a gaming concession, subconcession or other right to legally operate gaming in Macau beyond June 26, 2022 and if the Macau government permits such extension.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881"/>
        <w:spacing w:after="0" w:line="277" w:lineRule="auto"/>
        <w:rPr>
          <w:sz w:val="20"/>
          <w:szCs w:val="20"/>
          <w:color w:val="auto"/>
        </w:rPr>
      </w:pPr>
      <w:r>
        <w:rPr>
          <w:rFonts w:ascii="Arial" w:cs="Arial" w:eastAsia="Arial" w:hAnsi="Arial"/>
          <w:sz w:val="18"/>
          <w:szCs w:val="18"/>
          <w:color w:val="auto"/>
        </w:rPr>
        <w:t>The Services and Right to Use Arrangements set forth the terms and conditions for the operation of Studio City Casino by the Gaming Operator and the obligations of Studio City Entertainment in respect thereof.</w:t>
      </w:r>
    </w:p>
    <w:p>
      <w:pPr>
        <w:spacing w:after="0" w:line="170"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Under the Services and Right to Use Arrangements, Studio City Entertainment allows the Gaming Operator to use and occupy Studio City Casino for purposes of managing all day-to-day operations, and the Gaming Operator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 and costs incurred in connection with its operation of Studio City Casino. Studio City Entertainment receives the residual gross gaming revenues and recognizes these amounts as our revenues from provision of gaming related services.</w:t>
      </w:r>
    </w:p>
    <w:p>
      <w:pPr>
        <w:spacing w:after="0" w:line="193"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Studio City Entertainment has sole responsibility with respect to the design, construction and any refurbishments of Studio City Casino and shall be responsible for all costs. The Gaming Operator shall procure all necessary permits, authorizations and licenses necessary to operate Studio City Casino in accordance with Macau law.</w:t>
      </w:r>
    </w:p>
    <w:p>
      <w:pPr>
        <w:spacing w:after="0" w:line="181" w:lineRule="exact"/>
        <w:rPr>
          <w:sz w:val="20"/>
          <w:szCs w:val="20"/>
          <w:color w:val="auto"/>
        </w:rPr>
      </w:pPr>
    </w:p>
    <w:p>
      <w:pPr>
        <w:ind w:left="200" w:right="100" w:firstLine="881"/>
        <w:spacing w:after="0" w:line="276" w:lineRule="auto"/>
        <w:rPr>
          <w:sz w:val="20"/>
          <w:szCs w:val="20"/>
          <w:color w:val="auto"/>
        </w:rPr>
      </w:pPr>
      <w:r>
        <w:rPr>
          <w:rFonts w:ascii="Arial" w:cs="Arial" w:eastAsia="Arial" w:hAnsi="Arial"/>
          <w:sz w:val="17"/>
          <w:szCs w:val="17"/>
          <w:color w:val="auto"/>
        </w:rPr>
        <w:t>The Services and Right to Use Agreement is subject to customary events of default, including failure of Studio City Entertainment to make any payment required by the agreement or any action by Studio City Entertainment which causes or is likely to cause the Gaming Operator to be in breach of its subconcession. The parties may terminate the Services and Right to Use Agreement in the event of a default under the Services and Right to Use Agreement or, among others, as a result of regulatory review, except that as long as Studio City Entertainment is directly or indirectly under the control of Melco Resorts, the Gaming Operator may not terminate the Services and Right to Use Agreement.</w:t>
      </w:r>
    </w:p>
    <w:p>
      <w:pPr>
        <w:spacing w:after="0" w:line="173" w:lineRule="exact"/>
        <w:rPr>
          <w:sz w:val="20"/>
          <w:szCs w:val="20"/>
          <w:color w:val="auto"/>
        </w:rPr>
      </w:pPr>
    </w:p>
    <w:p>
      <w:pPr>
        <w:ind w:left="200" w:right="220" w:firstLine="881"/>
        <w:spacing w:after="0" w:line="259" w:lineRule="auto"/>
        <w:rPr>
          <w:sz w:val="20"/>
          <w:szCs w:val="20"/>
          <w:color w:val="auto"/>
        </w:rPr>
      </w:pPr>
      <w:r>
        <w:rPr>
          <w:rFonts w:ascii="Arial" w:cs="Arial" w:eastAsia="Arial" w:hAnsi="Arial"/>
          <w:sz w:val="18"/>
          <w:szCs w:val="18"/>
          <w:color w:val="auto"/>
        </w:rPr>
        <w:t>In November 2016, pursuant to a request we made under the Services and Right to Use Agreement, the Gaming Operator commenced the operation of VIP tables at Studio City Casino. On or after October 1, 2018, either we or the Gaming Operator may request the operations of the VIP tables at Studio City Casino to cease following a 12-month notice period. In January 2019, the Gaming Operator informed us that it will cease the operation of VIP rolling chip tables at the Studio City Casino on January 15, 2020.</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and Shared Services Arrangements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On December 21, 2015, Studio City Entertainment, Studio City Hotels, Studio City Retail Services Limited, Studio City Developments, Studio City Ventures Limited, Studio City Services Limited and the Company (the “Studio City Entities,” each a “Studio City Entity”) and the Master Service Providers entered into a Master Services Agreement (the “Master Services Agreement”), which sets out the terms and conditions that apply to certain services to be provided under the individual work agreements (the “Work Agreements,” each a “Work Agreement” and together with the Master Services Agreement and other arrangements for non-gaming services at the properties in Macau, the “Management and Shared Services Arrangements”) by the Master Service Providers to the Studio City Entities and vice versa.</w:t>
      </w:r>
    </w:p>
    <w:p>
      <w:pPr>
        <w:spacing w:after="0" w:line="178"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w:t>
      </w:r>
    </w:p>
    <w:p>
      <w:pPr>
        <w:spacing w:after="0" w:line="193"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Each type of service to be provided is to be set out in a separate Work Agreement between the relevant Studio City Entities and the Master Service Providers. As required by the parties, additional Work Agreements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w:t>
      </w:r>
    </w:p>
    <w:p>
      <w:pPr>
        <w:spacing w:after="0" w:line="181"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The Master Services Agreement is effective from December 21, 2015 until June 26, 2022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 directly or indirectly control the Company or any other entity that controls Studio City and the gaming areas in particular, or where relevant actions taken by any lenders lead to the foregoing results, and (e) by the Studio City Entities upon any material breach by a Master Service Provider which remains uncured after 30 days of written notice of such breach. If the Master Services Agreement is terminated, all Work Agreements shall automatically terminate.</w:t>
      </w:r>
    </w:p>
    <w:p>
      <w:pPr>
        <w:spacing w:after="0" w:line="182" w:lineRule="exact"/>
        <w:rPr>
          <w:sz w:val="20"/>
          <w:szCs w:val="20"/>
          <w:color w:val="auto"/>
        </w:rPr>
      </w:pPr>
    </w:p>
    <w:p>
      <w:pPr>
        <w:ind w:left="200" w:right="80" w:firstLine="881"/>
        <w:spacing w:after="0" w:line="290" w:lineRule="auto"/>
        <w:rPr>
          <w:sz w:val="20"/>
          <w:szCs w:val="20"/>
          <w:color w:val="auto"/>
        </w:rPr>
      </w:pPr>
      <w:r>
        <w:rPr>
          <w:rFonts w:ascii="Arial" w:cs="Arial" w:eastAsia="Arial" w:hAnsi="Arial"/>
          <w:sz w:val="16"/>
          <w:szCs w:val="16"/>
          <w:color w:val="auto"/>
        </w:rPr>
        <w:t>Specifically, 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w:t>
      </w:r>
    </w:p>
    <w:p>
      <w:pPr>
        <w:spacing w:after="0" w:line="166" w:lineRule="exact"/>
        <w:rPr>
          <w:sz w:val="20"/>
          <w:szCs w:val="20"/>
          <w:color w:val="auto"/>
        </w:rPr>
      </w:pPr>
    </w:p>
    <w:p>
      <w:pPr>
        <w:ind w:left="200" w:right="200" w:firstLine="881"/>
        <w:spacing w:after="0" w:line="285" w:lineRule="auto"/>
        <w:rPr>
          <w:sz w:val="20"/>
          <w:szCs w:val="20"/>
          <w:color w:val="auto"/>
        </w:rPr>
      </w:pPr>
      <w:r>
        <w:rPr>
          <w:rFonts w:ascii="Arial" w:cs="Arial" w:eastAsia="Arial" w:hAnsi="Arial"/>
          <w:sz w:val="16"/>
          <w:szCs w:val="16"/>
          <w:color w:val="auto"/>
        </w:rPr>
        <w:t>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w:t>
      </w:r>
    </w:p>
    <w:p>
      <w:pPr>
        <w:spacing w:after="0" w:line="2" w:lineRule="exact"/>
        <w:rPr>
          <w:sz w:val="20"/>
          <w:szCs w:val="20"/>
          <w:color w:val="auto"/>
        </w:rPr>
      </w:pPr>
    </w:p>
    <w:p>
      <w:pPr>
        <w:ind w:left="200" w:firstLine="4"/>
        <w:spacing w:after="0" w:line="281" w:lineRule="auto"/>
        <w:tabs>
          <w:tab w:leader="none" w:pos="4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w:t>
      </w:r>
    </w:p>
    <w:p>
      <w:pPr>
        <w:spacing w:after="0" w:line="1" w:lineRule="exact"/>
        <w:rPr>
          <w:rFonts w:ascii="Arial" w:cs="Arial" w:eastAsia="Arial" w:hAnsi="Arial"/>
          <w:sz w:val="16"/>
          <w:szCs w:val="16"/>
          <w:color w:val="auto"/>
        </w:rPr>
      </w:pPr>
    </w:p>
    <w:p>
      <w:pPr>
        <w:ind w:left="200" w:right="260" w:firstLine="4"/>
        <w:spacing w:after="0" w:line="323" w:lineRule="auto"/>
        <w:tabs>
          <w:tab w:leader="none" w:pos="4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assisting in development and installation of hardware and software systems as necessary to continue to manage and operate its business and properties relating to the terminated services. The transition period can be extended by up to 180 days, but cannot be extended beyond June 26, 2022.</w:t>
      </w:r>
    </w:p>
    <w:p>
      <w:pPr>
        <w:spacing w:after="0" w:line="139" w:lineRule="exact"/>
        <w:rPr>
          <w:sz w:val="20"/>
          <w:szCs w:val="20"/>
          <w:color w:val="auto"/>
        </w:rPr>
      </w:pPr>
    </w:p>
    <w:p>
      <w:pPr>
        <w:ind w:left="200" w:right="220" w:firstLine="881"/>
        <w:spacing w:after="0" w:line="264" w:lineRule="auto"/>
        <w:rPr>
          <w:sz w:val="20"/>
          <w:szCs w:val="20"/>
          <w:color w:val="auto"/>
        </w:rPr>
      </w:pPr>
      <w:r>
        <w:rPr>
          <w:rFonts w:ascii="Arial" w:cs="Arial" w:eastAsia="Arial" w:hAnsi="Arial"/>
          <w:sz w:val="18"/>
          <w:szCs w:val="18"/>
          <w:color w:val="auto"/>
        </w:rPr>
        <w:t>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Work Agreements</w:t>
      </w:r>
    </w:p>
    <w:p>
      <w:pPr>
        <w:spacing w:after="0" w:line="117" w:lineRule="exact"/>
        <w:rPr>
          <w:sz w:val="20"/>
          <w:szCs w:val="20"/>
          <w:color w:val="auto"/>
        </w:rPr>
      </w:pPr>
    </w:p>
    <w:p>
      <w:pPr>
        <w:ind w:left="200" w:right="560" w:firstLine="881"/>
        <w:spacing w:after="0" w:line="277" w:lineRule="auto"/>
        <w:rPr>
          <w:sz w:val="20"/>
          <w:szCs w:val="20"/>
          <w:color w:val="auto"/>
        </w:rPr>
      </w:pPr>
      <w:r>
        <w:rPr>
          <w:rFonts w:ascii="Arial" w:cs="Arial" w:eastAsia="Arial" w:hAnsi="Arial"/>
          <w:sz w:val="18"/>
          <w:szCs w:val="18"/>
          <w:color w:val="auto"/>
        </w:rPr>
        <w:t>We entered into eight Work Agreements on December 21, 2015, between certain of the Master Service Providers and the Studio City Entities. The Work Agreements cover: (1) services related to the sale and purchase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of certain property, plant and equipment and inventory and supplies; (2) corporate services; (3) certain pay-as-used charges; (4) operational and property sharing services; (5) limousine transportation services provided by the Master Service Providers; (6) aviation services; (7) collection and payment services; and (8) limousine transportation services provided by the Studio City Entities. The terms of the Work Agreements run concurrently with the Master Services Agreement.</w:t>
      </w:r>
    </w:p>
    <w:p>
      <w:pPr>
        <w:spacing w:after="0" w:line="18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 inventory and supplies, computer software and hardware services, limousine services and sales services in relation to attraction tickets.</w:t>
      </w:r>
    </w:p>
    <w:p>
      <w:pPr>
        <w:spacing w:after="0" w:line="188" w:lineRule="exact"/>
        <w:rPr>
          <w:sz w:val="20"/>
          <w:szCs w:val="20"/>
          <w:color w:val="auto"/>
        </w:rPr>
      </w:pPr>
    </w:p>
    <w:p>
      <w:pPr>
        <w:ind w:left="200" w:right="100" w:firstLine="881"/>
        <w:spacing w:after="0" w:line="276" w:lineRule="auto"/>
        <w:rPr>
          <w:sz w:val="20"/>
          <w:szCs w:val="20"/>
          <w:color w:val="auto"/>
        </w:rPr>
      </w:pPr>
      <w:r>
        <w:rPr>
          <w:rFonts w:ascii="Arial" w:cs="Arial" w:eastAsia="Arial" w:hAnsi="Arial"/>
          <w:sz w:val="17"/>
          <w:szCs w:val="17"/>
          <w:color w:val="auto"/>
        </w:rPr>
        <w:t>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 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Services and Right to Use Direct Agreement</w:t>
      </w:r>
    </w:p>
    <w:p>
      <w:pPr>
        <w:spacing w:after="0" w:line="121" w:lineRule="exact"/>
        <w:rPr>
          <w:sz w:val="20"/>
          <w:szCs w:val="20"/>
          <w:color w:val="auto"/>
        </w:rPr>
      </w:pPr>
    </w:p>
    <w:p>
      <w:pPr>
        <w:ind w:left="200" w:right="240" w:firstLine="881"/>
        <w:spacing w:after="0" w:line="259" w:lineRule="auto"/>
        <w:rPr>
          <w:sz w:val="20"/>
          <w:szCs w:val="20"/>
          <w:color w:val="auto"/>
        </w:rPr>
      </w:pPr>
      <w:r>
        <w:rPr>
          <w:rFonts w:ascii="Arial" w:cs="Arial" w:eastAsia="Arial" w:hAnsi="Arial"/>
          <w:sz w:val="18"/>
          <w:szCs w:val="18"/>
          <w:color w:val="auto"/>
        </w:rPr>
        <w:t>On November 26, 2013, Studio City Company, the Gaming Operator, Studio City Holdings Five Limited and the security agent under the 2013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Services and Right to Use Arrangements.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is likely to have a material adverse effect on our business, financial condition or results of operations. We may also from time to time initiate legal proceedings to protect our rights and interests.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not previously declared or paid cash dividends and do not have any plan to declare or pay any dividends in the foreseeable future.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currently intend to retain most, if not all, of our available funds and any future earnings to operate and expand our business.</w:t>
      </w:r>
    </w:p>
    <w:p>
      <w:pPr>
        <w:spacing w:after="0" w:line="211" w:lineRule="exact"/>
        <w:rPr>
          <w:sz w:val="20"/>
          <w:szCs w:val="20"/>
          <w:color w:val="auto"/>
        </w:rPr>
      </w:pPr>
    </w:p>
    <w:p>
      <w:pPr>
        <w:ind w:left="200" w:right="100" w:firstLine="881"/>
        <w:spacing w:after="0" w:line="270" w:lineRule="auto"/>
        <w:rPr>
          <w:sz w:val="20"/>
          <w:szCs w:val="20"/>
          <w:color w:val="auto"/>
        </w:rPr>
      </w:pPr>
      <w:r>
        <w:rPr>
          <w:rFonts w:ascii="Arial" w:cs="Arial" w:eastAsia="Arial" w:hAnsi="Arial"/>
          <w:sz w:val="17"/>
          <w:szCs w:val="17"/>
          <w:color w:val="auto"/>
        </w:rPr>
        <w:t>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w:t>
      </w:r>
    </w:p>
    <w:p>
      <w:pPr>
        <w:spacing w:after="0" w:line="178" w:lineRule="exact"/>
        <w:rPr>
          <w:sz w:val="20"/>
          <w:szCs w:val="20"/>
          <w:color w:val="auto"/>
        </w:rPr>
      </w:pPr>
    </w:p>
    <w:p>
      <w:pPr>
        <w:ind w:left="200" w:right="20" w:firstLine="881"/>
        <w:spacing w:after="0" w:line="287" w:lineRule="auto"/>
        <w:rPr>
          <w:sz w:val="20"/>
          <w:szCs w:val="20"/>
          <w:color w:val="auto"/>
        </w:rPr>
      </w:pPr>
      <w:r>
        <w:rPr>
          <w:rFonts w:ascii="Arial" w:cs="Arial" w:eastAsia="Arial" w:hAnsi="Arial"/>
          <w:sz w:val="16"/>
          <w:szCs w:val="16"/>
          <w:color w:val="auto"/>
        </w:rPr>
        <w:t>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through 2021 on profits generated from income received from the Gaming Operator, to the extent that such income results from gaming operations within Studio City Casino and has been subject to gaming tax. We remain subject to Macau complementary tax on 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w:t>
      </w:r>
    </w:p>
    <w:p>
      <w:pPr>
        <w:spacing w:after="0" w:line="173" w:lineRule="exact"/>
        <w:rPr>
          <w:sz w:val="20"/>
          <w:szCs w:val="20"/>
          <w:color w:val="auto"/>
        </w:rPr>
      </w:pPr>
    </w:p>
    <w:p>
      <w:pPr>
        <w:jc w:val="both"/>
        <w:ind w:left="200" w:firstLine="881"/>
        <w:spacing w:after="0" w:line="312" w:lineRule="auto"/>
        <w:rPr>
          <w:sz w:val="20"/>
          <w:szCs w:val="20"/>
          <w:color w:val="auto"/>
        </w:rPr>
      </w:pPr>
      <w:r>
        <w:rPr>
          <w:rFonts w:ascii="Arial" w:cs="Arial" w:eastAsia="Arial" w:hAnsi="Arial"/>
          <w:sz w:val="16"/>
          <w:szCs w:val="16"/>
          <w:color w:val="auto"/>
        </w:rPr>
        <w:t>In addition, the respective indentures governing our existing notes including the 2012 Notes and the 2016 Notes, the agreement for the 2016 Credit Facility and the 2019 Notes contain certain covenants that, subject to certain exceptions and conditions, restrict the payment of dividends by some of our subsidiaries. See “Item 5. Operating and Financial Review and Prospects — B. Liquidity and Capital Resources — Restrictions on Distributions.”</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left="200" w:right="780" w:firstLine="881"/>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OFFERING AND LISTING DETAILS</w:t>
      </w:r>
    </w:p>
    <w:p>
      <w:pPr>
        <w:spacing w:after="0" w:line="229"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Our ADSs, each representing four Class A ordinary shares, have been listed on the New York Stock Exchange under the symbol “MSC” from October 18,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provides the high and low trading prices for our ADSs on the New York Stock Exchange:</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NYSE</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9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940" w:type="dxa"/>
            <w:vAlign w:val="bottom"/>
          </w:tcPr>
          <w:p>
            <w:pPr>
              <w:ind w:left="420"/>
              <w:spacing w:after="0" w:line="142" w:lineRule="exact"/>
              <w:rPr>
                <w:sz w:val="20"/>
                <w:szCs w:val="20"/>
                <w:color w:val="auto"/>
              </w:rPr>
            </w:pPr>
            <w:r>
              <w:rPr>
                <w:rFonts w:ascii="Arial" w:cs="Arial" w:eastAsia="Arial" w:hAnsi="Arial"/>
                <w:sz w:val="14"/>
                <w:szCs w:val="14"/>
                <w:b w:val="1"/>
                <w:bCs w:val="1"/>
                <w:color w:val="auto"/>
                <w:w w:val="94"/>
              </w:rPr>
              <w:t>(in US$)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 and Low</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March 2019 (through March 27, 2019)</w:t>
            </w:r>
          </w:p>
        </w:tc>
        <w:tc>
          <w:tcPr>
            <w:tcW w:w="940" w:type="dxa"/>
            <w:vAlign w:val="bottom"/>
          </w:tcPr>
          <w:p>
            <w:pPr>
              <w:ind w:left="60"/>
              <w:spacing w:after="0"/>
              <w:rPr>
                <w:sz w:val="20"/>
                <w:szCs w:val="20"/>
                <w:color w:val="auto"/>
              </w:rPr>
            </w:pPr>
            <w:r>
              <w:rPr>
                <w:rFonts w:ascii="Arial" w:cs="Arial" w:eastAsia="Arial" w:hAnsi="Arial"/>
                <w:sz w:val="18"/>
                <w:szCs w:val="18"/>
                <w:color w:val="auto"/>
              </w:rPr>
              <w:t>18.50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14.80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February 2019</w:t>
            </w:r>
          </w:p>
        </w:tc>
        <w:tc>
          <w:tcPr>
            <w:tcW w:w="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18.75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14.03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January 2019</w:t>
            </w:r>
          </w:p>
        </w:tc>
        <w:tc>
          <w:tcPr>
            <w:tcW w:w="940" w:type="dxa"/>
            <w:vAlign w:val="bottom"/>
          </w:tcPr>
          <w:p>
            <w:pPr>
              <w:ind w:left="60"/>
              <w:spacing w:after="0"/>
              <w:rPr>
                <w:sz w:val="20"/>
                <w:szCs w:val="20"/>
                <w:color w:val="auto"/>
              </w:rPr>
            </w:pPr>
            <w:r>
              <w:rPr>
                <w:rFonts w:ascii="Arial" w:cs="Arial" w:eastAsia="Arial" w:hAnsi="Arial"/>
                <w:sz w:val="18"/>
                <w:szCs w:val="18"/>
                <w:color w:val="auto"/>
              </w:rPr>
              <w:t>16.92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12.73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December 2018</w:t>
            </w:r>
          </w:p>
        </w:tc>
        <w:tc>
          <w:tcPr>
            <w:tcW w:w="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20.39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15.50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November 2018</w:t>
            </w:r>
          </w:p>
        </w:tc>
        <w:tc>
          <w:tcPr>
            <w:tcW w:w="940" w:type="dxa"/>
            <w:vAlign w:val="bottom"/>
          </w:tcPr>
          <w:p>
            <w:pPr>
              <w:ind w:left="60"/>
              <w:spacing w:after="0"/>
              <w:rPr>
                <w:sz w:val="20"/>
                <w:szCs w:val="20"/>
                <w:color w:val="auto"/>
              </w:rPr>
            </w:pPr>
            <w:r>
              <w:rPr>
                <w:rFonts w:ascii="Arial" w:cs="Arial" w:eastAsia="Arial" w:hAnsi="Arial"/>
                <w:sz w:val="18"/>
                <w:szCs w:val="18"/>
                <w:color w:val="auto"/>
              </w:rPr>
              <w:t>28.59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13.79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October 2018 (from October 18, 2018)</w:t>
            </w:r>
          </w:p>
        </w:tc>
        <w:tc>
          <w:tcPr>
            <w:tcW w:w="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21.17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14.85</w:t>
            </w: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Quarterly High and Low</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2019 (through March 27, 2019)</w:t>
            </w:r>
          </w:p>
        </w:tc>
        <w:tc>
          <w:tcPr>
            <w:tcW w:w="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18.75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12.73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Fourth Quarter 2018 (from October 18, 2018)</w:t>
            </w:r>
          </w:p>
        </w:tc>
        <w:tc>
          <w:tcPr>
            <w:tcW w:w="940" w:type="dxa"/>
            <w:vAlign w:val="bottom"/>
          </w:tcPr>
          <w:p>
            <w:pPr>
              <w:ind w:left="60"/>
              <w:spacing w:after="0"/>
              <w:rPr>
                <w:sz w:val="20"/>
                <w:szCs w:val="20"/>
                <w:color w:val="auto"/>
              </w:rPr>
            </w:pPr>
            <w:r>
              <w:rPr>
                <w:rFonts w:ascii="Arial" w:cs="Arial" w:eastAsia="Arial" w:hAnsi="Arial"/>
                <w:sz w:val="18"/>
                <w:szCs w:val="18"/>
                <w:color w:val="auto"/>
              </w:rPr>
              <w:t>28.59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13.79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High and Low</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2018 (from October 18, 2018)</w:t>
            </w:r>
          </w:p>
        </w:tc>
        <w:tc>
          <w:tcPr>
            <w:tcW w:w="940" w:type="dxa"/>
            <w:vAlign w:val="bottom"/>
          </w:tcPr>
          <w:p>
            <w:pPr>
              <w:ind w:left="60"/>
              <w:spacing w:after="0"/>
              <w:rPr>
                <w:sz w:val="20"/>
                <w:szCs w:val="20"/>
                <w:color w:val="auto"/>
              </w:rPr>
            </w:pPr>
            <w:r>
              <w:rPr>
                <w:rFonts w:ascii="Arial" w:cs="Arial" w:eastAsia="Arial" w:hAnsi="Arial"/>
                <w:sz w:val="18"/>
                <w:szCs w:val="18"/>
                <w:color w:val="auto"/>
              </w:rPr>
              <w:t>28.59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13.79</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 PLAN OF DISTRIBUTION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Our ADSs, each representing four Class A ordinary shares, have been listed on the New York Stock Exchange under the symbol “MSC” from October 18, 2018.</w:t>
      </w:r>
    </w:p>
    <w:p>
      <w:pPr>
        <w:spacing w:after="0" w:line="38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00"/>
          </w:cols>
          <w:pgMar w:left="240" w:top="459" w:right="7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of association and the Companies Law (as amended) of the Cayman Islands, or Companies Law below, insofar as they relate to the material terms of our ordinary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The holders of our Class A ordinary shares are entitled to such dividends as may be declared by our board of directors subject to the Companies Law and our articles of association. Holders of the Class B ordinary shares do not have any right to receive dividends or distributions upon our liquidation or winding up.</w:t>
      </w:r>
    </w:p>
    <w:p>
      <w:pPr>
        <w:spacing w:after="0" w:line="181" w:lineRule="exact"/>
        <w:rPr>
          <w:sz w:val="20"/>
          <w:szCs w:val="20"/>
          <w:color w:val="auto"/>
        </w:rPr>
      </w:pPr>
    </w:p>
    <w:p>
      <w:pPr>
        <w:jc w:val="both"/>
        <w:ind w:left="200" w:right="260" w:firstLine="881"/>
        <w:spacing w:after="0" w:line="264" w:lineRule="auto"/>
        <w:rPr>
          <w:sz w:val="20"/>
          <w:szCs w:val="20"/>
          <w:color w:val="auto"/>
        </w:rPr>
      </w:pPr>
      <w:r>
        <w:rPr>
          <w:rFonts w:ascii="Arial" w:cs="Arial" w:eastAsia="Arial" w:hAnsi="Arial"/>
          <w:sz w:val="18"/>
          <w:szCs w:val="18"/>
          <w:color w:val="auto"/>
        </w:rPr>
        <w:t>Our articles of association require notice of any dividend that may have been declared to be given to each holder of our Class A ordinary shares or Class B ordinary shares and, pursuant to our articles of association, all dividends unclaimed for one year after having been declared may be forfeited by resolution of the directors for the benefit of the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58"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ordinary shares. Advance notice of at least seven clear days is required for the convening of our annual general meeting and other shareholders meetings.</w:t>
      </w:r>
    </w:p>
    <w:p>
      <w:pPr>
        <w:spacing w:after="0" w:line="188"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of Ordinary Shares</w:t>
      </w:r>
    </w:p>
    <w:p>
      <w:pPr>
        <w:spacing w:after="0" w:line="121"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76" w:lineRule="exact"/>
        <w:rPr>
          <w:sz w:val="20"/>
          <w:szCs w:val="20"/>
          <w:color w:val="auto"/>
        </w:rPr>
      </w:pPr>
    </w:p>
    <w:p>
      <w:pPr>
        <w:ind w:left="1060" w:right="640" w:hanging="424"/>
        <w:spacing w:after="0" w:line="308"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Our board of directors is required to refuse to register any purported transfer of Class B ordinary shares made otherwise than in compliance with the Participation Agreement.</w:t>
      </w:r>
    </w:p>
    <w:p>
      <w:pPr>
        <w:spacing w:after="0" w:line="170"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If our directors refuse to register a transfer they must, within two months after the date on which the instrument of transfer was lodged, send to each of the transferor and the transferee notice of such refusal.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Right of New Cotai</w:t>
      </w:r>
    </w:p>
    <w:p>
      <w:pPr>
        <w:spacing w:after="0" w:line="121" w:lineRule="exact"/>
        <w:rPr>
          <w:sz w:val="20"/>
          <w:szCs w:val="20"/>
          <w:color w:val="auto"/>
        </w:rPr>
      </w:pPr>
    </w:p>
    <w:p>
      <w:pPr>
        <w:ind w:left="200" w:right="140" w:firstLine="881"/>
        <w:spacing w:after="0" w:line="255" w:lineRule="auto"/>
        <w:rPr>
          <w:sz w:val="20"/>
          <w:szCs w:val="20"/>
          <w:color w:val="auto"/>
        </w:rPr>
      </w:pPr>
      <w:r>
        <w:rPr>
          <w:rFonts w:ascii="Arial" w:cs="Arial" w:eastAsia="Arial" w:hAnsi="Arial"/>
          <w:sz w:val="18"/>
          <w:szCs w:val="18"/>
          <w:color w:val="auto"/>
        </w:rPr>
        <w:t>Subject to certain conditions, New Cotai and its permitted transferees thereof may exchange their Participation Interest in MSC Cotai for a number of Class A ordinary shares. See “Item 7. Major Shareholders 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Calls on Ordinary Shares and Forfeiture of Ordinary Shares</w:t>
      </w:r>
    </w:p>
    <w:p>
      <w:pPr>
        <w:spacing w:after="0" w:line="121" w:lineRule="exact"/>
        <w:rPr>
          <w:sz w:val="20"/>
          <w:szCs w:val="20"/>
          <w:color w:val="auto"/>
        </w:rPr>
      </w:pPr>
    </w:p>
    <w:p>
      <w:pPr>
        <w:jc w:val="both"/>
        <w:ind w:left="200" w:right="180" w:firstLine="881"/>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Ordinary Shares</w:t>
      </w:r>
    </w:p>
    <w:p>
      <w:pPr>
        <w:spacing w:after="0" w:line="121"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Subject to the provisions of the Companies Law, we may issue shares on terms that are subject to redemption, at our option or at the option of the holders, on such terms and in such manner as the directors may determine.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memorandum and articles of association prohibit anyone who is an unsuitable person or an affiliate of an unsuitable person from:</w:t>
      </w:r>
    </w:p>
    <w:p>
      <w:pPr>
        <w:spacing w:after="0" w:line="142" w:lineRule="exact"/>
        <w:rPr>
          <w:sz w:val="20"/>
          <w:szCs w:val="20"/>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left="200" w:right="20" w:firstLine="881"/>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7"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75"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Variations of Rights of Shares</w:t>
      </w:r>
    </w:p>
    <w:p>
      <w:pPr>
        <w:spacing w:after="0" w:line="121"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All or any of the rights attached to any class of shares may, subject to the provisions of our memorandum and articles of association and the Companies Law,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may from time to time by ordinary resolution (but subject to other provisions of our memorandum and of articles of association):</w:t>
      </w:r>
    </w:p>
    <w:p>
      <w:pPr>
        <w:spacing w:after="0" w:line="142"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may prescribe;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30"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We may by special resolution (subject to our memorandum and articles) reduce our share capital and any capital redemption reserve in any manner authorized by law.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and Audit</w:t>
      </w:r>
    </w:p>
    <w:p>
      <w:pPr>
        <w:spacing w:after="0" w:line="12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70" w:lineRule="exact"/>
        <w:rPr>
          <w:sz w:val="20"/>
          <w:szCs w:val="20"/>
          <w:color w:val="auto"/>
        </w:rPr>
      </w:pPr>
    </w:p>
    <w:p>
      <w:pPr>
        <w:ind w:left="200" w:right="200" w:firstLine="881"/>
        <w:spacing w:after="0" w:line="308" w:lineRule="auto"/>
        <w:rPr>
          <w:sz w:val="20"/>
          <w:szCs w:val="20"/>
          <w:color w:val="auto"/>
        </w:rPr>
      </w:pPr>
      <w:r>
        <w:rPr>
          <w:rFonts w:ascii="Arial" w:cs="Arial" w:eastAsia="Arial" w:hAnsi="Arial"/>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7"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70"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24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Exempted Company</w:t>
      </w:r>
    </w:p>
    <w:p>
      <w:pPr>
        <w:spacing w:after="0" w:line="121"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92" w:lineRule="exact"/>
        <w:rPr>
          <w:sz w:val="20"/>
          <w:szCs w:val="20"/>
          <w:color w:val="auto"/>
        </w:rPr>
      </w:pPr>
    </w:p>
    <w:p>
      <w:pPr>
        <w:ind w:left="1060" w:right="12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issue shares with or without par value;</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The Companies Law is modeled after that of England and Wales but does not follow recent statutory enactments in England. In addition, the Companies Law differs from laws applicable to Delaware corporations and their shareholders. Set forth below is a summary of the significant differences between the provisions of the Companies Law applicable to us and the laws applicable to Delaware corporations and their shareholders.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The Companies Law permits mergers and consolidations between Cayman Islands companies and between Cayman Islands companies and non-Cayman Islands companies. For these purposes:</w:t>
      </w:r>
    </w:p>
    <w:p>
      <w:pPr>
        <w:spacing w:after="0" w:line="76" w:lineRule="exact"/>
        <w:rPr>
          <w:sz w:val="20"/>
          <w:szCs w:val="20"/>
          <w:color w:val="auto"/>
        </w:rPr>
      </w:pPr>
    </w:p>
    <w:p>
      <w:pPr>
        <w:ind w:left="1060" w:right="14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“merger” means the merging of two or more constituent companies and the vesting of their undertaking, property and liabilities in one of such companies as the surviving company; and</w:t>
      </w:r>
    </w:p>
    <w:p>
      <w:pPr>
        <w:spacing w:after="0" w:line="75" w:lineRule="exact"/>
        <w:rPr>
          <w:rFonts w:ascii="Arial" w:cs="Arial" w:eastAsia="Arial" w:hAnsi="Arial"/>
          <w:sz w:val="18"/>
          <w:szCs w:val="18"/>
          <w:color w:val="auto"/>
        </w:rPr>
      </w:pPr>
    </w:p>
    <w:p>
      <w:pPr>
        <w:ind w:left="1060" w:right="68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70" w:lineRule="exact"/>
        <w:rPr>
          <w:sz w:val="20"/>
          <w:szCs w:val="20"/>
          <w:color w:val="auto"/>
        </w:rPr>
      </w:pPr>
    </w:p>
    <w:p>
      <w:pPr>
        <w:ind w:left="200" w:right="920" w:firstLine="881"/>
        <w:spacing w:after="0" w:line="277"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w:t>
      </w:r>
    </w:p>
    <w:p>
      <w:pPr>
        <w:spacing w:after="0" w:line="76"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special resolution of the shareholders of each constituent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w:t>
      </w:r>
    </w:p>
    <w:p>
      <w:pPr>
        <w:spacing w:after="0" w:line="225" w:lineRule="exact"/>
        <w:rPr>
          <w:sz w:val="20"/>
          <w:szCs w:val="20"/>
          <w:color w:val="auto"/>
        </w:rPr>
      </w:pPr>
    </w:p>
    <w:p>
      <w:pPr>
        <w:jc w:val="both"/>
        <w:ind w:left="200" w:right="320" w:firstLine="881"/>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5"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200" w:right="160" w:firstLine="881"/>
        <w:spacing w:after="0" w:line="259"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7"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2" w:lineRule="exact"/>
        <w:rPr>
          <w:sz w:val="20"/>
          <w:szCs w:val="20"/>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200" w:firstLine="881"/>
        <w:spacing w:after="0" w:line="288"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9"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11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Under the Delaware General Corporation Law, a corporation’s certificate of incorporation may eliminate the right of stockholders to act by written consent. Our memorandum and articles of association allow shareholders to act by written resolutions.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As permitted under Cayman Islands law, our memorandum and articles of association do not provide for cumulative voting.</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200" w:right="840" w:firstLine="881"/>
        <w:spacing w:after="0" w:line="277"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7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Under our memorandum and articles of association, subject to the Shareholders’ Agreement, directors can be removed by special resolution of the shareholders.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200" w:firstLine="881"/>
        <w:spacing w:after="0" w:line="253" w:lineRule="auto"/>
        <w:rPr>
          <w:sz w:val="20"/>
          <w:szCs w:val="20"/>
          <w:color w:val="auto"/>
        </w:rPr>
      </w:pPr>
      <w:r>
        <w:rPr>
          <w:rFonts w:ascii="Arial" w:cs="Arial" w:eastAsia="Arial" w:hAnsi="Arial"/>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9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117"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54"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70"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memorandum and articles of association may be amended by a special resolution of shareholders.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Waiver of Certain Corporate Opportunities</w:t>
      </w:r>
    </w:p>
    <w:p>
      <w:pPr>
        <w:spacing w:after="0" w:line="11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jc w:val="both"/>
        <w:ind w:left="200" w:right="620" w:firstLine="881"/>
        <w:spacing w:after="0" w:line="264" w:lineRule="auto"/>
        <w:rPr>
          <w:sz w:val="20"/>
          <w:szCs w:val="20"/>
          <w:color w:val="auto"/>
        </w:rPr>
      </w:pPr>
      <w:r>
        <w:rPr>
          <w:rFonts w:ascii="Arial" w:cs="Arial" w:eastAsia="Arial" w:hAnsi="Arial"/>
          <w:sz w:val="18"/>
          <w:szCs w:val="18"/>
          <w:color w:val="auto"/>
        </w:rPr>
        <w:t>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Anti-takeover Provisions in our Memorandum and Articles of Association</w:t>
      </w:r>
    </w:p>
    <w:p>
      <w:pPr>
        <w:spacing w:after="0" w:line="11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7" w:lineRule="exact"/>
        <w:rPr>
          <w:sz w:val="20"/>
          <w:szCs w:val="20"/>
          <w:color w:val="auto"/>
        </w:rPr>
      </w:pPr>
    </w:p>
    <w:p>
      <w:pPr>
        <w:ind w:left="200" w:right="260" w:firstLine="881"/>
        <w:spacing w:after="0" w:line="264" w:lineRule="auto"/>
        <w:rPr>
          <w:sz w:val="20"/>
          <w:szCs w:val="20"/>
          <w:color w:val="auto"/>
        </w:rPr>
      </w:pPr>
      <w:r>
        <w:rPr>
          <w:rFonts w:ascii="Arial" w:cs="Arial" w:eastAsia="Arial" w:hAnsi="Arial"/>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81" w:lineRule="exact"/>
        <w:rPr>
          <w:sz w:val="20"/>
          <w:szCs w:val="20"/>
          <w:color w:val="auto"/>
        </w:rPr>
      </w:pPr>
    </w:p>
    <w:p>
      <w:pPr>
        <w:ind w:left="200" w:right="240" w:firstLine="881"/>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200" w:right="160" w:firstLine="881"/>
        <w:spacing w:after="0" w:line="276"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3"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 stamp duty is payable in respect of the issue of our ordinary shares or on an instrument of transfer in respect of our ordinary shares.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left="200" w:right="260" w:firstLine="881"/>
        <w:spacing w:after="0" w:line="302"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54"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87" w:lineRule="exact"/>
        <w:rPr>
          <w:sz w:val="20"/>
          <w:szCs w:val="20"/>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ADSs as part of a straddle, hedging, conversion or integrated transaction;</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interest of all classes of our voting stock or 10% or more of the total value of shares of all classes of our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 acquired ADSs pursuant to the exercise of an employee stock option or otherwise as compensation;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through such entities; or</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person subject to special tax accounting rules as a result of any item of gross income with respect to ADSs being taken into account in an “applicable financial statement” (as defined in the Code).</w:t>
      </w:r>
    </w:p>
    <w:p>
      <w:pPr>
        <w:spacing w:after="0" w:line="170" w:lineRule="exact"/>
        <w:rPr>
          <w:sz w:val="20"/>
          <w:szCs w:val="20"/>
          <w:color w:val="auto"/>
        </w:rPr>
      </w:pPr>
    </w:p>
    <w:p>
      <w:pPr>
        <w:jc w:val="both"/>
        <w:ind w:left="200" w:right="80" w:firstLine="881"/>
        <w:spacing w:after="0" w:line="264" w:lineRule="auto"/>
        <w:rPr>
          <w:sz w:val="20"/>
          <w:szCs w:val="20"/>
          <w:color w:val="auto"/>
        </w:rPr>
      </w:pPr>
      <w:r>
        <w:rPr>
          <w:rFonts w:ascii="Arial" w:cs="Arial" w:eastAsia="Arial" w:hAnsi="Arial"/>
          <w:sz w:val="18"/>
          <w:szCs w:val="18"/>
          <w:color w:val="auto"/>
        </w:rPr>
        <w:t>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w:t>
      </w:r>
    </w:p>
    <w:p>
      <w:pPr>
        <w:spacing w:after="0" w:line="181" w:lineRule="exact"/>
        <w:rPr>
          <w:sz w:val="20"/>
          <w:szCs w:val="20"/>
          <w:color w:val="auto"/>
        </w:rPr>
      </w:pPr>
    </w:p>
    <w:p>
      <w:pPr>
        <w:jc w:val="both"/>
        <w:ind w:left="200" w:right="40" w:firstLine="881"/>
        <w:spacing w:after="0" w:line="312" w:lineRule="auto"/>
        <w:rPr>
          <w:sz w:val="20"/>
          <w:szCs w:val="20"/>
          <w:color w:val="auto"/>
        </w:rPr>
      </w:pPr>
      <w:r>
        <w:rPr>
          <w:rFonts w:ascii="Arial" w:cs="Arial" w:eastAsia="Arial" w:hAnsi="Arial"/>
          <w:sz w:val="16"/>
          <w:szCs w:val="16"/>
          <w:color w:val="auto"/>
        </w:rPr>
        <w:t>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tax consequences of investing in and holding the ADSs.</w:t>
      </w:r>
    </w:p>
    <w:p>
      <w:pPr>
        <w:spacing w:after="0" w:line="143" w:lineRule="exact"/>
        <w:rPr>
          <w:sz w:val="20"/>
          <w:szCs w:val="20"/>
          <w:color w:val="auto"/>
        </w:rPr>
      </w:pPr>
    </w:p>
    <w:p>
      <w:pPr>
        <w:ind w:left="200" w:firstLine="881"/>
        <w:spacing w:after="0" w:line="256" w:lineRule="auto"/>
        <w:rPr>
          <w:sz w:val="20"/>
          <w:szCs w:val="20"/>
          <w:color w:val="auto"/>
        </w:rPr>
      </w:pPr>
      <w:r>
        <w:rPr>
          <w:rFonts w:ascii="Arial" w:cs="Arial" w:eastAsia="Arial" w:hAnsi="Arial"/>
          <w:sz w:val="18"/>
          <w:szCs w:val="18"/>
          <w:b w:val="1"/>
          <w:bCs w:val="1"/>
          <w:color w:val="auto"/>
        </w:rPr>
        <w:t>THE FOLLOWING DISCUSSION IS FOR INFORMATION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w:t>
      </w:r>
    </w:p>
    <w:p>
      <w:pPr>
        <w:spacing w:after="0" w:line="192"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For purposes of the discussion below, a “United States Holder” is a beneficial owner of the ADSs that is, for United States federal income tax purposes:</w:t>
      </w:r>
    </w:p>
    <w:p>
      <w:pPr>
        <w:spacing w:after="0" w:line="76" w:lineRule="exact"/>
        <w:rPr>
          <w:sz w:val="20"/>
          <w:szCs w:val="20"/>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30" w:lineRule="exact"/>
        <w:rPr>
          <w:rFonts w:ascii="Arial" w:cs="Arial" w:eastAsia="Arial" w:hAnsi="Arial"/>
          <w:sz w:val="18"/>
          <w:szCs w:val="18"/>
          <w:color w:val="auto"/>
        </w:rPr>
      </w:pPr>
    </w:p>
    <w:p>
      <w:pPr>
        <w:ind w:left="1060" w:right="120" w:hanging="424"/>
        <w:spacing w:after="0" w:line="312" w:lineRule="auto"/>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w:t>
      </w:r>
    </w:p>
    <w:p>
      <w:pPr>
        <w:spacing w:after="0" w:line="181"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 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 and Other Distributions on the ADSs</w:t>
      </w:r>
    </w:p>
    <w:p>
      <w:pPr>
        <w:spacing w:after="0" w:line="117"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78"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w:t>
      </w:r>
    </w:p>
    <w:p>
      <w:pPr>
        <w:spacing w:after="0" w:line="158"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w:t>
      </w:r>
    </w:p>
    <w:p>
      <w:pPr>
        <w:spacing w:after="0" w:line="147" w:lineRule="exact"/>
        <w:rPr>
          <w:sz w:val="20"/>
          <w:szCs w:val="20"/>
          <w:color w:val="auto"/>
        </w:rPr>
      </w:pPr>
    </w:p>
    <w:p>
      <w:pPr>
        <w:ind w:left="200" w:right="120" w:firstLine="881"/>
        <w:spacing w:after="0" w:line="276" w:lineRule="auto"/>
        <w:rPr>
          <w:sz w:val="20"/>
          <w:szCs w:val="20"/>
          <w:color w:val="auto"/>
        </w:rPr>
      </w:pPr>
      <w:r>
        <w:rPr>
          <w:rFonts w:ascii="Arial" w:cs="Arial" w:eastAsia="Arial" w:hAnsi="Arial"/>
          <w:sz w:val="17"/>
          <w:szCs w:val="17"/>
          <w:color w:val="auto"/>
        </w:rPr>
        <w:t>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firstLine="881"/>
        <w:spacing w:after="0" w:line="342" w:lineRule="auto"/>
        <w:rPr>
          <w:sz w:val="20"/>
          <w:szCs w:val="20"/>
          <w:color w:val="auto"/>
        </w:rPr>
      </w:pPr>
      <w:r>
        <w:rPr>
          <w:rFonts w:ascii="Arial" w:cs="Arial" w:eastAsia="Arial" w:hAnsi="Arial"/>
          <w:sz w:val="16"/>
          <w:szCs w:val="16"/>
          <w:color w:val="auto"/>
        </w:rPr>
        <w:t>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w:t>
      </w:r>
    </w:p>
    <w:p>
      <w:pPr>
        <w:spacing w:after="0" w:line="124"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7"/>
          <w:szCs w:val="17"/>
          <w:color w:val="auto"/>
        </w:rPr>
        <w:t>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Disposition of the ADSs</w:t>
      </w:r>
    </w:p>
    <w:p>
      <w:pPr>
        <w:spacing w:after="0" w:line="117"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 Capital gains of a non-corporate United States Holder, including an individual, that has held the ADS for more than one year currently are eligible for reduced tax rates. The deductibility of capital losses is subject to limitations.</w:t>
      </w:r>
    </w:p>
    <w:p>
      <w:pPr>
        <w:spacing w:after="0" w:line="171"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Any gain or loss that you recognize on a disposition of the ADSs generally will be treated as United States-source income or loss for foreign tax credit limitation purposes.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Based on the value of our assets and the composition of our income and assets, we do not believe we were a PFIC for our taxable year ended December 31, 2018. However, the determination of PFIC status involves extensive factual investigation, including ascertaining the fair market value of all of our assets on a quarterly basis and the character of each item of income that we earn, and is subject to uncertainty in several respects. 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2019, or for any future taxable year. Our United States tax counsel therefore expresses no opinion with respect to our PFIC status for any taxable year or our beliefs and expectations relating to such status set forth in this discussion.</w:t>
      </w:r>
    </w:p>
    <w:p>
      <w:pPr>
        <w:spacing w:after="0" w:line="179" w:lineRule="exact"/>
        <w:rPr>
          <w:sz w:val="20"/>
          <w:szCs w:val="20"/>
          <w:color w:val="auto"/>
        </w:rPr>
      </w:pPr>
    </w:p>
    <w:p>
      <w:pPr>
        <w:ind w:left="200" w:right="220" w:firstLine="881"/>
        <w:spacing w:after="0" w:line="277" w:lineRule="auto"/>
        <w:rPr>
          <w:sz w:val="20"/>
          <w:szCs w:val="20"/>
          <w:color w:val="auto"/>
        </w:rPr>
      </w:pPr>
      <w:r>
        <w:rPr>
          <w:rFonts w:ascii="Arial" w:cs="Arial" w:eastAsia="Arial" w:hAnsi="Arial"/>
          <w:sz w:val="18"/>
          <w:szCs w:val="18"/>
          <w:color w:val="auto"/>
        </w:rPr>
        <w:t>A non-United States corporation such as ourselves will be treated as a PFIC for United States federal income tax purposes for any taxable year if, applying applicable look-through rules, either:</w:t>
      </w:r>
    </w:p>
    <w:p>
      <w:pPr>
        <w:spacing w:after="0" w:line="76" w:lineRule="exact"/>
        <w:rPr>
          <w:sz w:val="20"/>
          <w:szCs w:val="20"/>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50% of the value of its assets (determined based on a quarterly average) during such year is attributable to assets that produce or are held for the production of passive income.</w:t>
      </w:r>
    </w:p>
    <w:p>
      <w:pPr>
        <w:spacing w:after="0" w:line="170" w:lineRule="exact"/>
        <w:rPr>
          <w:sz w:val="20"/>
          <w:szCs w:val="20"/>
          <w:color w:val="auto"/>
        </w:rPr>
      </w:pPr>
    </w:p>
    <w:p>
      <w:pPr>
        <w:ind w:left="200" w:right="140" w:firstLine="881"/>
        <w:spacing w:after="0" w:line="312"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w:t>
      </w:r>
    </w:p>
    <w:p>
      <w:pPr>
        <w:spacing w:after="0" w:line="147"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shorter of the three preceding taxable years or your holding period for the ADSs will be treated as an excess distribution. Under these rules:</w:t>
      </w:r>
    </w:p>
    <w:p>
      <w:pPr>
        <w:spacing w:after="0" w:line="142"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your holding period for the ADSs;</w:t>
      </w:r>
    </w:p>
    <w:p>
      <w:pPr>
        <w:spacing w:after="0" w:line="130" w:lineRule="exact"/>
        <w:rPr>
          <w:rFonts w:ascii="Arial" w:cs="Arial" w:eastAsia="Arial" w:hAnsi="Arial"/>
          <w:sz w:val="18"/>
          <w:szCs w:val="18"/>
          <w:color w:val="auto"/>
        </w:rPr>
      </w:pPr>
    </w:p>
    <w:p>
      <w:pPr>
        <w:ind w:left="1060" w:right="20" w:hanging="424"/>
        <w:spacing w:after="0" w:line="308"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amount of the excess distribution or recognized gain allocated to the taxable year of distribution or gain, and to any taxable years in your holding period prior to the first taxable year in which we were treated as a PFIC, would be treated as ordinary income; and</w:t>
      </w:r>
    </w:p>
    <w:p>
      <w:pPr>
        <w:spacing w:after="0" w:line="51"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81"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If we were a PFIC for any taxable year during which you hold ADSs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87"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w:t>
      </w:r>
    </w:p>
    <w:p>
      <w:pPr>
        <w:spacing w:after="0" w:line="188" w:lineRule="exact"/>
        <w:rPr>
          <w:sz w:val="20"/>
          <w:szCs w:val="20"/>
          <w:color w:val="auto"/>
        </w:rPr>
      </w:pPr>
    </w:p>
    <w:p>
      <w:pPr>
        <w:ind w:left="200" w:right="180" w:firstLine="881"/>
        <w:spacing w:after="0" w:line="342" w:lineRule="auto"/>
        <w:rPr>
          <w:sz w:val="20"/>
          <w:szCs w:val="20"/>
          <w:color w:val="auto"/>
        </w:rPr>
      </w:pPr>
      <w:r>
        <w:rPr>
          <w:rFonts w:ascii="Arial" w:cs="Arial" w:eastAsia="Arial" w:hAnsi="Arial"/>
          <w:sz w:val="16"/>
          <w:szCs w:val="16"/>
          <w:color w:val="auto"/>
        </w:rPr>
        <w:t>Consequently, if the ADSs continue to be listed on the New York Stock Exchange and are regularly traded, and you are a holder of ADSs, we expect that the mark-to-market election would be available to you if we were to become a PFIC, but no assurances are given in this regard.</w:t>
      </w:r>
    </w:p>
    <w:p>
      <w:pPr>
        <w:spacing w:after="0" w:line="124" w:lineRule="exact"/>
        <w:rPr>
          <w:sz w:val="20"/>
          <w:szCs w:val="20"/>
          <w:color w:val="auto"/>
        </w:rPr>
      </w:pPr>
    </w:p>
    <w:p>
      <w:pPr>
        <w:jc w:val="both"/>
        <w:ind w:left="200" w:right="120" w:firstLine="881"/>
        <w:spacing w:after="0" w:line="259" w:lineRule="auto"/>
        <w:rPr>
          <w:sz w:val="20"/>
          <w:szCs w:val="20"/>
          <w:color w:val="auto"/>
        </w:rPr>
      </w:pPr>
      <w:r>
        <w:rPr>
          <w:rFonts w:ascii="Arial" w:cs="Arial" w:eastAsia="Arial" w:hAnsi="Arial"/>
          <w:sz w:val="18"/>
          <w:szCs w:val="18"/>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w:t>
      </w:r>
    </w:p>
    <w:p>
      <w:pPr>
        <w:spacing w:after="0" w:line="187" w:lineRule="exact"/>
        <w:rPr>
          <w:sz w:val="20"/>
          <w:szCs w:val="20"/>
          <w:color w:val="auto"/>
        </w:rPr>
      </w:pPr>
    </w:p>
    <w:p>
      <w:pPr>
        <w:jc w:val="both"/>
        <w:ind w:left="200" w:right="80" w:firstLine="881"/>
        <w:spacing w:after="0" w:line="264" w:lineRule="auto"/>
        <w:rPr>
          <w:sz w:val="20"/>
          <w:szCs w:val="20"/>
          <w:color w:val="auto"/>
        </w:rPr>
      </w:pPr>
      <w:r>
        <w:rPr>
          <w:rFonts w:ascii="Arial" w:cs="Arial" w:eastAsia="Arial" w:hAnsi="Arial"/>
          <w:sz w:val="18"/>
          <w:szCs w:val="18"/>
          <w:color w:val="auto"/>
        </w:rPr>
        <w:t>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81" w:lineRule="exact"/>
        <w:rPr>
          <w:sz w:val="20"/>
          <w:szCs w:val="20"/>
          <w:color w:val="auto"/>
        </w:rPr>
      </w:pPr>
    </w:p>
    <w:p>
      <w:pPr>
        <w:ind w:left="200" w:right="300" w:firstLine="881"/>
        <w:spacing w:after="0" w:line="259" w:lineRule="auto"/>
        <w:rPr>
          <w:sz w:val="20"/>
          <w:szCs w:val="20"/>
          <w:color w:val="auto"/>
        </w:rPr>
      </w:pPr>
      <w:r>
        <w:rPr>
          <w:rFonts w:ascii="Arial" w:cs="Arial" w:eastAsia="Arial" w:hAnsi="Arial"/>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7" w:lineRule="exact"/>
        <w:rPr>
          <w:sz w:val="20"/>
          <w:szCs w:val="20"/>
          <w:color w:val="auto"/>
        </w:rPr>
      </w:pPr>
    </w:p>
    <w:p>
      <w:pPr>
        <w:ind w:left="200" w:right="260" w:firstLine="881"/>
        <w:spacing w:after="0" w:line="257"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Treasury regulations. There is no assurance that we will provide such information that would enable you to make a qualified electing fund election.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A United States Holder that holds the ADSs in any year in which we were a PFIC would be required to file an annual report containing such information as the United States Treasury Department may require.</w:t>
      </w:r>
    </w:p>
    <w:p>
      <w:pPr>
        <w:spacing w:after="0" w:line="17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You should consult your own tax advisor regarding the application of the PFIC rules to your ownership and disposition of the ADSs and the availability, application and consequences of the elections discussed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United States Holders should consult their tax advisors regarding the application of the information reporting and backup withholding rules.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200" w:right="200" w:firstLine="881"/>
        <w:spacing w:after="0" w:line="279" w:lineRule="auto"/>
        <w:rPr>
          <w:sz w:val="20"/>
          <w:szCs w:val="20"/>
          <w:color w:val="auto"/>
        </w:rPr>
      </w:pPr>
      <w:r>
        <w:rPr>
          <w:rFonts w:ascii="Arial" w:cs="Arial" w:eastAsia="Arial" w:hAnsi="Arial"/>
          <w:sz w:val="17"/>
          <w:szCs w:val="17"/>
          <w:color w:val="auto"/>
        </w:rPr>
        <w:t>United States Holders who are individuals (and certain entities closely held by individuals) generally will be required to report our name, address and such information relating to an interest in the ADSs as is 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Code) does not exceed $50,000.</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left="200" w:right="40" w:firstLine="881"/>
        <w:spacing w:after="0" w:line="276" w:lineRule="auto"/>
        <w:rPr>
          <w:sz w:val="20"/>
          <w:szCs w:val="20"/>
          <w:color w:val="auto"/>
        </w:rPr>
      </w:pPr>
      <w:r>
        <w:rPr>
          <w:rFonts w:ascii="Arial" w:cs="Arial" w:eastAsia="Arial" w:hAnsi="Arial"/>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881"/>
        <w:spacing w:after="0" w:line="279" w:lineRule="auto"/>
        <w:rPr>
          <w:sz w:val="20"/>
          <w:szCs w:val="20"/>
          <w:color w:val="auto"/>
        </w:rPr>
      </w:pPr>
      <w:r>
        <w:rPr>
          <w:rFonts w:ascii="Arial" w:cs="Arial" w:eastAsia="Arial" w:hAnsi="Arial"/>
          <w:sz w:val="17"/>
          <w:szCs w:val="17"/>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1-800-SEC- 0330. The SEC also maintains a web site at www.sec.gov that contains reports, proxy and information statements, and other information regarding registrants that make electronic filings with the SEC using its EDGAR system.</w:t>
      </w:r>
    </w:p>
    <w:p>
      <w:pPr>
        <w:spacing w:after="0" w:line="171"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70"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 xml:space="preserve">In accordance with NYSE Rule 203.01, we will post this annual report on our website </w:t>
      </w:r>
      <w:r>
        <w:rPr>
          <w:rFonts w:ascii="Arial" w:cs="Arial" w:eastAsia="Arial" w:hAnsi="Arial"/>
          <w:sz w:val="18"/>
          <w:szCs w:val="18"/>
          <w:i w:val="1"/>
          <w:iCs w:val="1"/>
          <w:color w:val="auto"/>
        </w:rPr>
        <w:t>www.studiocity-macau.com</w:t>
      </w:r>
      <w:r>
        <w:rPr>
          <w:rFonts w:ascii="Arial" w:cs="Arial" w:eastAsia="Arial" w:hAnsi="Arial"/>
          <w:sz w:val="18"/>
          <w:szCs w:val="18"/>
          <w:color w:val="auto"/>
        </w:rPr>
        <w:t>. In addition, we will provide hardcopies of our annual report to shareholders, including ADS holders, free of charge upon request.</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200" w:right="40" w:firstLine="881"/>
        <w:spacing w:after="0" w:line="270" w:lineRule="auto"/>
        <w:rPr>
          <w:sz w:val="20"/>
          <w:szCs w:val="20"/>
          <w:color w:val="auto"/>
        </w:rPr>
      </w:pPr>
      <w:r>
        <w:rPr>
          <w:rFonts w:ascii="Arial" w:cs="Arial" w:eastAsia="Arial" w:hAnsi="Arial"/>
          <w:sz w:val="17"/>
          <w:szCs w:val="17"/>
          <w:color w:val="auto"/>
        </w:rPr>
        <w:t>Our exposure to foreign exchange rate risk is associated with the currency of our operations and the presentation of our consolidated financial statements in U.S. Dollars. The majority of our revenues are denominated in Hong Kong Dollars, since the Hong Kong Dollar is the predominant currency used in Macau and is often used interchangeably with the Macau Pataca in Macau, while our expenses are denominated predominantly in Macau Patacas and Hong Kong Dollars. A significant portion of our indebtedness, as a result of the 2012 Notes, 2016 Notes, the 2019 Notes and the costs associated with servicing and repaying such debts are denominated in U.S. Dollars. In addition, the 2016 Credit Facility and the costs associated with servicing and repaying such debt are denominated in Hong Kong Dollars. The Hong Kong Dollar is pegged to the U.S. Dollar within a narrow range and the Macau Pataca is in turn pegged to the Hong Kong Dollar, and the exchange rates between these currencies have remained relatively stable over the past several years. However, we cannot assure you that the current peg or linkages between the U.S. Dollar, Hong Kong Dollar and Macau Pataca will not be de-pegged, de-linked or modified and subjected to fluctuation as such exchange rates may be affected by, among other things, changes in political and economic conditions.</w:t>
      </w:r>
    </w:p>
    <w:p>
      <w:pPr>
        <w:spacing w:after="0" w:line="178"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Major currencies in which our cash and bank balances (including restricted cash) were held as of December 31, 2018 included U.S. Dollars, Hong Kong Dollars and the Macau Patacas. Based on the cash and bank balances as of December 31, 2018, an assumed 1% change in the exchange rates between currencies other than U.S. Dollars against the U.S. Dollar would cause a maximum foreign transaction gain or loss of approximately US$2.5 million for the year ended December 31, 2018.</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left="200" w:right="260" w:firstLine="881"/>
        <w:spacing w:after="0" w:line="279" w:lineRule="auto"/>
        <w:rPr>
          <w:sz w:val="20"/>
          <w:szCs w:val="20"/>
          <w:color w:val="auto"/>
        </w:rPr>
      </w:pPr>
      <w:r>
        <w:rPr>
          <w:rFonts w:ascii="Arial" w:cs="Arial" w:eastAsia="Arial" w:hAnsi="Arial"/>
          <w:sz w:val="17"/>
          <w:szCs w:val="17"/>
          <w:color w:val="auto"/>
        </w:rPr>
        <w:t>We generated all of our revenues from our operations in Macau in 2018, 2017 and 2016. Inflation did not have a material impact on our results of operations. According to the Statistics and Census Services of the Macau government, inflation as measured by the consumer price index in Macau was 3.01%, 1.23% and 2.37% in 2018, 2017 and 2016, respectively. Although we have not been materially affected by inflation since our inception, we can provide no assurance that we will not be affected in the future by higher rates of inflation in Macau.</w:t>
      </w:r>
    </w:p>
    <w:p>
      <w:pPr>
        <w:spacing w:after="0" w:line="31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 AMERICAN DEPOSITARY SHARES</w:t>
      </w:r>
    </w:p>
    <w:p>
      <w:pPr>
        <w:spacing w:after="0" w:line="229"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760" w:type="dxa"/>
            <w:vAlign w:val="bottom"/>
            <w:gridSpan w:val="3"/>
          </w:tcPr>
          <w:p>
            <w:pPr>
              <w:jc w:val="right"/>
              <w:ind w:right="5300"/>
              <w:spacing w:after="0"/>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6"/>
                <w:szCs w:val="16"/>
                <w:color w:val="auto"/>
              </w:rPr>
            </w:pPr>
          </w:p>
        </w:tc>
        <w:tc>
          <w:tcPr>
            <w:tcW w:w="5180" w:type="dxa"/>
            <w:vAlign w:val="bottom"/>
          </w:tcPr>
          <w:p>
            <w:pPr>
              <w:ind w:left="2440"/>
              <w:spacing w:after="0"/>
              <w:rPr>
                <w:sz w:val="20"/>
                <w:szCs w:val="20"/>
                <w:color w:val="auto"/>
              </w:rPr>
            </w:pPr>
            <w:r>
              <w:rPr>
                <w:rFonts w:ascii="Arial" w:cs="Arial" w:eastAsia="Arial" w:hAnsi="Arial"/>
                <w:sz w:val="14"/>
                <w:szCs w:val="14"/>
                <w:b w:val="1"/>
                <w:bCs w:val="1"/>
                <w:color w:val="auto"/>
              </w:rPr>
              <w:t>Fees</w:t>
            </w:r>
          </w:p>
        </w:tc>
      </w:tr>
      <w:tr>
        <w:trPr>
          <w:trHeight w:val="20"/>
        </w:trPr>
        <w:tc>
          <w:tcPr>
            <w:tcW w:w="2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w w:val="98"/>
              </w:rPr>
              <w:t>•  To any person to which ADSs are issued or to any person to which a</w:t>
            </w:r>
          </w:p>
        </w:tc>
        <w:tc>
          <w:tcPr>
            <w:tcW w:w="120" w:type="dxa"/>
            <w:vAlign w:val="bottom"/>
          </w:tcPr>
          <w:p>
            <w:pPr>
              <w:spacing w:after="0"/>
              <w:rPr>
                <w:sz w:val="24"/>
                <w:szCs w:val="24"/>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issued</w:t>
            </w: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9"/>
              </w:rPr>
              <w:t>distribution is made in respect of ADS distributions pursuant to stock</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w w:val="96"/>
              </w:rPr>
              <w:t>dividends or other free distributions of stock, bonus distributions, stock</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splits or other distributions (except where converted to cash)</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5740" w:type="dxa"/>
            <w:vAlign w:val="bottom"/>
            <w:gridSpan w:val="2"/>
          </w:tcPr>
          <w:p>
            <w:pPr>
              <w:ind w:left="80"/>
              <w:spacing w:after="0"/>
              <w:rPr>
                <w:sz w:val="20"/>
                <w:szCs w:val="20"/>
                <w:color w:val="auto"/>
              </w:rPr>
            </w:pPr>
            <w:r>
              <w:rPr>
                <w:rFonts w:ascii="Arial" w:cs="Arial" w:eastAsia="Arial" w:hAnsi="Arial"/>
                <w:sz w:val="18"/>
                <w:szCs w:val="18"/>
                <w:color w:val="auto"/>
              </w:rPr>
              <w:t>•  Cancelation of ADSs, including the case of termination of the deposit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canceled</w:t>
            </w:r>
          </w:p>
        </w:tc>
      </w:tr>
      <w:tr>
        <w:trPr>
          <w:trHeight w:val="230"/>
        </w:trPr>
        <w:tc>
          <w:tcPr>
            <w:tcW w:w="20" w:type="dxa"/>
            <w:vAlign w:val="bottom"/>
          </w:tcPr>
          <w:p>
            <w:pPr>
              <w:spacing w:after="0"/>
              <w:rPr>
                <w:sz w:val="20"/>
                <w:szCs w:val="20"/>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740" w:type="dxa"/>
            <w:vAlign w:val="bottom"/>
            <w:gridSpan w:val="2"/>
          </w:tcPr>
          <w:p>
            <w:pPr>
              <w:ind w:left="80"/>
              <w:spacing w:after="0"/>
              <w:rPr>
                <w:sz w:val="20"/>
                <w:szCs w:val="20"/>
                <w:color w:val="auto"/>
              </w:rPr>
            </w:pPr>
            <w:r>
              <w:rPr>
                <w:rFonts w:ascii="Arial" w:cs="Arial" w:eastAsia="Arial" w:hAnsi="Arial"/>
                <w:sz w:val="18"/>
                <w:szCs w:val="18"/>
                <w:color w:val="auto"/>
              </w:rPr>
              <w:t>•  Distribution of cash dividends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310"/>
        </w:trPr>
        <w:tc>
          <w:tcPr>
            <w:tcW w:w="20" w:type="dxa"/>
            <w:vAlign w:val="bottom"/>
          </w:tcPr>
          <w:p>
            <w:pPr>
              <w:spacing w:after="0"/>
              <w:rPr>
                <w:sz w:val="24"/>
                <w:szCs w:val="24"/>
                <w:color w:val="auto"/>
              </w:rPr>
            </w:pPr>
          </w:p>
        </w:tc>
        <w:tc>
          <w:tcPr>
            <w:tcW w:w="5740" w:type="dxa"/>
            <w:vAlign w:val="bottom"/>
            <w:gridSpan w:val="2"/>
          </w:tcPr>
          <w:p>
            <w:pPr>
              <w:ind w:left="80"/>
              <w:spacing w:after="0"/>
              <w:rPr>
                <w:sz w:val="20"/>
                <w:szCs w:val="20"/>
                <w:color w:val="auto"/>
              </w:rPr>
            </w:pPr>
            <w:r>
              <w:rPr>
                <w:rFonts w:ascii="Arial" w:cs="Arial" w:eastAsia="Arial" w:hAnsi="Arial"/>
                <w:sz w:val="18"/>
                <w:szCs w:val="18"/>
                <w:color w:val="auto"/>
                <w:w w:val="95"/>
              </w:rPr>
              <w:t>•  Distribution of cash entitlements (other than cash dividends) and/or cash</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230"/>
        </w:trPr>
        <w:tc>
          <w:tcPr>
            <w:tcW w:w="20" w:type="dxa"/>
            <w:vAlign w:val="bottom"/>
          </w:tcPr>
          <w:p>
            <w:pPr>
              <w:spacing w:after="0"/>
              <w:rPr>
                <w:sz w:val="20"/>
                <w:szCs w:val="20"/>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proceeds from the sale of rights, securities and other entitlements</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740" w:type="dxa"/>
            <w:vAlign w:val="bottom"/>
            <w:gridSpan w:val="2"/>
          </w:tcPr>
          <w:p>
            <w:pPr>
              <w:ind w:left="80"/>
              <w:spacing w:after="0"/>
              <w:rPr>
                <w:sz w:val="20"/>
                <w:szCs w:val="20"/>
                <w:color w:val="auto"/>
              </w:rPr>
            </w:pPr>
            <w:r>
              <w:rPr>
                <w:rFonts w:ascii="Arial" w:cs="Arial" w:eastAsia="Arial" w:hAnsi="Arial"/>
                <w:sz w:val="18"/>
                <w:szCs w:val="18"/>
                <w:color w:val="auto"/>
              </w:rPr>
              <w:t>•  Distribution of ADSs pursuant to exercise of rights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310"/>
        </w:trPr>
        <w:tc>
          <w:tcPr>
            <w:tcW w:w="20" w:type="dxa"/>
            <w:vAlign w:val="bottom"/>
          </w:tcPr>
          <w:p>
            <w:pPr>
              <w:spacing w:after="0"/>
              <w:rPr>
                <w:sz w:val="24"/>
                <w:szCs w:val="24"/>
                <w:color w:val="auto"/>
              </w:rPr>
            </w:pPr>
          </w:p>
        </w:tc>
        <w:tc>
          <w:tcPr>
            <w:tcW w:w="5740" w:type="dxa"/>
            <w:vAlign w:val="bottom"/>
            <w:gridSpan w:val="2"/>
          </w:tcPr>
          <w:p>
            <w:pPr>
              <w:ind w:left="80"/>
              <w:spacing w:after="0"/>
              <w:rPr>
                <w:sz w:val="20"/>
                <w:szCs w:val="20"/>
                <w:color w:val="auto"/>
              </w:rPr>
            </w:pPr>
            <w:r>
              <w:rPr>
                <w:rFonts w:ascii="Arial" w:cs="Arial" w:eastAsia="Arial" w:hAnsi="Arial"/>
                <w:sz w:val="18"/>
                <w:szCs w:val="18"/>
                <w:color w:val="auto"/>
              </w:rPr>
              <w:t>•  Distribution of securities other than ADSs or rights to purchase</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230"/>
        </w:trPr>
        <w:tc>
          <w:tcPr>
            <w:tcW w:w="20" w:type="dxa"/>
            <w:vAlign w:val="bottom"/>
          </w:tcPr>
          <w:p>
            <w:pPr>
              <w:spacing w:after="0"/>
              <w:rPr>
                <w:sz w:val="20"/>
                <w:szCs w:val="20"/>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additional ADSs</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5740" w:type="dxa"/>
            <w:vAlign w:val="bottom"/>
            <w:gridSpan w:val="2"/>
          </w:tcPr>
          <w:p>
            <w:pPr>
              <w:ind w:left="80"/>
              <w:spacing w:after="0"/>
              <w:rPr>
                <w:sz w:val="20"/>
                <w:szCs w:val="20"/>
                <w:color w:val="auto"/>
              </w:rPr>
            </w:pPr>
            <w:r>
              <w:rPr>
                <w:rFonts w:ascii="Arial" w:cs="Arial" w:eastAsia="Arial" w:hAnsi="Arial"/>
                <w:sz w:val="18"/>
                <w:szCs w:val="18"/>
                <w:color w:val="auto"/>
              </w:rPr>
              <w:t>•  Depositary services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 on the applicable record date(s)</w:t>
            </w: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established by the depositary bank</w:t>
            </w:r>
          </w:p>
        </w:tc>
      </w:tr>
      <w:tr>
        <w:trPr>
          <w:trHeight w:val="365"/>
        </w:trPr>
        <w:tc>
          <w:tcPr>
            <w:tcW w:w="5760" w:type="dxa"/>
            <w:vAlign w:val="bottom"/>
            <w:gridSpan w:val="3"/>
          </w:tcPr>
          <w:p>
            <w:pPr>
              <w:jc w:val="right"/>
              <w:ind w:right="1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881"/>
        <w:spacing w:after="0" w:line="264"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7" w:lineRule="exact"/>
        <w:rPr>
          <w:sz w:val="20"/>
          <w:szCs w:val="20"/>
          <w:color w:val="auto"/>
        </w:rPr>
      </w:pPr>
    </w:p>
    <w:p>
      <w:pPr>
        <w:ind w:left="1060" w:right="6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Class A ordinary shares on deposit.</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8"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ind w:left="200" w:right="260" w:firstLine="881"/>
        <w:spacing w:after="0" w:line="342" w:lineRule="auto"/>
        <w:rPr>
          <w:sz w:val="20"/>
          <w:szCs w:val="20"/>
          <w:color w:val="auto"/>
        </w:rPr>
      </w:pPr>
      <w:r>
        <w:rPr>
          <w:rFonts w:ascii="Arial" w:cs="Arial" w:eastAsia="Arial" w:hAnsi="Arial"/>
          <w:sz w:val="16"/>
          <w:szCs w:val="16"/>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24" w:lineRule="exact"/>
        <w:rPr>
          <w:sz w:val="20"/>
          <w:szCs w:val="20"/>
          <w:color w:val="auto"/>
        </w:rPr>
      </w:pPr>
    </w:p>
    <w:p>
      <w:pPr>
        <w:ind w:left="200" w:right="340" w:firstLine="881"/>
        <w:spacing w:after="0" w:line="342" w:lineRule="auto"/>
        <w:rPr>
          <w:sz w:val="20"/>
          <w:szCs w:val="20"/>
          <w:color w:val="auto"/>
        </w:rPr>
      </w:pPr>
      <w:r>
        <w:rPr>
          <w:rFonts w:ascii="Arial" w:cs="Arial" w:eastAsia="Arial" w:hAnsi="Arial"/>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2018, we did not receive any reimbursement from the depositary.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See “Item 7. Major Shareholders and Related Party Transactions — B. Related Party Transactions — Pre-IPO Organizational Transactions.”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The following “Use of Proceeds” information relates to our initial public offering, at US$12.50 per ADS, of 33,062,050 ADSs, after giving effect to the full exercise of the over-allotment option by the underwriters for our initial public offering. The registration statement on Form F-1 (File No. 333-227759), as amended, for our initial public offering was declared effective by the SEC on October 17, 2018. On October 22, 2018, we completed our initial public offering where the initial 28,750,000 ADSs were sold. On November 19, 2018, we completed an additional sale of 4,312,500 ADSs pursuant to the exercise of the over-allotment option by the underwriters for our initial public offering. Deutsche Bank Securities Inc., Credit Suisse Securities (USA) LLC and Morgan Stanley &amp; Co. International plc acted as the representatives of the underwriters in our initial public offering.</w:t>
      </w:r>
    </w:p>
    <w:p>
      <w:pPr>
        <w:spacing w:after="0" w:line="189"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received aggregate gross proceeds of US$413.3 million and net proceeds of US$406.7 million from the ADSs sold in our initial public offering and aggregate gross proceeds of approximately US$2.5 million from the concurrent private placement to Melco International in connection with Melco International’s “assured entitlement” distribution to its shareholders, after deducting underwriting discounts and commissions and a structuring fee, but before deducting offering expenses payable by us.</w:t>
      </w:r>
    </w:p>
    <w:p>
      <w:pPr>
        <w:spacing w:after="0" w:line="187" w:lineRule="exact"/>
        <w:rPr>
          <w:sz w:val="20"/>
          <w:szCs w:val="20"/>
          <w:color w:val="auto"/>
        </w:rPr>
      </w:pPr>
    </w:p>
    <w:p>
      <w:pPr>
        <w:ind w:left="200" w:right="920" w:firstLine="881"/>
        <w:spacing w:after="0" w:line="264" w:lineRule="auto"/>
        <w:rPr>
          <w:sz w:val="20"/>
          <w:szCs w:val="20"/>
          <w:color w:val="auto"/>
        </w:rPr>
      </w:pPr>
      <w:r>
        <w:rPr>
          <w:rFonts w:ascii="Arial" w:cs="Arial" w:eastAsia="Arial" w:hAnsi="Arial"/>
          <w:sz w:val="18"/>
          <w:szCs w:val="18"/>
          <w:color w:val="auto"/>
        </w:rPr>
        <w:t>The total expenses in connection with our initial public offering were estimated to be approximately US$16.6 million, including underwriting discounts and commissions of approximately US$2.8 million, a structuring fee payable to the underwriters of approximately US$3.8 million and other fees and expenses of approximately US$10.0 million.</w:t>
      </w:r>
    </w:p>
    <w:p>
      <w:pPr>
        <w:spacing w:after="0" w:line="181" w:lineRule="exact"/>
        <w:rPr>
          <w:sz w:val="20"/>
          <w:szCs w:val="20"/>
          <w:color w:val="auto"/>
        </w:rPr>
      </w:pPr>
    </w:p>
    <w:p>
      <w:pPr>
        <w:ind w:left="200" w:right="220" w:firstLine="881"/>
        <w:spacing w:after="0" w:line="308" w:lineRule="auto"/>
        <w:rPr>
          <w:sz w:val="20"/>
          <w:szCs w:val="20"/>
          <w:color w:val="auto"/>
        </w:rPr>
      </w:pPr>
      <w:r>
        <w:rPr>
          <w:rFonts w:ascii="Arial" w:cs="Arial" w:eastAsia="Arial" w:hAnsi="Arial"/>
          <w:sz w:val="17"/>
          <w:szCs w:val="17"/>
          <w:color w:val="auto"/>
        </w:rPr>
        <w:t>From October 17, 2018, the effective date of our registration statement on Form F-1 for our initial public offering, to December 31, 2018, we used the entirety of the net proceeds from our initial public offering to partially redeem the 2012 Notes in December 2018.</w:t>
      </w:r>
    </w:p>
    <w:p>
      <w:pPr>
        <w:spacing w:after="0" w:line="291"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right="340" w:firstLine="881"/>
        <w:spacing w:after="0" w:line="274" w:lineRule="auto"/>
        <w:rPr>
          <w:sz w:val="20"/>
          <w:szCs w:val="20"/>
          <w:color w:val="auto"/>
        </w:rPr>
      </w:pPr>
      <w:r>
        <w:rPr>
          <w:rFonts w:ascii="Arial" w:cs="Arial" w:eastAsia="Arial" w:hAnsi="Arial"/>
          <w:sz w:val="17"/>
          <w:szCs w:val="17"/>
          <w:color w:val="auto"/>
        </w:rPr>
        <w:t>As of the end of the period covered by this annual report, our management, with the participation of our property president and property chief financial officer, has performed an evaluation of the effectiveness of our disclosure controls and procedures within the meaning</w:t>
      </w:r>
    </w:p>
    <w:p>
      <w:pPr>
        <w:jc w:val="both"/>
        <w:ind w:left="200" w:right="200"/>
        <w:spacing w:after="0" w:line="281" w:lineRule="auto"/>
        <w:rPr>
          <w:sz w:val="20"/>
          <w:szCs w:val="20"/>
          <w:color w:val="auto"/>
        </w:rPr>
      </w:pPr>
      <w:r>
        <w:rPr>
          <w:rFonts w:ascii="Arial" w:cs="Arial" w:eastAsia="Arial" w:hAnsi="Arial"/>
          <w:sz w:val="16"/>
          <w:szCs w:val="16"/>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spacing w:after="0" w:line="2" w:lineRule="exact"/>
        <w:rPr>
          <w:sz w:val="20"/>
          <w:szCs w:val="20"/>
          <w:color w:val="auto"/>
        </w:rPr>
      </w:pPr>
    </w:p>
    <w:p>
      <w:pPr>
        <w:jc w:val="both"/>
        <w:ind w:left="200" w:right="200"/>
        <w:spacing w:after="0" w:line="255" w:lineRule="auto"/>
        <w:rPr>
          <w:sz w:val="20"/>
          <w:szCs w:val="20"/>
          <w:color w:val="auto"/>
        </w:rPr>
      </w:pPr>
      <w:r>
        <w:rPr>
          <w:rFonts w:ascii="Arial" w:cs="Arial" w:eastAsia="Arial" w:hAnsi="Arial"/>
          <w:sz w:val="18"/>
          <w:szCs w:val="18"/>
          <w:color w:val="auto"/>
        </w:rPr>
        <w:t>Based upon that evaluation, our property president and property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summarized and reported, within the time period specified in the SEC’s rules and forms, and accumulated and communicated to our management, including our property president and property chief financial officer, to allow timely decisions regarding required disclosure.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Management’s Annual Report on Internal Control Over Financial Reporting and Attestation Report of the Registered Public Accounting Firm</w:t>
      </w:r>
    </w:p>
    <w:p>
      <w:pPr>
        <w:spacing w:after="0" w:line="144" w:lineRule="exact"/>
        <w:rPr>
          <w:sz w:val="20"/>
          <w:szCs w:val="20"/>
          <w:color w:val="auto"/>
        </w:rPr>
      </w:pPr>
    </w:p>
    <w:p>
      <w:pPr>
        <w:jc w:val="both"/>
        <w:ind w:left="200" w:right="20" w:firstLine="881"/>
        <w:spacing w:after="0" w:line="264"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There were no changes in our Company’s internal control over financial reporting (as such term is defined in Rules 13a-15(f) and 15d-15(f) under the Exchange Act) during the year ended December 31, 2018 that have materially affected, or are reasonably likely to materially affect, our Company’s internal control over financial reporting.</w:t>
      </w:r>
    </w:p>
    <w:p>
      <w:pPr>
        <w:spacing w:after="0" w:line="326"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121" w:lineRule="exact"/>
        <w:rPr>
          <w:sz w:val="20"/>
          <w:szCs w:val="20"/>
          <w:color w:val="auto"/>
        </w:rPr>
      </w:pPr>
    </w:p>
    <w:p>
      <w:pPr>
        <w:ind w:left="200" w:right="180" w:firstLine="881"/>
        <w:spacing w:after="0" w:line="286" w:lineRule="auto"/>
        <w:rPr>
          <w:sz w:val="20"/>
          <w:szCs w:val="20"/>
          <w:color w:val="auto"/>
        </w:rPr>
      </w:pPr>
      <w:r>
        <w:rPr>
          <w:rFonts w:ascii="Arial" w:cs="Arial" w:eastAsia="Arial" w:hAnsi="Arial"/>
          <w:sz w:val="17"/>
          <w:szCs w:val="17"/>
          <w:color w:val="auto"/>
        </w:rPr>
        <w:t>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w:t>
      </w:r>
    </w:p>
    <w:p>
      <w:pPr>
        <w:spacing w:after="0" w:line="310"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00" w:right="120" w:firstLine="881"/>
        <w:spacing w:after="0" w:line="302" w:lineRule="auto"/>
        <w:rPr>
          <w:sz w:val="20"/>
          <w:szCs w:val="20"/>
          <w:color w:val="auto"/>
        </w:rPr>
      </w:pPr>
      <w:r>
        <w:rPr>
          <w:rFonts w:ascii="Arial" w:cs="Arial" w:eastAsia="Arial" w:hAnsi="Arial"/>
          <w:sz w:val="16"/>
          <w:szCs w:val="16"/>
          <w:color w:val="auto"/>
        </w:rPr>
        <w:t xml:space="preserve">Our board has adopted a code of business conduct and ethics that applies to our directors, officers, employees and agents, including certain provisions that specifically apply to our Property President, Property Chief Financial Officer and any other persons who perform similar functions for us. We have posted our current code of business conduct and ethics on our website at </w:t>
      </w:r>
      <w:r>
        <w:rPr>
          <w:rFonts w:ascii="Arial" w:cs="Arial" w:eastAsia="Arial" w:hAnsi="Arial"/>
          <w:sz w:val="16"/>
          <w:szCs w:val="16"/>
          <w:i w:val="1"/>
          <w:iCs w:val="1"/>
          <w:color w:val="auto"/>
        </w:rPr>
        <w:t>www.studiocity-macau.com</w:t>
      </w:r>
      <w:r>
        <w:rPr>
          <w:rFonts w:ascii="Arial" w:cs="Arial" w:eastAsia="Arial" w:hAnsi="Arial"/>
          <w:sz w:val="16"/>
          <w:szCs w:val="16"/>
          <w:color w:val="auto"/>
        </w:rPr>
        <w:t>. We hereby undertake to provide to any person without charge, a copy of our code of business conduct and ethics within ten working days after we receive such person’s written request.</w:t>
      </w:r>
    </w:p>
    <w:p>
      <w:pPr>
        <w:spacing w:after="0" w:line="299"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200" w:right="100" w:firstLine="881"/>
        <w:spacing w:after="0" w:line="308"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5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left="78"/>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2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481</w:t>
            </w:r>
          </w:p>
        </w:tc>
        <w:tc>
          <w:tcPr>
            <w:tcW w:w="8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5"/>
                <w:szCs w:val="15"/>
                <w:color w:val="auto"/>
              </w:rPr>
              <w:t>(2)</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38"/>
              <w:spacing w:after="0"/>
              <w:rPr>
                <w:sz w:val="20"/>
                <w:szCs w:val="20"/>
                <w:color w:val="auto"/>
              </w:rPr>
            </w:pPr>
            <w:r>
              <w:rPr>
                <w:rFonts w:ascii="Arial" w:cs="Arial" w:eastAsia="Arial" w:hAnsi="Arial"/>
                <w:sz w:val="18"/>
                <w:szCs w:val="18"/>
                <w:color w:val="auto"/>
              </w:rPr>
              <w:t>270</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All other fees</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ind w:left="640" w:hanging="436"/>
        <w:spacing w:after="0" w:line="264"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“Audit fees” means the aggregate fees in each of the fiscal years indicated for our calendar year audits. The audit fees in 2018 relate to the audit of the financial statements for the year ended December 31, 2018 included in our annual report on Form 20-F filed with the SEC following the completion of our initial public offering in October 2018. In 2017, the Company was a privately-owned entity.</w:t>
      </w:r>
    </w:p>
    <w:p>
      <w:pPr>
        <w:spacing w:after="0" w:line="86" w:lineRule="exact"/>
        <w:rPr>
          <w:rFonts w:ascii="Arial" w:cs="Arial" w:eastAsia="Arial" w:hAnsi="Arial"/>
          <w:sz w:val="18"/>
          <w:szCs w:val="18"/>
          <w:color w:val="auto"/>
        </w:rPr>
      </w:pPr>
    </w:p>
    <w:p>
      <w:pPr>
        <w:ind w:left="640" w:right="220" w:hanging="436"/>
        <w:spacing w:after="0" w:line="277"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“Audit-related fees” include the aggregate fees for professional services provided in connection with our registration statement on Form F-1 for our initial public offering and the issuance of the 2019 Notes.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 fees” include fees billed for tax consultations.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 xml:space="preserve">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and risk committee prior to the completion of the audit.</w:t>
      </w:r>
    </w:p>
    <w:p>
      <w:pPr>
        <w:spacing w:after="0" w:line="181"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For the years ended December 31, 2018 and 2017, nil of the total audit-related, tax and all other fees as described above were approved by our audit and risk committee pursuant to paragraph (c)(7)(i)(C) of Rule 2-01 of Regulation S-X.</w:t>
      </w:r>
    </w:p>
    <w:p>
      <w:pPr>
        <w:spacing w:after="0" w:line="315"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information about our repurchases made in the fiscal year ended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64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of Ordinary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3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6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Class A</w:t>
            </w:r>
          </w:p>
        </w:tc>
        <w:tc>
          <w:tcPr>
            <w:tcW w:w="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w:t>
            </w:r>
          </w:p>
        </w:tc>
        <w:tc>
          <w:tcPr>
            <w:tcW w:w="64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Ordinary</w:t>
            </w:r>
          </w:p>
        </w:tc>
        <w:tc>
          <w:tcPr>
            <w:tcW w:w="34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1640" w:type="dxa"/>
            <w:vAlign w:val="bottom"/>
            <w:gridSpan w:val="3"/>
          </w:tcPr>
          <w:p>
            <w:pPr>
              <w:jc w:val="center"/>
              <w:ind w:left="488"/>
              <w:spacing w:after="0" w:line="149" w:lineRule="exact"/>
              <w:rPr>
                <w:sz w:val="20"/>
                <w:szCs w:val="20"/>
                <w:color w:val="auto"/>
              </w:rPr>
            </w:pPr>
            <w:r>
              <w:rPr>
                <w:rFonts w:ascii="Arial" w:cs="Arial" w:eastAsia="Arial" w:hAnsi="Arial"/>
                <w:sz w:val="14"/>
                <w:szCs w:val="14"/>
                <w:b w:val="1"/>
                <w:bCs w:val="1"/>
                <w:color w:val="auto"/>
                <w:w w:val="93"/>
              </w:rPr>
              <w:t>Under Publicly</w:t>
            </w: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w:t>
            </w:r>
          </w:p>
        </w:tc>
        <w:tc>
          <w:tcPr>
            <w:tcW w:w="1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 Ordinary</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Announced</w:t>
            </w:r>
          </w:p>
        </w:tc>
        <w:tc>
          <w:tcPr>
            <w:tcW w:w="0" w:type="dxa"/>
            <w:vAlign w:val="bottom"/>
          </w:tcPr>
          <w:p>
            <w:pPr>
              <w:spacing w:after="0"/>
              <w:rPr>
                <w:sz w:val="1"/>
                <w:szCs w:val="1"/>
                <w:color w:val="auto"/>
              </w:rPr>
            </w:pPr>
          </w:p>
        </w:tc>
      </w:tr>
      <w:tr>
        <w:trPr>
          <w:trHeight w:val="165"/>
        </w:trPr>
        <w:tc>
          <w:tcPr>
            <w:tcW w:w="5100" w:type="dxa"/>
            <w:vAlign w:val="bottom"/>
            <w:gridSpan w:val="3"/>
            <w:vMerge w:val="continue"/>
          </w:tcPr>
          <w:p>
            <w:pPr>
              <w:spacing w:after="0"/>
              <w:rPr>
                <w:sz w:val="14"/>
                <w:szCs w:val="14"/>
                <w:color w:val="auto"/>
              </w:rPr>
            </w:pPr>
          </w:p>
        </w:tc>
        <w:tc>
          <w:tcPr>
            <w:tcW w:w="14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Purchased</w:t>
            </w:r>
          </w:p>
        </w:tc>
        <w:tc>
          <w:tcPr>
            <w:tcW w:w="340" w:type="dxa"/>
            <w:vAlign w:val="bottom"/>
          </w:tcPr>
          <w:p>
            <w:pPr>
              <w:spacing w:after="0"/>
              <w:rPr>
                <w:sz w:val="14"/>
                <w:szCs w:val="14"/>
                <w:color w:val="auto"/>
              </w:rPr>
            </w:pPr>
          </w:p>
        </w:tc>
        <w:tc>
          <w:tcPr>
            <w:tcW w:w="138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7"/>
              </w:rPr>
              <w:t>Share</w:t>
            </w:r>
          </w:p>
        </w:tc>
        <w:tc>
          <w:tcPr>
            <w:tcW w:w="340" w:type="dxa"/>
            <w:vAlign w:val="bottom"/>
          </w:tcPr>
          <w:p>
            <w:pPr>
              <w:spacing w:after="0"/>
              <w:rPr>
                <w:sz w:val="14"/>
                <w:szCs w:val="14"/>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Program</w:t>
            </w:r>
          </w:p>
        </w:tc>
        <w:tc>
          <w:tcPr>
            <w:tcW w:w="640" w:type="dxa"/>
            <w:vAlign w:val="bottom"/>
          </w:tcPr>
          <w:p>
            <w:pPr>
              <w:spacing w:after="0"/>
              <w:rPr>
                <w:sz w:val="14"/>
                <w:szCs w:val="14"/>
                <w:color w:val="auto"/>
              </w:rPr>
            </w:pP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2018</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February 2018</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2018</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2018</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June 2018</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2018</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 xml:space="preserve">62,120,376 </w:t>
            </w:r>
            <w:r>
              <w:rPr>
                <w:rFonts w:ascii="Arial" w:cs="Arial" w:eastAsia="Arial" w:hAnsi="Arial"/>
                <w:sz w:val="15"/>
                <w:szCs w:val="15"/>
                <w:color w:val="auto"/>
              </w:rPr>
              <w:t>(1)</w:t>
            </w:r>
          </w:p>
        </w:tc>
        <w:tc>
          <w:tcPr>
            <w:tcW w:w="1720" w:type="dxa"/>
            <w:vAlign w:val="bottom"/>
            <w:gridSpan w:val="3"/>
          </w:tcPr>
          <w:p>
            <w:pPr>
              <w:ind w:left="760"/>
              <w:spacing w:after="0"/>
              <w:rPr>
                <w:sz w:val="20"/>
                <w:szCs w:val="20"/>
                <w:color w:val="auto"/>
              </w:rPr>
            </w:pPr>
            <w:r>
              <w:rPr>
                <w:rFonts w:ascii="Arial" w:cs="Arial" w:eastAsia="Arial" w:hAnsi="Arial"/>
                <w:sz w:val="18"/>
                <w:szCs w:val="18"/>
                <w:color w:val="auto"/>
              </w:rPr>
              <w:t xml:space="preserve">3.125 </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62,120,376</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3.125</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right="140" w:hanging="436"/>
        <w:spacing w:after="0" w:line="342" w:lineRule="auto"/>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connection with our initial public offering in October 2018, MCO Cotai acquired 15,330,000 ADSs (representing 61,320,000 Class A ordinary shares) and Melco International acquired 800,376 Class A ordinary shares, each at the initial public offering price of US$12.50 per ADS.</w:t>
      </w:r>
    </w:p>
    <w:p>
      <w:pPr>
        <w:spacing w:after="0" w:line="268"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12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nominating and corporate governance committee or compensation committee consisting entirely of independent directors.</w:t>
      </w:r>
    </w:p>
    <w:p>
      <w:pPr>
        <w:spacing w:after="0" w:line="338" w:lineRule="exact"/>
        <w:rPr>
          <w:sz w:val="20"/>
          <w:szCs w:val="20"/>
          <w:color w:val="auto"/>
        </w:rPr>
      </w:pPr>
    </w:p>
    <w:p>
      <w:pPr>
        <w:ind w:left="200"/>
        <w:spacing w:after="0"/>
        <w:tabs>
          <w:tab w:leader="none" w:pos="15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The consolidated financial statements of Studio City International Holdings Limited and its subsidiaries are included at the end of this annual report.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19. EXHIBITS</w:t>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70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70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60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Amended and Restated Memorandum and Articles of Association of the Registrant</w:t>
            </w:r>
          </w:p>
        </w:tc>
        <w:tc>
          <w:tcPr>
            <w:tcW w:w="3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9700" w:type="dxa"/>
            <w:vAlign w:val="bottom"/>
            <w:gridSpan w:val="24"/>
          </w:tcPr>
          <w:p>
            <w:pPr>
              <w:spacing w:after="0"/>
              <w:rPr>
                <w:sz w:val="20"/>
                <w:szCs w:val="20"/>
                <w:color w:val="auto"/>
              </w:rPr>
            </w:pPr>
            <w:r>
              <w:rPr>
                <w:rFonts w:ascii="Arial" w:cs="Arial" w:eastAsia="Arial" w:hAnsi="Arial"/>
                <w:sz w:val="18"/>
                <w:szCs w:val="18"/>
                <w:color w:val="0000EE"/>
              </w:rPr>
              <w:t>Memorandum and Articles of Association of MSC Cotai Limited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6260" w:type="dxa"/>
            <w:vAlign w:val="bottom"/>
            <w:tcBorders>
              <w:bottom w:val="single" w:sz="8" w:color="0000EE"/>
            </w:tcBorders>
            <w:gridSpan w:val="7"/>
          </w:tcPr>
          <w:p>
            <w:pPr>
              <w:spacing w:after="0"/>
              <w:rPr>
                <w:rFonts w:ascii="Arial" w:cs="Arial" w:eastAsia="Arial" w:hAnsi="Arial"/>
                <w:sz w:val="18"/>
                <w:szCs w:val="18"/>
                <w:color w:val="0000EE"/>
                <w:w w:val="92"/>
              </w:rPr>
            </w:pPr>
            <w:hyperlink r:id="rId166">
              <w:r>
                <w:rPr>
                  <w:rFonts w:ascii="Arial" w:cs="Arial" w:eastAsia="Arial" w:hAnsi="Arial"/>
                  <w:sz w:val="18"/>
                  <w:szCs w:val="18"/>
                  <w:color w:val="0000EE"/>
                  <w:w w:val="92"/>
                </w:rPr>
                <w:t>Form of Registrant’s Specimen American Depositary Receipt (included in Exhibit 2.3)</w:t>
              </w:r>
            </w:hyperlink>
          </w:p>
        </w:tc>
        <w:tc>
          <w:tcPr>
            <w:tcW w:w="34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c>
          <w:tcPr>
            <w:tcW w:w="9700" w:type="dxa"/>
            <w:vAlign w:val="bottom"/>
            <w:tcBorders>
              <w:bottom w:val="single" w:sz="8" w:color="0000EE"/>
            </w:tcBorders>
            <w:gridSpan w:val="24"/>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Registrant’s Specimen Certificate for Ordinary Shares (incorporated herein by reference to Exhibit 4.2 from our registration statement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on Form F-1 (File No. 333-227232), as amended, initially filed with the SEC on September 7, 2018)</w:t>
              </w:r>
            </w:hyperlink>
          </w:p>
        </w:tc>
        <w:tc>
          <w:tcPr>
            <w:tcW w:w="2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9700" w:type="dxa"/>
            <w:vAlign w:val="bottom"/>
            <w:gridSpan w:val="24"/>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Deposit Agreement between the Registrant, the depositary and owners and holders of the ADSs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4"/>
                <w:szCs w:val="24"/>
                <w:color w:val="auto"/>
              </w:rPr>
            </w:pPr>
          </w:p>
        </w:tc>
        <w:tc>
          <w:tcPr>
            <w:tcW w:w="9700" w:type="dxa"/>
            <w:vAlign w:val="bottom"/>
            <w:gridSpan w:val="24"/>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Indenture relating to 5.875% senior secured notes due 2019 and dated November 30, 2016, among Studio City Company Limited,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issuer, Studio City Investments Limited, as parent guarantor, the subsidiary guarantors parties thereto, and Deutsche Bank Trust</w:t>
              </w:r>
            </w:hyperlink>
          </w:p>
        </w:tc>
        <w:tc>
          <w:tcPr>
            <w:tcW w:w="380" w:type="dxa"/>
            <w:vAlign w:val="bottom"/>
            <w:tcBorders>
              <w:top w:val="single" w:sz="8" w:color="0000EE"/>
            </w:tcBorders>
            <w:gridSpan w:val="5"/>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Company Americas, as trustee (incorporated herein by reference to Exhibit 4.9 from our registration statement on Form F-1 (File No.</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4"/>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9700" w:type="dxa"/>
            <w:vAlign w:val="bottom"/>
            <w:gridSpan w:val="24"/>
          </w:tcPr>
          <w:p>
            <w:pPr>
              <w:spacing w:after="0"/>
              <w:rPr>
                <w:rFonts w:ascii="Arial" w:cs="Arial" w:eastAsia="Arial" w:hAnsi="Arial"/>
                <w:sz w:val="18"/>
                <w:szCs w:val="18"/>
                <w:color w:val="0000EE"/>
                <w:w w:val="96"/>
              </w:rPr>
            </w:pPr>
            <w:hyperlink r:id="rId169">
              <w:r>
                <w:rPr>
                  <w:rFonts w:ascii="Arial" w:cs="Arial" w:eastAsia="Arial" w:hAnsi="Arial"/>
                  <w:sz w:val="18"/>
                  <w:szCs w:val="18"/>
                  <w:color w:val="0000EE"/>
                  <w:w w:val="96"/>
                </w:rPr>
                <w:t>Supplemental Indenture relating to 5.875% senior secured notes due 2019 and dated November 30, 2016, among Studio City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860" w:type="dxa"/>
            <w:vAlign w:val="bottom"/>
            <w:gridSpan w:val="6"/>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Company Limited, Industrial and Commercial Bank of China (Macau) Limited, as the security agent, DB Trustees (Hong Kong)</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Limited, as the intercreditor agent and Deutsche Bank Trust Company Americas, as trustee (incorporated herein by reference to</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Exhibit 4.10 from our registration statement on Form F-1 (File No. 333-227232), as amended, initially filed with the SEC on</w:t>
              </w:r>
            </w:hyperlink>
          </w:p>
        </w:tc>
        <w:tc>
          <w:tcPr>
            <w:tcW w:w="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4"/>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4"/>
                <w:szCs w:val="24"/>
                <w:color w:val="auto"/>
              </w:rPr>
            </w:pPr>
          </w:p>
        </w:tc>
        <w:tc>
          <w:tcPr>
            <w:tcW w:w="9160" w:type="dxa"/>
            <w:vAlign w:val="bottom"/>
            <w:tcBorders>
              <w:bottom w:val="single" w:sz="8" w:color="0000EE"/>
            </w:tcBorders>
            <w:gridSpan w:val="14"/>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Second Supplemental Indenture relating to 5.875% senior secured notes due 2019 and dated July 30, 2018, among Studio City</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Company Limited, Studio City (HK) Two Limited, as a new guarantor, Studio City Investments Limited, as parent guarantor, the</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4"/>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subsidiary guarantors parties thereto and Deutsche Bank Trust Company Americas, as the trustee (incorporated herein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top w:val="single" w:sz="8" w:color="0000EE"/>
            </w:tcBorders>
            <w:gridSpan w:val="22"/>
          </w:tcPr>
          <w:p>
            <w:pPr>
              <w:spacing w:after="0" w:line="196" w:lineRule="exact"/>
              <w:rPr>
                <w:rFonts w:ascii="Arial" w:cs="Arial" w:eastAsia="Arial" w:hAnsi="Arial"/>
                <w:sz w:val="18"/>
                <w:szCs w:val="18"/>
                <w:color w:val="0000EE"/>
                <w:w w:val="98"/>
              </w:rPr>
            </w:pPr>
            <w:hyperlink r:id="rId170">
              <w:r>
                <w:rPr>
                  <w:rFonts w:ascii="Arial" w:cs="Arial" w:eastAsia="Arial" w:hAnsi="Arial"/>
                  <w:sz w:val="18"/>
                  <w:szCs w:val="18"/>
                  <w:color w:val="0000EE"/>
                  <w:w w:val="98"/>
                </w:rPr>
                <w:t>Exhibit 4.11 from our registration statement on Form F-1 (File No. 333-227232), as amended, initially filed with the SEC 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September 7, 2018)</w:t>
              </w:r>
            </w:hyperlink>
          </w:p>
        </w:tc>
        <w:tc>
          <w:tcPr>
            <w:tcW w:w="7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9700" w:type="dxa"/>
            <w:vAlign w:val="bottom"/>
            <w:gridSpan w:val="24"/>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Indenture relating to 7.250% senior secured notes due 2021 and dated November 30, 2016, among Studio City Company Limited,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issuer, Studio City Investments Limited, as parent guarantor, the subsidiary guarantors parties thereto, and Deutsche Bank Trust</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Company Americas, as trustee (incorporated herein by reference to Exhibit 4.12 from our registration statement on Form F-1</w:t>
              </w:r>
            </w:hyperlink>
          </w:p>
        </w:tc>
        <w:tc>
          <w:tcPr>
            <w:tcW w:w="160" w:type="dxa"/>
            <w:vAlign w:val="bottom"/>
            <w:tcBorders>
              <w:top w:val="single" w:sz="8" w:color="0000EE"/>
            </w:tcBorders>
            <w:gridSpan w:val="2"/>
          </w:tcPr>
          <w:p>
            <w:pPr>
              <w:spacing w:after="0"/>
              <w:rPr>
                <w:sz w:val="17"/>
                <w:szCs w:val="17"/>
                <w:color w:val="auto"/>
              </w:rPr>
            </w:pPr>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4"/>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(File No. 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80" w:type="dxa"/>
            <w:vAlign w:val="bottom"/>
            <w:gridSpan w:val="8"/>
            <w:shd w:val="clear" w:color="auto" w:fill="0000EE"/>
          </w:tcPr>
          <w:p>
            <w:pPr>
              <w:spacing w:after="0" w:line="20" w:lineRule="exact"/>
              <w:rPr>
                <w:sz w:val="1"/>
                <w:szCs w:val="1"/>
                <w:color w:val="auto"/>
              </w:rPr>
            </w:pPr>
          </w:p>
        </w:tc>
        <w:tc>
          <w:tcPr>
            <w:tcW w:w="298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24"/>
                <w:szCs w:val="24"/>
                <w:color w:val="auto"/>
              </w:rPr>
            </w:pPr>
          </w:p>
        </w:tc>
        <w:tc>
          <w:tcPr>
            <w:tcW w:w="9700" w:type="dxa"/>
            <w:vAlign w:val="bottom"/>
            <w:gridSpan w:val="24"/>
          </w:tcPr>
          <w:p>
            <w:pPr>
              <w:spacing w:after="0"/>
              <w:rPr>
                <w:rFonts w:ascii="Arial" w:cs="Arial" w:eastAsia="Arial" w:hAnsi="Arial"/>
                <w:sz w:val="18"/>
                <w:szCs w:val="18"/>
                <w:color w:val="0000EE"/>
                <w:w w:val="96"/>
              </w:rPr>
            </w:pPr>
            <w:hyperlink r:id="rId172">
              <w:r>
                <w:rPr>
                  <w:rFonts w:ascii="Arial" w:cs="Arial" w:eastAsia="Arial" w:hAnsi="Arial"/>
                  <w:sz w:val="18"/>
                  <w:szCs w:val="18"/>
                  <w:color w:val="0000EE"/>
                  <w:w w:val="96"/>
                </w:rPr>
                <w:t>Supplemental Indenture relating to 7.250% senior secured notes due 2021 and dated November 30, 2016, among Studio City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40" w:type="dxa"/>
            <w:vAlign w:val="bottom"/>
            <w:tcBorders>
              <w:right w:val="single" w:sz="8" w:color="0000EE"/>
            </w:tcBorders>
            <w:gridSpan w:val="13"/>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Company Limited, Industrial and Commercial Bank of China (Macau) Limited, as the security agent, DB Trustees (Hong Kong)</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Limited, as the intercreditor agent and Deutsche Bank Trust Company Americas, as the trustee (incorporated herein by reference to</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Exhibit 4.13 from our registration statement on Form F-1 (File No. 333-227232), as amended, initially filed with the SEC on</w:t>
              </w:r>
            </w:hyperlink>
          </w:p>
        </w:tc>
        <w:tc>
          <w:tcPr>
            <w:tcW w:w="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4"/>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160" w:type="dxa"/>
            <w:vAlign w:val="bottom"/>
            <w:gridSpan w:val="1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4"/>
                <w:szCs w:val="24"/>
                <w:color w:val="auto"/>
              </w:rPr>
            </w:pPr>
          </w:p>
        </w:tc>
        <w:tc>
          <w:tcPr>
            <w:tcW w:w="9700" w:type="dxa"/>
            <w:vAlign w:val="bottom"/>
            <w:gridSpan w:val="24"/>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Second Supplemental Indenture relating to 7.250% senior secured notes due 2021 and dated July 30, 2018, among Studio City (HK)</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580" w:type="dxa"/>
            <w:vAlign w:val="bottom"/>
            <w:gridSpan w:val="20"/>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Two Limited, as a new guarantor, Studio City Company Limited, Studio City Investments Limited, as parent guarantor, the subsidiary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both"/>
        <w:ind w:left="1520" w:right="280"/>
        <w:spacing w:after="0" w:line="264"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guarantors parties thereto and Deutsche Bank Trust Company Americas, as the trustee (incorporated herein by reference to Exhibit</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4.14 from our registration statement on Form F-1 (File No. 333-227232), as amended, initially filed with the SEC on September 7,</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2018)</w:t>
        </w:r>
      </w:hyperlink>
    </w:p>
    <w:p>
      <w:pPr>
        <w:spacing w:after="0" w:line="114" w:lineRule="exact"/>
        <w:rPr>
          <w:rFonts w:ascii="Arial" w:cs="Arial" w:eastAsia="Arial" w:hAnsi="Arial"/>
          <w:sz w:val="18"/>
          <w:szCs w:val="18"/>
          <w:u w:val="single" w:color="auto"/>
          <w:color w:val="0000EE"/>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66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660" w:type="dxa"/>
            <w:vAlign w:val="bottom"/>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ind w:left="80"/>
              <w:spacing w:after="0"/>
              <w:rPr>
                <w:sz w:val="20"/>
                <w:szCs w:val="20"/>
                <w:color w:val="auto"/>
              </w:rPr>
            </w:pPr>
            <w:r>
              <w:rPr>
                <w:rFonts w:ascii="Arial" w:cs="Arial" w:eastAsia="Arial" w:hAnsi="Arial"/>
                <w:sz w:val="18"/>
                <w:szCs w:val="18"/>
                <w:color w:val="auto"/>
              </w:rPr>
              <w:t>2.10</w:t>
            </w:r>
          </w:p>
        </w:tc>
        <w:tc>
          <w:tcPr>
            <w:tcW w:w="600" w:type="dxa"/>
            <w:vAlign w:val="bottom"/>
          </w:tcPr>
          <w:p>
            <w:pPr>
              <w:spacing w:after="0"/>
              <w:rPr>
                <w:sz w:val="24"/>
                <w:szCs w:val="24"/>
                <w:color w:val="auto"/>
              </w:rPr>
            </w:pPr>
          </w:p>
        </w:tc>
        <w:tc>
          <w:tcPr>
            <w:tcW w:w="9660" w:type="dxa"/>
            <w:vAlign w:val="bottom"/>
            <w:gridSpan w:val="28"/>
          </w:tcPr>
          <w:p>
            <w:pPr>
              <w:spacing w:after="0"/>
              <w:rPr>
                <w:rFonts w:ascii="Arial" w:cs="Arial" w:eastAsia="Arial" w:hAnsi="Arial"/>
                <w:sz w:val="18"/>
                <w:szCs w:val="18"/>
                <w:color w:val="0000EE"/>
                <w:w w:val="96"/>
              </w:rPr>
            </w:pPr>
            <w:hyperlink r:id="rId175">
              <w:r>
                <w:rPr>
                  <w:rFonts w:ascii="Arial" w:cs="Arial" w:eastAsia="Arial" w:hAnsi="Arial"/>
                  <w:sz w:val="18"/>
                  <w:szCs w:val="18"/>
                  <w:color w:val="0000EE"/>
                  <w:w w:val="96"/>
                </w:rPr>
                <w:t xml:space="preserve">Amended and Restated Credit Agreement relating to </w:t>
              </w:r>
              <w:r>
                <w:rPr>
                  <w:rFonts w:ascii="Arial" w:cs="Arial" w:eastAsia="Arial" w:hAnsi="Arial"/>
                  <w:sz w:val="18"/>
                  <w:szCs w:val="18"/>
                  <w:u w:val="single" w:color="auto"/>
                  <w:color w:val="0000EE"/>
                  <w:w w:val="96"/>
                </w:rPr>
                <w:t>HK$</w:t>
              </w:r>
              <w:r>
                <w:rPr>
                  <w:rFonts w:ascii="Arial" w:cs="Arial" w:eastAsia="Arial" w:hAnsi="Arial"/>
                  <w:sz w:val="18"/>
                  <w:szCs w:val="18"/>
                  <w:color w:val="0000EE"/>
                  <w:w w:val="96"/>
                </w:rPr>
                <w:t xml:space="preserve">233 million revolving credit facility and </w:t>
              </w:r>
              <w:r>
                <w:rPr>
                  <w:rFonts w:ascii="Arial" w:cs="Arial" w:eastAsia="Arial" w:hAnsi="Arial"/>
                  <w:sz w:val="18"/>
                  <w:szCs w:val="18"/>
                  <w:u w:val="single" w:color="auto"/>
                  <w:color w:val="0000EE"/>
                  <w:w w:val="96"/>
                </w:rPr>
                <w:t>HK$</w:t>
              </w:r>
              <w:r>
                <w:rPr>
                  <w:rFonts w:ascii="Arial" w:cs="Arial" w:eastAsia="Arial" w:hAnsi="Arial"/>
                  <w:sz w:val="18"/>
                  <w:szCs w:val="18"/>
                  <w:color w:val="0000EE"/>
                  <w:w w:val="96"/>
                </w:rPr>
                <w:t>1 million term loan facility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18"/>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dated November 23, 2016, among Studio City Company Limited and certain of its subsidiaries and affiliates with Bank of China</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28"/>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Limited, Macau Branch, among others (incorporated herein by reference to Exhibit 4.15 from our registration statement on Form F-1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(File No. 333-227232), as amended, initially filed with the SEC on September 7, 2018)</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9660" w:type="dxa"/>
            <w:vAlign w:val="bottom"/>
            <w:tcBorders>
              <w:bottom w:val="single" w:sz="8" w:color="0000EE"/>
            </w:tcBorders>
            <w:gridSpan w:val="28"/>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Intercreditor Agreement dated December 1, 2016, among Studio City Company Limited, the guarantors of the 5.875% senior secured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 xml:space="preserve">notes due 2019 and 7.250% senior secured notes due 2021, the lenders and agent for Studio City Company Limited’s </w:t>
              </w:r>
              <w:r>
                <w:rPr>
                  <w:rFonts w:ascii="Arial" w:cs="Arial" w:eastAsia="Arial" w:hAnsi="Arial"/>
                  <w:sz w:val="18"/>
                  <w:szCs w:val="18"/>
                  <w:u w:val="single" w:color="auto"/>
                  <w:color w:val="0000EE"/>
                  <w:w w:val="90"/>
                </w:rPr>
                <w:t>HK$</w:t>
              </w:r>
              <w:r>
                <w:rPr>
                  <w:rFonts w:ascii="Arial" w:cs="Arial" w:eastAsia="Arial" w:hAnsi="Arial"/>
                  <w:sz w:val="18"/>
                  <w:szCs w:val="18"/>
                  <w:color w:val="0000EE"/>
                  <w:w w:val="90"/>
                </w:rPr>
                <w:t>233 million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28"/>
          </w:tcPr>
          <w:p>
            <w:pPr>
              <w:spacing w:after="0" w:line="196"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 xml:space="preserve">revolving credit facility and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1 million term loan facility, the security agent and intercreditor agent named therein, among others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(incorporated herein by reference to Exhibit 4.16 from our registration statement on Form F-1 (File No. 333-227232), as amended,</w:t>
              </w:r>
            </w:hyperlink>
          </w:p>
        </w:tc>
        <w:tc>
          <w:tcPr>
            <w:tcW w:w="80" w:type="dxa"/>
            <w:vAlign w:val="bottom"/>
            <w:tcBorders>
              <w:top w:val="single" w:sz="8" w:color="0000EE"/>
            </w:tcBorders>
            <w:gridSpan w:val="4"/>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initially filed with the SEC on September 7, 2018)</w:t>
              </w:r>
            </w:hyperlink>
          </w:p>
        </w:tc>
        <w:tc>
          <w:tcPr>
            <w:tcW w:w="60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w w:val="99"/>
              </w:rPr>
              <w:t>2.12*</w:t>
            </w:r>
          </w:p>
        </w:tc>
        <w:tc>
          <w:tcPr>
            <w:tcW w:w="600" w:type="dxa"/>
            <w:vAlign w:val="bottom"/>
          </w:tcPr>
          <w:p>
            <w:pPr>
              <w:spacing w:after="0"/>
              <w:rPr>
                <w:sz w:val="24"/>
                <w:szCs w:val="24"/>
                <w:color w:val="auto"/>
              </w:rPr>
            </w:pPr>
          </w:p>
        </w:tc>
        <w:tc>
          <w:tcPr>
            <w:tcW w:w="9660" w:type="dxa"/>
            <w:vAlign w:val="bottom"/>
            <w:gridSpan w:val="28"/>
          </w:tcPr>
          <w:p>
            <w:pPr>
              <w:spacing w:after="0"/>
              <w:rPr>
                <w:sz w:val="20"/>
                <w:szCs w:val="20"/>
                <w:color w:val="auto"/>
              </w:rPr>
            </w:pPr>
            <w:r>
              <w:rPr>
                <w:rFonts w:ascii="Arial" w:cs="Arial" w:eastAsia="Arial" w:hAnsi="Arial"/>
                <w:sz w:val="18"/>
                <w:szCs w:val="18"/>
                <w:color w:val="0000EE"/>
                <w:w w:val="96"/>
              </w:rPr>
              <w:t>Amended and Restated Shareholders’ Agreement, among MCO Cotai Investments Limited, New Cotai, LLC, Melco Resorts &amp;</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Entertainment Limited and the Registrant</w:t>
            </w:r>
          </w:p>
        </w:tc>
        <w:tc>
          <w:tcPr>
            <w:tcW w:w="6180" w:type="dxa"/>
            <w:vAlign w:val="bottom"/>
            <w:tcBorders>
              <w:top w:val="single" w:sz="8" w:color="0000EE"/>
            </w:tcBorders>
            <w:gridSpan w:val="9"/>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2.13</w:t>
            </w:r>
          </w:p>
        </w:tc>
        <w:tc>
          <w:tcPr>
            <w:tcW w:w="600" w:type="dxa"/>
            <w:vAlign w:val="bottom"/>
          </w:tcPr>
          <w:p>
            <w:pPr>
              <w:spacing w:after="0"/>
              <w:rPr>
                <w:sz w:val="24"/>
                <w:szCs w:val="24"/>
                <w:color w:val="auto"/>
              </w:rPr>
            </w:pPr>
          </w:p>
        </w:tc>
        <w:tc>
          <w:tcPr>
            <w:tcW w:w="9660" w:type="dxa"/>
            <w:vAlign w:val="bottom"/>
            <w:gridSpan w:val="28"/>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Amended and Restated Registration Rights Agreement, between New Cotai, LLC and the Registrant (form of which is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herein by reference to Exhibit 10.5 from our registration statement on Form F-1 (File No. 333-227232), as amended, initially filed</w:t>
              </w:r>
            </w:hyperlink>
          </w:p>
        </w:tc>
        <w:tc>
          <w:tcPr>
            <w:tcW w:w="120" w:type="dxa"/>
            <w:vAlign w:val="bottom"/>
            <w:tcBorders>
              <w:top w:val="single" w:sz="8" w:color="0000EE"/>
            </w:tcBorders>
            <w:gridSpan w:val="6"/>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with the SEC on September 7, 2018)</w:t>
              </w:r>
            </w:hyperlink>
          </w:p>
        </w:tc>
        <w:tc>
          <w:tcPr>
            <w:tcW w:w="70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w w:val="99"/>
              </w:rPr>
              <w:t>2.14*</w:t>
            </w:r>
          </w:p>
        </w:tc>
        <w:tc>
          <w:tcPr>
            <w:tcW w:w="600" w:type="dxa"/>
            <w:vAlign w:val="bottom"/>
          </w:tcPr>
          <w:p>
            <w:pPr>
              <w:spacing w:after="0"/>
              <w:rPr>
                <w:sz w:val="24"/>
                <w:szCs w:val="24"/>
                <w:color w:val="auto"/>
              </w:rPr>
            </w:pPr>
          </w:p>
        </w:tc>
        <w:tc>
          <w:tcPr>
            <w:tcW w:w="9660" w:type="dxa"/>
            <w:vAlign w:val="bottom"/>
            <w:gridSpan w:val="28"/>
          </w:tcPr>
          <w:p>
            <w:pPr>
              <w:spacing w:after="0"/>
              <w:rPr>
                <w:sz w:val="20"/>
                <w:szCs w:val="20"/>
                <w:color w:val="auto"/>
              </w:rPr>
            </w:pPr>
            <w:r>
              <w:rPr>
                <w:rFonts w:ascii="Arial" w:cs="Arial" w:eastAsia="Arial" w:hAnsi="Arial"/>
                <w:sz w:val="18"/>
                <w:szCs w:val="18"/>
                <w:color w:val="0000EE"/>
              </w:rPr>
              <w:t>Subscription Agreement between Melco International Development Limited and the Registrant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1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w w:val="99"/>
              </w:rPr>
              <w:t>2.15*</w:t>
            </w:r>
          </w:p>
        </w:tc>
        <w:tc>
          <w:tcPr>
            <w:tcW w:w="600" w:type="dxa"/>
            <w:vAlign w:val="bottom"/>
          </w:tcPr>
          <w:p>
            <w:pPr>
              <w:spacing w:after="0"/>
              <w:rPr>
                <w:sz w:val="24"/>
                <w:szCs w:val="24"/>
                <w:color w:val="auto"/>
              </w:rPr>
            </w:pPr>
          </w:p>
        </w:tc>
        <w:tc>
          <w:tcPr>
            <w:tcW w:w="95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0"/>
              </w:rPr>
              <w:t>Indenture relating to 7.250% senior notes due 2024 and dated February 11, 2019, among Studio City Finance Limited, as issuer, the</w:t>
            </w:r>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subsidiary guarantors parties thereto, and Deutsche Bank Trust Company Americas, as trustee</w:t>
            </w:r>
          </w:p>
        </w:tc>
        <w:tc>
          <w:tcPr>
            <w:tcW w:w="2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460" w:type="dxa"/>
            <w:vAlign w:val="bottom"/>
            <w:tcBorders>
              <w:bottom w:val="single" w:sz="8" w:color="0000EE"/>
            </w:tcBorders>
            <w:gridSpan w:val="21"/>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Form of Indemnification Agreement between the Registrant and each of its directors and executive officers (incorporated herein by</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reference to Exhibit 10.1 from our registration statement on Form F-1 (File No. 333-227232), as amended, initially filed with the SEC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28"/>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660" w:type="dxa"/>
            <w:vAlign w:val="bottom"/>
            <w:gridSpan w:val="28"/>
          </w:tcPr>
          <w:p>
            <w:pP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Form of Employment Agreement with the Executive Officers of the Registrant (incorporated herein by reference to Exhibit 10.2 from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our registration statement on Form F-1 (File No. 333-227232), as amended, initially filed with the SEC on September 7, 2018)</w:t>
              </w:r>
            </w:hyperlink>
          </w:p>
        </w:tc>
        <w:tc>
          <w:tcPr>
            <w:tcW w:w="50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9660" w:type="dxa"/>
            <w:vAlign w:val="bottom"/>
            <w:gridSpan w:val="28"/>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English Translation of subconcession contract for operating casino games of chance or games of other forms in the Macau Special</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5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28"/>
          </w:tcPr>
          <w:p>
            <w:pPr>
              <w:spacing w:after="0" w:line="196" w:lineRule="exact"/>
              <w:rPr>
                <w:rFonts w:ascii="Arial" w:cs="Arial" w:eastAsia="Arial" w:hAnsi="Arial"/>
                <w:sz w:val="18"/>
                <w:szCs w:val="18"/>
                <w:color w:val="0000EE"/>
                <w:w w:val="93"/>
              </w:rPr>
            </w:pPr>
            <w:hyperlink r:id="rId180">
              <w:r>
                <w:rPr>
                  <w:rFonts w:ascii="Arial" w:cs="Arial" w:eastAsia="Arial" w:hAnsi="Arial"/>
                  <w:sz w:val="18"/>
                  <w:szCs w:val="18"/>
                  <w:color w:val="0000EE"/>
                  <w:w w:val="93"/>
                </w:rPr>
                <w:t>Administrative Region dated September 8, 2006, between Wynn Resorts (Macau) S.A. and Melco Resorts (Macau) Limited, which</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was formerly known as Melco Crown (Macau) Limited (incorporated herein by reference to Exhibit 10.3 from our registration</w:t>
              </w:r>
            </w:hyperlink>
          </w:p>
        </w:tc>
        <w:tc>
          <w:tcPr>
            <w:tcW w:w="320" w:type="dxa"/>
            <w:vAlign w:val="bottom"/>
            <w:tcBorders>
              <w:top w:val="single" w:sz="8" w:color="0000EE"/>
            </w:tcBorders>
            <w:gridSpan w:val="7"/>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statement on Form F-1 (File No. 333-227232), as amended, initially filed with the SEC on September 7, 2018)</w:t>
              </w:r>
            </w:hyperlink>
          </w:p>
        </w:tc>
        <w:tc>
          <w:tcPr>
            <w:tcW w:w="16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9660" w:type="dxa"/>
            <w:vAlign w:val="bottom"/>
            <w:gridSpan w:val="28"/>
          </w:tcPr>
          <w:p>
            <w:pPr>
              <w:spacing w:after="0"/>
              <w:rPr>
                <w:rFonts w:ascii="Arial" w:cs="Arial" w:eastAsia="Arial" w:hAnsi="Arial"/>
                <w:sz w:val="18"/>
                <w:szCs w:val="18"/>
                <w:color w:val="0000EE"/>
                <w:w w:val="95"/>
              </w:rPr>
            </w:pPr>
            <w:hyperlink r:id="rId181">
              <w:r>
                <w:rPr>
                  <w:rFonts w:ascii="Arial" w:cs="Arial" w:eastAsia="Arial" w:hAnsi="Arial"/>
                  <w:sz w:val="18"/>
                  <w:szCs w:val="18"/>
                  <w:color w:val="0000EE"/>
                  <w:w w:val="95"/>
                </w:rPr>
                <w:t>Services and Right to Use Agreement dated May 11, 2007, as amended, between Studio City Entertainment Limited and Melco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0" w:type="dxa"/>
            <w:vAlign w:val="bottom"/>
            <w:gridSpan w:val="10"/>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Resorts (Macau) Limited, which was formerly known as Melco Crown (Macau) Limited (incorporated herein by reference to Exhibit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r>
                <w:rPr>
                  <w:rFonts w:ascii="Arial" w:cs="Arial" w:eastAsia="Arial" w:hAnsi="Arial"/>
                  <w:sz w:val="18"/>
                  <w:szCs w:val="18"/>
                  <w:color w:val="0000EE"/>
                  <w:w w:val="91"/>
                </w:rPr>
                <w:t xml:space="preserve"> from our registration statement on Form F-1 (File No. 333-227232), as amended, initially filed with the SEC on September 7,</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81">
              <w:r>
                <w:rPr>
                  <w:rFonts w:ascii="Arial" w:cs="Arial" w:eastAsia="Arial" w:hAnsi="Arial"/>
                  <w:sz w:val="18"/>
                  <w:szCs w:val="18"/>
                  <w:color w:val="0000EE"/>
                  <w:w w:val="86"/>
                </w:rPr>
                <w:t>2018)</w:t>
              </w:r>
            </w:hyperlink>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24"/>
                <w:szCs w:val="24"/>
                <w:color w:val="auto"/>
              </w:rPr>
            </w:pPr>
          </w:p>
        </w:tc>
        <w:tc>
          <w:tcPr>
            <w:tcW w:w="9480" w:type="dxa"/>
            <w:vAlign w:val="bottom"/>
            <w:tcBorders>
              <w:bottom w:val="single" w:sz="8" w:color="0000EE"/>
            </w:tcBorders>
            <w:gridSpan w:val="22"/>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Reimbursement Agreement dated June 15, 2012, between Studio City Entertainment Limited and Melco Resorts (Macau) Limited,</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which was formerly known as Melco Crown (Macau) Limited (incorporated herein by reference to Exhibit 10.8 from our registration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statement on Form F-1 (File No. 333-227232), as amended, initially filed with the SEC on September 7, 2018)</w:t>
              </w:r>
            </w:hyperlink>
          </w:p>
        </w:tc>
        <w:tc>
          <w:tcPr>
            <w:tcW w:w="1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880" w:type="dxa"/>
            <w:vAlign w:val="bottom"/>
            <w:gridSpan w:val="9"/>
          </w:tcPr>
          <w:p>
            <w:pPr>
              <w:jc w:val="right"/>
              <w:ind w:right="1960"/>
              <w:spacing w:after="0"/>
              <w:rPr>
                <w:sz w:val="20"/>
                <w:szCs w:val="20"/>
                <w:color w:val="auto"/>
              </w:rPr>
            </w:pPr>
            <w:r>
              <w:rPr>
                <w:rFonts w:ascii="Arial" w:cs="Arial" w:eastAsia="Arial" w:hAnsi="Arial"/>
                <w:sz w:val="18"/>
                <w:szCs w:val="18"/>
                <w:color w:val="auto"/>
              </w:rPr>
              <w:t>142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68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68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ind w:left="80"/>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24"/>
                <w:szCs w:val="24"/>
                <w:color w:val="auto"/>
              </w:rPr>
            </w:pPr>
          </w:p>
        </w:tc>
        <w:tc>
          <w:tcPr>
            <w:tcW w:w="9440" w:type="dxa"/>
            <w:vAlign w:val="bottom"/>
            <w:tcBorders>
              <w:bottom w:val="single" w:sz="8" w:color="0000EE"/>
            </w:tcBorders>
            <w:gridSpan w:val="17"/>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Services and Right to Use Direct Agreement dated November 26, 2013, among Studio City Company Limited as borrower, Melco</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Resorts (Macau) Limited, which was formerly known as Melco Crown (Macau) Limited, Studio City Holdings Five Limited,</w:t>
              </w:r>
            </w:hyperlink>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Industrial and Commercial Bank of China (Macau) Limited as security agent and POA agent and Deutsche Bank AG, Hong Kong</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Branch as agent, among others (incorporated herein by reference to Exhibit 10.9 from our registration statement on Form F-1 (File</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9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No. 333-227232), as amended, initially filed with the SEC on September 7, 2018)</w:t>
              </w:r>
            </w:hyperlink>
          </w:p>
        </w:tc>
        <w:tc>
          <w:tcPr>
            <w:tcW w:w="37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Master Services Agreement dated December 21, 2015, among Studio City Entertainment Limited, Melco Resorts (Macau) Limited,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which was formerly known as Melco Crown (Macau) Limited, and other subsidiaries and affiliates of the Registrant (incorporated</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herein by reference to Exhibit 10.10 from our registration statement on Form F-1 (File No. 333-227232), as amended, initially filed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with the SEC on September 7, 2018)</w:t>
              </w:r>
            </w:hyperlink>
          </w:p>
        </w:tc>
        <w:tc>
          <w:tcPr>
            <w:tcW w:w="70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Work Agreement No. 1 dated December 21, 2015, related to sale and purchase of certain property, plant and equipment and inventory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and supplies among Studio City Entertainment Limited and other subsidiaries and affiliates of the Registrant (incorporated herein by</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reference to Exhibit 10.11 from our registration statement on Form F-1 (File No. 333-227232), as amended, initially filed with the</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4"/>
                <w:szCs w:val="24"/>
                <w:color w:val="auto"/>
              </w:rPr>
            </w:pPr>
          </w:p>
        </w:tc>
        <w:tc>
          <w:tcPr>
            <w:tcW w:w="9560" w:type="dxa"/>
            <w:vAlign w:val="bottom"/>
            <w:tcBorders>
              <w:bottom w:val="single" w:sz="8" w:color="0000EE"/>
            </w:tcBorders>
            <w:gridSpan w:val="21"/>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Work Agreement No. 2 dated December 21, 2015, related to corporate services among Studio City Entertainment Limited and other</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subsidiaries and affiliates of the Registrant (incorporated herein by reference to Exhibit 10.12 from our registration statement on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F-1 (File No. 333-227232), as amended, initially filed with the SEC on September 7, 2018)</w:t>
              </w:r>
            </w:hyperlink>
          </w:p>
        </w:tc>
        <w:tc>
          <w:tcPr>
            <w:tcW w:w="31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4.10</w:t>
            </w:r>
          </w:p>
        </w:tc>
        <w:tc>
          <w:tcPr>
            <w:tcW w:w="600" w:type="dxa"/>
            <w:vAlign w:val="bottom"/>
          </w:tcPr>
          <w:p>
            <w:pPr>
              <w:spacing w:after="0"/>
              <w:rPr>
                <w:sz w:val="24"/>
                <w:szCs w:val="24"/>
                <w:color w:val="auto"/>
              </w:rPr>
            </w:pPr>
          </w:p>
        </w:tc>
        <w:tc>
          <w:tcPr>
            <w:tcW w:w="9560" w:type="dxa"/>
            <w:vAlign w:val="bottom"/>
            <w:tcBorders>
              <w:bottom w:val="single" w:sz="8" w:color="0000EE"/>
            </w:tcBorders>
            <w:gridSpan w:val="21"/>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Work Agreement No. 3 dated December 21, 2015, related to certain pay-as-used charges among Studio City Entertainment Limited</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8"/>
              </w:rPr>
            </w:pPr>
            <w:hyperlink r:id="rId188">
              <w:r>
                <w:rPr>
                  <w:rFonts w:ascii="Arial" w:cs="Arial" w:eastAsia="Arial" w:hAnsi="Arial"/>
                  <w:sz w:val="18"/>
                  <w:szCs w:val="18"/>
                  <w:color w:val="0000EE"/>
                  <w:w w:val="98"/>
                </w:rPr>
                <w:t>and other subsidiaries and affiliates of the Registrant (incorporated herein by reference to Exhibit 10.13 from our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statement on Form F-1 (File No. 333-227232), as amended, initially filed with the SEC on September 7, 2018)</w:t>
              </w:r>
            </w:hyperlink>
          </w:p>
        </w:tc>
        <w:tc>
          <w:tcPr>
            <w:tcW w:w="1020" w:type="dxa"/>
            <w:vAlign w:val="bottom"/>
            <w:tcBorders>
              <w:top w:val="single" w:sz="8" w:color="0000EE"/>
            </w:tcBorders>
            <w:gridSpan w:val="2"/>
          </w:tcPr>
          <w:p>
            <w:pPr>
              <w:spacing w:after="0"/>
              <w:rPr>
                <w:sz w:val="17"/>
                <w:szCs w:val="17"/>
                <w:color w:val="auto"/>
              </w:rPr>
            </w:pPr>
          </w:p>
        </w:tc>
        <w:tc>
          <w:tcPr>
            <w:tcW w:w="6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4.11</w:t>
            </w:r>
          </w:p>
        </w:tc>
        <w:tc>
          <w:tcPr>
            <w:tcW w:w="600" w:type="dxa"/>
            <w:vAlign w:val="bottom"/>
          </w:tcPr>
          <w:p>
            <w:pPr>
              <w:spacing w:after="0"/>
              <w:rPr>
                <w:sz w:val="24"/>
                <w:szCs w:val="24"/>
                <w:color w:val="auto"/>
              </w:rPr>
            </w:pPr>
          </w:p>
        </w:tc>
        <w:tc>
          <w:tcPr>
            <w:tcW w:w="8820" w:type="dxa"/>
            <w:vAlign w:val="bottom"/>
            <w:tcBorders>
              <w:bottom w:val="single" w:sz="8" w:color="0000EE"/>
            </w:tcBorders>
            <w:gridSpan w:val="9"/>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Work Agreement No. 4 dated December 21, 2015, related to operational and property sharing services among Studio City</w:t>
              </w:r>
            </w:hyperlink>
          </w:p>
        </w:tc>
        <w:tc>
          <w:tcPr>
            <w:tcW w:w="8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Entertainment Limited and other subsidiaries and affiliates of the Registrant (incorporated herein by reference to Exhibit 10.14 from</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6"/>
              </w:rPr>
            </w:pPr>
            <w:hyperlink r:id="rId189">
              <w:r>
                <w:rPr>
                  <w:rFonts w:ascii="Arial" w:cs="Arial" w:eastAsia="Arial" w:hAnsi="Arial"/>
                  <w:sz w:val="18"/>
                  <w:szCs w:val="18"/>
                  <w:color w:val="0000EE"/>
                  <w:w w:val="96"/>
                </w:rPr>
                <w:t>our registration statement on Form F-1 (File No. 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20" w:type="dxa"/>
            <w:vAlign w:val="bottom"/>
            <w:gridSpan w:val="7"/>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4.12</w:t>
            </w:r>
          </w:p>
        </w:tc>
        <w:tc>
          <w:tcPr>
            <w:tcW w:w="6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Work Agreement No. 5 dated December 21, 2015, related to limousine transportation services among Studio City Hotels Limited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other subsidiaries and affiliates of the Registrant (incorporated herein by reference to Exhibit 10.15 from our registration statement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Form F-1 (File No. 333-227232), as amended, initially filed with the SEC on September 7, 2018)</w:t>
              </w:r>
            </w:hyperlink>
          </w:p>
        </w:tc>
        <w:tc>
          <w:tcPr>
            <w:tcW w:w="2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4.13</w:t>
            </w:r>
          </w:p>
        </w:tc>
        <w:tc>
          <w:tcPr>
            <w:tcW w:w="60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Work Agreement No. 6 dated December 21, 2015, related to aviation services among Studio City Entertainment Limited and other</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subsidiaries and affiliates of the Registrant (incorporated herein by reference to Exhibit 10.16 from our registration statement on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F-1 (File No. 333-227232), as amended, initially filed with the SEC on September 7, 2018)</w:t>
              </w:r>
            </w:hyperlink>
          </w:p>
        </w:tc>
        <w:tc>
          <w:tcPr>
            <w:tcW w:w="31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4.14</w:t>
            </w:r>
          </w:p>
        </w:tc>
        <w:tc>
          <w:tcPr>
            <w:tcW w:w="600" w:type="dxa"/>
            <w:vAlign w:val="bottom"/>
          </w:tcPr>
          <w:p>
            <w:pPr>
              <w:spacing w:after="0"/>
              <w:rPr>
                <w:sz w:val="24"/>
                <w:szCs w:val="24"/>
                <w:color w:val="auto"/>
              </w:rPr>
            </w:pPr>
          </w:p>
        </w:tc>
        <w:tc>
          <w:tcPr>
            <w:tcW w:w="9220" w:type="dxa"/>
            <w:vAlign w:val="bottom"/>
            <w:tcBorders>
              <w:bottom w:val="single" w:sz="8" w:color="0000EE"/>
            </w:tcBorders>
            <w:gridSpan w:val="13"/>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Work Agreement No. 7 dated December 21, 2015, related to collection and payment services among Studio City Entertainment</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Limited and other subsidiaries and affiliates of the Registrant (incorporated herein by reference to Exhibit 10.17 from our registration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statement on Form F-1 (File No. 333-227232), as amended, initially filed with the SEC on September 7, 2018)</w:t>
              </w:r>
            </w:hyperlink>
          </w:p>
        </w:tc>
        <w:tc>
          <w:tcPr>
            <w:tcW w:w="1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4.15</w:t>
            </w:r>
          </w:p>
        </w:tc>
        <w:tc>
          <w:tcPr>
            <w:tcW w:w="6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Work Agreement No. 8 dated December 21, 2015, related to limousine transportation services among Studio City Hotels Limited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other subsidiaries and affiliates of the Registrant (incorporated herein by reference to Exhibit 10.18 from our registration statement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Form F-1 (File No. 333-227232), as amended, initially filed with the SEC on September 7, 2018)</w:t>
              </w:r>
            </w:hyperlink>
          </w:p>
        </w:tc>
        <w:tc>
          <w:tcPr>
            <w:tcW w:w="2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500" w:type="dxa"/>
            <w:vAlign w:val="bottom"/>
            <w:gridSpan w:val="6"/>
          </w:tcPr>
          <w:p>
            <w:pPr>
              <w:jc w:val="right"/>
              <w:ind w:right="1580"/>
              <w:spacing w:after="0"/>
              <w:rPr>
                <w:sz w:val="20"/>
                <w:szCs w:val="20"/>
                <w:color w:val="auto"/>
              </w:rPr>
            </w:pPr>
            <w:r>
              <w:rPr>
                <w:rFonts w:ascii="Arial" w:cs="Arial" w:eastAsia="Arial" w:hAnsi="Arial"/>
                <w:sz w:val="18"/>
                <w:szCs w:val="18"/>
                <w:color w:val="auto"/>
              </w:rPr>
              <w:t>143</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Exhibit</w:t>
            </w:r>
          </w:p>
        </w:tc>
        <w:tc>
          <w:tcPr>
            <w:tcW w:w="968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968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4.16</w:t>
            </w:r>
          </w:p>
        </w:tc>
        <w:tc>
          <w:tcPr>
            <w:tcW w:w="60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2"/>
              </w:rPr>
            </w:pPr>
            <w:hyperlink r:id="rId195">
              <w:r>
                <w:rPr>
                  <w:rFonts w:ascii="Arial" w:cs="Arial" w:eastAsia="Arial" w:hAnsi="Arial"/>
                  <w:sz w:val="18"/>
                  <w:szCs w:val="18"/>
                  <w:color w:val="0000EE"/>
                  <w:w w:val="92"/>
                </w:rPr>
                <w:t>English Translation of the Order of Secretary for Public Works and Transportation published in Macau Official Gazette No. 100/2001</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dated October 9, 2001, in relation to the Studio City Land Concession (incorporated herein by reference to Exhibit 10.19 from our</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registration statement on Form F-1 (File No. 333-227232), as amended, initially filed with the SEC on September 7, 2018)</w:t>
              </w:r>
            </w:hyperlink>
          </w:p>
        </w:tc>
        <w:tc>
          <w:tcPr>
            <w:tcW w:w="580" w:type="dxa"/>
            <w:vAlign w:val="bottom"/>
            <w:tcBorders>
              <w:top w:val="single" w:sz="8" w:color="0000EE"/>
            </w:tcBorders>
            <w:gridSpan w:val="7"/>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4.17</w:t>
            </w:r>
          </w:p>
        </w:tc>
        <w:tc>
          <w:tcPr>
            <w:tcW w:w="600" w:type="dxa"/>
            <w:vAlign w:val="bottom"/>
          </w:tcPr>
          <w:p>
            <w:pPr>
              <w:spacing w:after="0"/>
              <w:rPr>
                <w:sz w:val="24"/>
                <w:szCs w:val="24"/>
                <w:color w:val="auto"/>
              </w:rPr>
            </w:pPr>
          </w:p>
        </w:tc>
        <w:tc>
          <w:tcPr>
            <w:tcW w:w="9640" w:type="dxa"/>
            <w:vAlign w:val="bottom"/>
            <w:tcBorders>
              <w:bottom w:val="single" w:sz="8" w:color="0000EE"/>
            </w:tcBorders>
            <w:gridSpan w:val="23"/>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English Translation of the amended Order of Secretary for Public Works and Transportation published in Macau Official Gazette No.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31/2012 dated July 19, 2012, in relation to the Studio City Land Concession (incorporated herein by reference to Exhibit 10.20 from</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top w:val="single" w:sz="8" w:color="0000EE"/>
            </w:tcBorders>
            <w:gridSpan w:val="21"/>
          </w:tcPr>
          <w:p>
            <w:pPr>
              <w:spacing w:after="0" w:line="196" w:lineRule="exact"/>
              <w:rPr>
                <w:rFonts w:ascii="Arial" w:cs="Arial" w:eastAsia="Arial" w:hAnsi="Arial"/>
                <w:sz w:val="18"/>
                <w:szCs w:val="18"/>
                <w:color w:val="0000EE"/>
                <w:w w:val="95"/>
              </w:rPr>
            </w:pPr>
            <w:hyperlink r:id="rId196">
              <w:r>
                <w:rPr>
                  <w:rFonts w:ascii="Arial" w:cs="Arial" w:eastAsia="Arial" w:hAnsi="Arial"/>
                  <w:sz w:val="18"/>
                  <w:szCs w:val="18"/>
                  <w:color w:val="0000EE"/>
                  <w:w w:val="95"/>
                </w:rPr>
                <w:t>our registration statement on Form F-1 (File No. 333-227232), as amended, initially filed with the SEC on September 7, 2018)</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4.18</w:t>
            </w:r>
          </w:p>
        </w:tc>
        <w:tc>
          <w:tcPr>
            <w:tcW w:w="600" w:type="dxa"/>
            <w:vAlign w:val="bottom"/>
          </w:tcPr>
          <w:p>
            <w:pPr>
              <w:spacing w:after="0"/>
              <w:rPr>
                <w:sz w:val="24"/>
                <w:szCs w:val="24"/>
                <w:color w:val="auto"/>
              </w:rPr>
            </w:pPr>
          </w:p>
        </w:tc>
        <w:tc>
          <w:tcPr>
            <w:tcW w:w="9640" w:type="dxa"/>
            <w:vAlign w:val="bottom"/>
            <w:tcBorders>
              <w:bottom w:val="single" w:sz="8" w:color="0000EE"/>
            </w:tcBorders>
            <w:gridSpan w:val="23"/>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English Translation of the amended Order of Secretary for Public Works and Transportation published in Macau Official Gazette No.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92/2015 dated September 10, 2015, in relation to the Studio City Land Concession (incorporated herein by reference to Exhibit 10.21</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from our registration statement on Form F-1 (File No. 333-227232), as amended, initially filed with the SEC on September 7, 2018)</w:t>
              </w:r>
            </w:hyperlink>
          </w:p>
        </w:tc>
        <w:tc>
          <w:tcPr>
            <w:tcW w:w="1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4.19</w:t>
            </w:r>
          </w:p>
        </w:tc>
        <w:tc>
          <w:tcPr>
            <w:tcW w:w="60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w w:val="95"/>
              </w:rPr>
            </w:pPr>
            <w:hyperlink r:id="rId198">
              <w:r>
                <w:rPr>
                  <w:rFonts w:ascii="Arial" w:cs="Arial" w:eastAsia="Arial" w:hAnsi="Arial"/>
                  <w:sz w:val="18"/>
                  <w:szCs w:val="18"/>
                  <w:color w:val="0000EE"/>
                  <w:w w:val="95"/>
                </w:rPr>
                <w:t>Participation Agreement among MSC Cotai Limited, New Cotai, LLC and the Registrant (form of which is incorporated herein by</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reference to Exhibit 10.22 from our registration statement on Form F-1 (File No. 333-227232), as amended, initially filed with the</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SEC on September 7, 2018)</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4.20</w:t>
            </w:r>
          </w:p>
        </w:tc>
        <w:tc>
          <w:tcPr>
            <w:tcW w:w="600" w:type="dxa"/>
            <w:vAlign w:val="bottom"/>
          </w:tcPr>
          <w:p>
            <w:pPr>
              <w:spacing w:after="0"/>
              <w:rPr>
                <w:sz w:val="24"/>
                <w:szCs w:val="24"/>
                <w:color w:val="auto"/>
              </w:rPr>
            </w:pPr>
          </w:p>
        </w:tc>
        <w:tc>
          <w:tcPr>
            <w:tcW w:w="9600" w:type="dxa"/>
            <w:vAlign w:val="bottom"/>
            <w:tcBorders>
              <w:bottom w:val="single" w:sz="8" w:color="0000EE"/>
            </w:tcBorders>
            <w:gridSpan w:val="22"/>
          </w:tcPr>
          <w:p>
            <w:pPr>
              <w:spacing w:after="0"/>
              <w:rPr>
                <w:rFonts w:ascii="Arial" w:cs="Arial" w:eastAsia="Arial" w:hAnsi="Arial"/>
                <w:sz w:val="18"/>
                <w:szCs w:val="18"/>
                <w:color w:val="0000EE"/>
                <w:w w:val="93"/>
              </w:rPr>
            </w:pPr>
            <w:hyperlink r:id="rId199">
              <w:r>
                <w:rPr>
                  <w:rFonts w:ascii="Arial" w:cs="Arial" w:eastAsia="Arial" w:hAnsi="Arial"/>
                  <w:sz w:val="18"/>
                  <w:szCs w:val="18"/>
                  <w:color w:val="0000EE"/>
                  <w:w w:val="93"/>
                </w:rPr>
                <w:t>Implementation Agreement among MCO Cotai Investments Limited, New Cotai, LLC, Melco Resorts &amp; Entertainment Limited and</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rFonts w:ascii="Arial" w:cs="Arial" w:eastAsia="Arial" w:hAnsi="Arial"/>
                <w:sz w:val="18"/>
                <w:szCs w:val="18"/>
                <w:color w:val="0000EE"/>
                <w:w w:val="93"/>
              </w:rPr>
            </w:pPr>
            <w:hyperlink r:id="rId199">
              <w:r>
                <w:rPr>
                  <w:rFonts w:ascii="Arial" w:cs="Arial" w:eastAsia="Arial" w:hAnsi="Arial"/>
                  <w:sz w:val="18"/>
                  <w:szCs w:val="18"/>
                  <w:color w:val="0000EE"/>
                  <w:w w:val="93"/>
                </w:rPr>
                <w:t>the Registrant (form of which is incorporated herein by reference to Exhibit 10.23 from our registration statement on Form F-1 (File</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No. 333-227232), as amended, initially filed with the SEC on September 7, 2018)</w:t>
              </w:r>
            </w:hyperlink>
          </w:p>
        </w:tc>
        <w:tc>
          <w:tcPr>
            <w:tcW w:w="3620" w:type="dxa"/>
            <w:vAlign w:val="bottom"/>
            <w:tcBorders>
              <w:top w:val="single" w:sz="8" w:color="0000EE"/>
            </w:tcBorders>
            <w:gridSpan w:val="10"/>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00" w:type="dxa"/>
            <w:vAlign w:val="bottom"/>
          </w:tcPr>
          <w:p>
            <w:pPr>
              <w:spacing w:after="0"/>
              <w:rPr>
                <w:sz w:val="24"/>
                <w:szCs w:val="24"/>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0000EE"/>
                <w:w w:val="94"/>
              </w:rPr>
              <w:t>Underwriting Agreement, dated October 17, 2018, among the Registrant, Deutsche Bank Securities Inc., Credit Suisse Securities</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(USA) LLC and Morgan Stanley &amp; Co. International plc as underwriters</w:t>
            </w:r>
          </w:p>
        </w:tc>
        <w:tc>
          <w:tcPr>
            <w:tcW w:w="4040" w:type="dxa"/>
            <w:vAlign w:val="bottom"/>
            <w:tcBorders>
              <w:top w:val="single" w:sz="8" w:color="0000EE"/>
            </w:tcBorders>
            <w:gridSpan w:val="9"/>
          </w:tcPr>
          <w:p>
            <w:pPr>
              <w:spacing w:after="0"/>
              <w:rPr>
                <w:sz w:val="17"/>
                <w:szCs w:val="17"/>
                <w:color w:val="auto"/>
              </w:rPr>
            </w:pPr>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600" w:type="dxa"/>
            <w:vAlign w:val="bottom"/>
          </w:tcPr>
          <w:p>
            <w:pPr>
              <w:spacing w:after="0"/>
              <w:rPr>
                <w:sz w:val="24"/>
                <w:szCs w:val="24"/>
                <w:color w:val="auto"/>
              </w:rPr>
            </w:pPr>
          </w:p>
        </w:tc>
        <w:tc>
          <w:tcPr>
            <w:tcW w:w="93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Purchase Agreement, dated January 29, 2019, among Studio City Finance Limited, the subsidiary guarantors as specified therein,</w:t>
            </w:r>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Deutsche Bank AG, Singapore Branch, Australia and New Zealand Banking Group Limited, Bank of Communications Co., Ltd.</w:t>
            </w:r>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5"/>
          </w:tcPr>
          <w:p>
            <w:pPr>
              <w:spacing w:after="0" w:line="196" w:lineRule="exact"/>
              <w:rPr>
                <w:sz w:val="20"/>
                <w:szCs w:val="20"/>
                <w:color w:val="auto"/>
              </w:rPr>
            </w:pPr>
            <w:r>
              <w:rPr>
                <w:rFonts w:ascii="Arial" w:cs="Arial" w:eastAsia="Arial" w:hAnsi="Arial"/>
                <w:sz w:val="18"/>
                <w:szCs w:val="18"/>
                <w:color w:val="0000EE"/>
                <w:w w:val="95"/>
              </w:rPr>
              <w:t>Macau Branch, BOCI Asia Limited, Industrial and Commercial Bank of China (Asia) Limited, ICBC (Macau) Capital Limited and</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Mizuho Securities Asia Limited regarding the 7.250% Senior Notes due 2024</w:t>
            </w: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56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Significant Subsidiaries of the Registrant</w:t>
            </w:r>
          </w:p>
        </w:tc>
        <w:tc>
          <w:tcPr>
            <w:tcW w:w="40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12.1*</w:t>
            </w:r>
          </w:p>
        </w:tc>
        <w:tc>
          <w:tcPr>
            <w:tcW w:w="600" w:type="dxa"/>
            <w:vAlign w:val="bottom"/>
          </w:tcPr>
          <w:p>
            <w:pPr>
              <w:spacing w:after="0"/>
              <w:rPr>
                <w:sz w:val="24"/>
                <w:szCs w:val="24"/>
                <w:color w:val="auto"/>
              </w:rPr>
            </w:pPr>
          </w:p>
        </w:tc>
        <w:tc>
          <w:tcPr>
            <w:tcW w:w="56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CEO Certification Pursuant to Section 302 of the Sarbanes-Oxley Act of 2002</w:t>
            </w:r>
          </w:p>
        </w:tc>
        <w:tc>
          <w:tcPr>
            <w:tcW w:w="40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24"/>
                <w:szCs w:val="24"/>
                <w:color w:val="auto"/>
              </w:rPr>
            </w:pPr>
          </w:p>
        </w:tc>
        <w:tc>
          <w:tcPr>
            <w:tcW w:w="5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CFO Certification Pursuant to Section 302 of the Sarbanes-Oxley Act of 2002</w:t>
            </w:r>
          </w:p>
        </w:tc>
        <w:tc>
          <w:tcPr>
            <w:tcW w:w="40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24"/>
                <w:szCs w:val="24"/>
                <w:color w:val="auto"/>
              </w:rPr>
            </w:pPr>
          </w:p>
        </w:tc>
        <w:tc>
          <w:tcPr>
            <w:tcW w:w="56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CEO Certification Pursuant to Section 906 of the Sarbanes-Oxley Act of 2002</w:t>
            </w:r>
          </w:p>
        </w:tc>
        <w:tc>
          <w:tcPr>
            <w:tcW w:w="40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13.2*</w:t>
            </w:r>
          </w:p>
        </w:tc>
        <w:tc>
          <w:tcPr>
            <w:tcW w:w="600" w:type="dxa"/>
            <w:vAlign w:val="bottom"/>
          </w:tcPr>
          <w:p>
            <w:pPr>
              <w:spacing w:after="0"/>
              <w:rPr>
                <w:sz w:val="24"/>
                <w:szCs w:val="24"/>
                <w:color w:val="auto"/>
              </w:rPr>
            </w:pPr>
          </w:p>
        </w:tc>
        <w:tc>
          <w:tcPr>
            <w:tcW w:w="5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CFO Certification Pursuant to Section 906 of the Sarbanes-Oxley Act of 2002</w:t>
            </w:r>
          </w:p>
        </w:tc>
        <w:tc>
          <w:tcPr>
            <w:tcW w:w="40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40" w:type="dxa"/>
            <w:vAlign w:val="bottom"/>
            <w:gridSpan w:val="5"/>
          </w:tcPr>
          <w:p>
            <w:pPr>
              <w:ind w:left="406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131" w:lineRule="exact"/>
        <w:rPr>
          <w:sz w:val="20"/>
          <w:szCs w:val="20"/>
          <w:color w:val="auto"/>
        </w:rPr>
      </w:pPr>
    </w:p>
    <w:p>
      <w:pPr>
        <w:jc w:val="center"/>
        <w:ind w:left="5580" w:hanging="5376"/>
        <w:spacing w:after="0" w:line="449" w:lineRule="auto"/>
        <w:tabs>
          <w:tab w:leader="none" w:pos="6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F-6 (File No. 333-227759), dated October 9, 2018, and incorporated herein by reference. 145</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9" w:lineRule="exact"/>
        <w:rPr>
          <w:sz w:val="20"/>
          <w:szCs w:val="20"/>
          <w:color w:val="auto"/>
        </w:rPr>
      </w:pPr>
    </w:p>
    <w:p>
      <w:pPr>
        <w:ind w:left="200"/>
        <w:spacing w:after="0"/>
        <w:tabs>
          <w:tab w:leader="none" w:pos="5940" w:val="left"/>
          <w:tab w:leader="none" w:pos="658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9330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Property President</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00"/>
          </w:cols>
          <w:pgMar w:left="240" w:top="459" w:right="75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078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9420" w:type="dxa"/>
            <w:vAlign w:val="bottom"/>
            <w:gridSpan w:val="10"/>
          </w:tcPr>
          <w:p>
            <w:pPr>
              <w:jc w:val="center"/>
              <w:ind w:right="720"/>
              <w:spacing w:after="0"/>
              <w:rPr>
                <w:sz w:val="20"/>
                <w:szCs w:val="20"/>
                <w:color w:val="auto"/>
              </w:rPr>
            </w:pPr>
            <w:r>
              <w:rPr>
                <w:rFonts w:ascii="Arial" w:cs="Arial" w:eastAsia="Arial" w:hAnsi="Arial"/>
                <w:sz w:val="18"/>
                <w:szCs w:val="18"/>
                <w:b w:val="1"/>
                <w:bCs w:val="1"/>
                <w:color w:val="auto"/>
              </w:rPr>
              <w:t>STUDIO CITY INTERNATIONAL HOLDINGS LIMITED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20" w:type="dxa"/>
            <w:vAlign w:val="bottom"/>
            <w:gridSpan w:val="10"/>
          </w:tcPr>
          <w:p>
            <w:pPr>
              <w:jc w:val="center"/>
              <w:ind w:right="70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20" w:type="dxa"/>
            <w:vAlign w:val="bottom"/>
            <w:gridSpan w:val="10"/>
          </w:tcPr>
          <w:p>
            <w:pPr>
              <w:jc w:val="center"/>
              <w:ind w:right="720"/>
              <w:spacing w:after="0"/>
              <w:rPr>
                <w:sz w:val="20"/>
                <w:szCs w:val="20"/>
                <w:color w:val="auto"/>
              </w:rPr>
            </w:pPr>
            <w:r>
              <w:rPr>
                <w:rFonts w:ascii="Arial" w:cs="Arial" w:eastAsia="Arial" w:hAnsi="Arial"/>
                <w:sz w:val="18"/>
                <w:szCs w:val="18"/>
                <w:b w:val="1"/>
                <w:bCs w:val="1"/>
                <w:color w:val="auto"/>
                <w:w w:val="96"/>
              </w:rPr>
              <w:t>FOR THE YEARS ENDED DECEMBER 31, 2018, 2017 AND 2016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10580" w:type="dxa"/>
            <w:vAlign w:val="bottom"/>
            <w:gridSpan w:val="12"/>
            <w:vMerge w:val="restart"/>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Report of Independent Registered Public Accounting Firm</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10580" w:type="dxa"/>
            <w:vAlign w:val="bottom"/>
            <w:gridSpan w:val="12"/>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tcPr>
          <w:p>
            <w:pPr>
              <w:spacing w:after="0"/>
              <w:rPr>
                <w:sz w:val="24"/>
                <w:szCs w:val="24"/>
                <w:color w:val="auto"/>
              </w:rPr>
            </w:pPr>
          </w:p>
        </w:tc>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53">
              <w:r>
                <w:rPr>
                  <w:rFonts w:ascii="Arial" w:cs="Arial" w:eastAsia="Arial" w:hAnsi="Arial"/>
                  <w:sz w:val="18"/>
                  <w:szCs w:val="18"/>
                  <w:color w:val="0000EE"/>
                  <w:w w:val="88"/>
                </w:rPr>
                <w:t>Consolidated Balance Sheets as of December 31, 2018 and 2017</w:t>
              </w:r>
            </w:hyperlink>
          </w:p>
        </w:tc>
        <w:tc>
          <w:tcPr>
            <w:tcW w:w="592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0580" w:type="dxa"/>
            <w:vAlign w:val="bottom"/>
            <w:gridSpan w:val="12"/>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Operations for the years ended December 31, 2018, 2017 and 2016</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0580" w:type="dxa"/>
            <w:vAlign w:val="bottom"/>
            <w:gridSpan w:val="12"/>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Comprehensive Loss for the years ended December 31, 2018, 2017 and 2016</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76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Consolidated Statements of Shareholders’ Equity for the years ended December 31, 2018, 2017 and 2016</w:t>
              </w:r>
            </w:hyperlink>
          </w:p>
        </w:tc>
        <w:tc>
          <w:tcPr>
            <w:tcW w:w="298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69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Consolidated Statements of Cash Flows for the years ended December 31, 2018, 2017 and 2016</w:t>
              </w:r>
            </w:hyperlink>
          </w:p>
        </w:tc>
        <w:tc>
          <w:tcPr>
            <w:tcW w:w="362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7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61">
              <w:r>
                <w:rPr>
                  <w:rFonts w:ascii="Arial" w:cs="Arial" w:eastAsia="Arial" w:hAnsi="Arial"/>
                  <w:sz w:val="18"/>
                  <w:szCs w:val="18"/>
                  <w:color w:val="0000EE"/>
                  <w:w w:val="89"/>
                </w:rPr>
                <w:t>Notes to Consolidated Financial Statements for the years ended December 31, 2018, 2017 and 2016</w:t>
              </w:r>
            </w:hyperlink>
          </w:p>
        </w:tc>
        <w:tc>
          <w:tcPr>
            <w:tcW w:w="338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03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89">
              <w:r>
                <w:rPr>
                  <w:rFonts w:ascii="Arial" w:cs="Arial" w:eastAsia="Arial" w:hAnsi="Arial"/>
                  <w:sz w:val="18"/>
                  <w:szCs w:val="18"/>
                  <w:color w:val="0000EE"/>
                  <w:w w:val="90"/>
                </w:rPr>
                <w:t>Schedule 1 – Studio City International Holdings Limited Condensed Financial Statements as of December 31, 2018 and 2017 and for the years</w:t>
              </w:r>
            </w:hyperlink>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580" w:type="dxa"/>
            <w:vAlign w:val="bottom"/>
            <w:gridSpan w:val="12"/>
          </w:tcPr>
          <w:p>
            <w:pPr>
              <w:ind w:left="180"/>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ended December 31, 2018, 2017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7"/>
          </w:tcPr>
          <w:p>
            <w:pPr>
              <w:jc w:val="center"/>
              <w:ind w:right="422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Studio City International Holdings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Studio City International Holdings Limited (the Company) as of December 31, 2018 and 2017, and the related consolidated statements of operations, comprehensive loss, shareholders’ equity and cash flows for each of the three years in the period ended December 31, 2018,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As discussed Note 2(v) to the consolidated financial statements, the Company changed its method for accounting for revenues from contracts with customers due to the adoption of ASU No. 2014-09, Revenue from Contracts with Customers (Topic 606), as amended, effective January 1, 2018, using the modified retrospective approach.</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29, 2019</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83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STUDIO CITY INTERNATIONAL HOLDINGS LIMITED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2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CONSOLIDATED BALANCE SHEETS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345,854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Bank deposits with original maturities over three months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from affiliated companies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9,904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459,041</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7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2,175,858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2,280,116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LONG-TERM PREPAYMENTS, DEPOSITS AND OTHER ASSETS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45,766</w:t>
            </w: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LAND USE RIGHT, NET</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121,544</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2,802,338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2,927,567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LIABILITIES, SHAREHOLDERS’ EQUITY AND PARTICIPATION INTEREST</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6,421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Amounts due to affiliated companies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21,953</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438,972</w:t>
            </w: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LONG-TERM DEBT, NET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1,261,904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1,999,354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1,705,937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2,187,524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color w:val="auto"/>
                <w:w w:val="96"/>
              </w:rPr>
              <w:t>F-3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240" w:top="446"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3" w:name="page154"/>
    <w:bookmarkEnd w:id="153"/>
    <w:tbl>
      <w:tblPr>
        <w:tblLayout w:type="fixed"/>
        <w:tblInd w:w="0" w:type="dxa"/>
        <w:tblCellMar>
          <w:top w:w="0" w:type="dxa"/>
          <w:left w:w="0" w:type="dxa"/>
          <w:bottom w:w="0" w:type="dxa"/>
          <w:right w:w="0" w:type="dxa"/>
        </w:tblCellMar>
      </w:tblPr>
      <w:tr>
        <w:trPr>
          <w:trHeight w:val="207"/>
        </w:trPr>
        <w:tc>
          <w:tcPr>
            <w:tcW w:w="85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b w:val="1"/>
                <w:bCs w:val="1"/>
                <w:color w:val="auto"/>
              </w:rPr>
              <w:t>STUDIO CITY INTERNATIONAL HOLDINGS LIMITED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6"/>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b w:val="1"/>
                <w:bCs w:val="1"/>
                <w:color w:val="auto"/>
                <w:w w:val="97"/>
              </w:rPr>
              <w:t xml:space="preserve">CONSOLIDATED BALANCE SHEETS </w:t>
            </w:r>
            <w:r>
              <w:rPr>
                <w:rFonts w:ascii="Arial" w:cs="Arial" w:eastAsia="Arial" w:hAnsi="Arial"/>
                <w:sz w:val="18"/>
                <w:szCs w:val="18"/>
                <w:color w:val="auto"/>
                <w:w w:val="97"/>
              </w:rPr>
              <w:t>- continued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2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CCEEFF"/>
            </w:tcBorders>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8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 AND PARTICIPATION INTEREST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20" w:type="dxa"/>
            <w:vAlign w:val="bottom"/>
          </w:tcPr>
          <w:p>
            <w:pPr>
              <w:spacing w:after="0"/>
              <w:rPr>
                <w:sz w:val="17"/>
                <w:szCs w:val="17"/>
                <w:color w:val="auto"/>
              </w:rPr>
            </w:pPr>
          </w:p>
        </w:tc>
        <w:tc>
          <w:tcPr>
            <w:tcW w:w="8340" w:type="dxa"/>
            <w:vAlign w:val="bottom"/>
            <w:gridSpan w:val="2"/>
          </w:tcPr>
          <w:p>
            <w:pPr>
              <w:spacing w:after="0" w:line="201" w:lineRule="exact"/>
              <w:rPr>
                <w:sz w:val="20"/>
                <w:szCs w:val="20"/>
                <w:color w:val="auto"/>
              </w:rPr>
            </w:pPr>
            <w:r>
              <w:rPr>
                <w:rFonts w:ascii="Arial" w:cs="Arial" w:eastAsia="Arial" w:hAnsi="Arial"/>
                <w:sz w:val="18"/>
                <w:szCs w:val="18"/>
                <w:color w:val="auto"/>
                <w:w w:val="95"/>
              </w:rPr>
              <w:t>Class A ordinary shares, par value $0.0001; 1,927,488,240 shares authorized; 241,818,016 and 181,279,400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20" w:type="dxa"/>
            <w:vAlign w:val="bottom"/>
          </w:tcPr>
          <w:p>
            <w:pPr>
              <w:spacing w:after="0"/>
              <w:rPr>
                <w:sz w:val="20"/>
                <w:szCs w:val="20"/>
                <w:color w:val="auto"/>
              </w:rPr>
            </w:pPr>
          </w:p>
        </w:tc>
        <w:tc>
          <w:tcPr>
            <w:tcW w:w="8340" w:type="dxa"/>
            <w:vAlign w:val="bottom"/>
            <w:gridSpan w:val="2"/>
          </w:tcPr>
          <w:p>
            <w:pPr>
              <w:ind w:left="160"/>
              <w:spacing w:after="0"/>
              <w:rPr>
                <w:sz w:val="20"/>
                <w:szCs w:val="20"/>
                <w:color w:val="auto"/>
              </w:rPr>
            </w:pPr>
            <w:r>
              <w:rPr>
                <w:rFonts w:ascii="Arial" w:cs="Arial" w:eastAsia="Arial" w:hAnsi="Arial"/>
                <w:sz w:val="18"/>
                <w:szCs w:val="18"/>
                <w:color w:val="auto"/>
              </w:rPr>
              <w:t>shares issued and outstanding</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r>
      <w:tr>
        <w:trPr>
          <w:trHeight w:val="202"/>
        </w:trPr>
        <w:tc>
          <w:tcPr>
            <w:tcW w:w="220" w:type="dxa"/>
            <w:vAlign w:val="bottom"/>
          </w:tcPr>
          <w:p>
            <w:pPr>
              <w:spacing w:after="0"/>
              <w:rPr>
                <w:sz w:val="17"/>
                <w:szCs w:val="17"/>
                <w:color w:val="auto"/>
              </w:rPr>
            </w:pPr>
          </w:p>
        </w:tc>
        <w:tc>
          <w:tcPr>
            <w:tcW w:w="8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Class B ordinary shares, par value $0.0001; 72,511,760 shares authorized; 72,511,760 and nil shares issued and</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20" w:type="dxa"/>
            <w:vAlign w:val="bottom"/>
          </w:tcPr>
          <w:p>
            <w:pPr>
              <w:spacing w:after="0"/>
              <w:rPr>
                <w:sz w:val="20"/>
                <w:szCs w:val="20"/>
                <w:color w:val="auto"/>
              </w:rPr>
            </w:pPr>
          </w:p>
        </w:tc>
        <w:tc>
          <w:tcPr>
            <w:tcW w:w="8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1,655,602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1,512,705</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Accumulated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(798,098)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(773,168)</w:t>
            </w:r>
          </w:p>
        </w:tc>
      </w:tr>
      <w:tr>
        <w:trPr>
          <w:trHeight w:val="216"/>
        </w:trPr>
        <w:tc>
          <w:tcPr>
            <w:tcW w:w="2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740,043</w:t>
            </w:r>
          </w:p>
        </w:tc>
        <w:tc>
          <w:tcPr>
            <w:tcW w:w="140" w:type="dxa"/>
            <w:vAlign w:val="bottom"/>
            <w:shd w:val="clear" w:color="auto" w:fill="CCEEFF"/>
          </w:tcPr>
          <w:p>
            <w:pPr>
              <w:spacing w:after="0"/>
              <w:rPr>
                <w:sz w:val="18"/>
                <w:szCs w:val="18"/>
                <w:color w:val="auto"/>
              </w:rPr>
            </w:pPr>
          </w:p>
        </w:tc>
      </w:tr>
      <w:tr>
        <w:trPr>
          <w:trHeight w:val="230"/>
        </w:trPr>
        <w:tc>
          <w:tcPr>
            <w:tcW w:w="8560" w:type="dxa"/>
            <w:vAlign w:val="bottom"/>
            <w:gridSpan w:val="3"/>
          </w:tcPr>
          <w:p>
            <w:pPr>
              <w:ind w:left="200"/>
              <w:spacing w:after="0"/>
              <w:rPr>
                <w:sz w:val="20"/>
                <w:szCs w:val="20"/>
                <w:color w:val="auto"/>
              </w:rPr>
            </w:pPr>
            <w:r>
              <w:rPr>
                <w:rFonts w:ascii="Arial" w:cs="Arial" w:eastAsia="Arial" w:hAnsi="Arial"/>
                <w:sz w:val="18"/>
                <w:szCs w:val="18"/>
                <w:color w:val="auto"/>
              </w:rPr>
              <w:t>PARTICIPATION INTEREST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and participation interest</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740,043</w:t>
            </w:r>
          </w:p>
        </w:tc>
        <w:tc>
          <w:tcPr>
            <w:tcW w:w="140" w:type="dxa"/>
            <w:vAlign w:val="bottom"/>
            <w:shd w:val="clear" w:color="auto" w:fill="CCEEFF"/>
          </w:tcPr>
          <w:p>
            <w:pPr>
              <w:spacing w:after="0"/>
              <w:rPr>
                <w:sz w:val="18"/>
                <w:szCs w:val="18"/>
                <w:color w:val="auto"/>
              </w:rPr>
            </w:pPr>
          </w:p>
        </w:tc>
      </w:tr>
      <w:tr>
        <w:trPr>
          <w:trHeight w:val="223"/>
        </w:trPr>
        <w:tc>
          <w:tcPr>
            <w:tcW w:w="8560" w:type="dxa"/>
            <w:vAlign w:val="bottom"/>
            <w:gridSpan w:val="3"/>
          </w:tcPr>
          <w:p>
            <w:pPr>
              <w:ind w:left="200"/>
              <w:spacing w:after="0"/>
              <w:rPr>
                <w:sz w:val="20"/>
                <w:szCs w:val="20"/>
                <w:color w:val="auto"/>
              </w:rPr>
            </w:pPr>
            <w:r>
              <w:rPr>
                <w:rFonts w:ascii="Arial" w:cs="Arial" w:eastAsia="Arial" w:hAnsi="Arial"/>
                <w:sz w:val="18"/>
                <w:szCs w:val="18"/>
                <w:color w:val="auto"/>
              </w:rPr>
              <w:t>TOTAL LIABILITIES, SHAREHOLDERS’ EQUITY AND PARTICIPATION INTEREST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2,802,338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2,927,567</w:t>
            </w:r>
          </w:p>
        </w:tc>
        <w:tc>
          <w:tcPr>
            <w:tcW w:w="14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46"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Year Ended December 31,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Provision of gaming related services from related parties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$ 339,924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295,638</w:t>
            </w:r>
          </w:p>
        </w:tc>
        <w:tc>
          <w:tcPr>
            <w:tcW w:w="6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151,597</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Rooms (including revenues from related parties of $53,925, $53,945 and $48,917 for the</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years ended December 31, 2018, 2017 and 2016, respectively)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88,317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88,699</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84,643</w:t>
            </w: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rPr>
              <w:t>Food and beverage (including revenues from related parties of $35,937, $28,917 and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$22,771 for the years ended December 31, 2018, 2017 and 2016, respectively)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65,904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60,705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61,536</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Entertainment (including revenues from related parties of $1,191, $1,328 and $5,465 for</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years ended December 31, 2018, 2017 and 2016, respectively)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18,534</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35,155</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Services fee from related parties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39,126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39,971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51,842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Mall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Retail and other</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571,213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539,814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424,531</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Provision of gaming related services (including costs to related parties of $17,634, $20,386</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$23,478 for the years ended December 31, 2018, 2017 and 2016, respectively)</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(20,263)</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(24,019)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(25,332)</w:t>
            </w:r>
          </w:p>
        </w:tc>
      </w:tr>
      <w:tr>
        <w:trPr>
          <w:trHeight w:val="202"/>
        </w:trPr>
        <w:tc>
          <w:tcPr>
            <w:tcW w:w="2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7"/>
              </w:rPr>
              <w:t>Rooms (including costs to related parties of $12,572, $12,926 and $14,462 for the years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ended December 31, 2018, 2017 and 2016, respectively)</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(21,855)</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(22,752)</w:t>
            </w: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Food and beverage (including costs to related parties of $27,089, $28,954 and $34,436 for</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years ended December 31, 2018, 2017 and 2016, respectively)</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(56,342)</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(54,266)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(62,200)</w:t>
            </w:r>
          </w:p>
        </w:tc>
      </w:tr>
      <w:tr>
        <w:trPr>
          <w:trHeight w:val="202"/>
        </w:trPr>
        <w:tc>
          <w:tcPr>
            <w:tcW w:w="2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9"/>
              </w:rPr>
              <w:t>Entertainment (including costs to related parties of $4,815, $6,884 and $11,446 for the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years ended December 31, 2018, 2017 and 2016, respectively)</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(11,978)</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(16,364)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(41,432)</w:t>
            </w: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Mall (including costs to related parties of $2,010, $2,181 and $2,201 for the years ended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2018, 2017 and 2016, respectively)</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(10,960)</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(9,098)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(11,083)</w:t>
            </w:r>
          </w:p>
        </w:tc>
      </w:tr>
      <w:tr>
        <w:trPr>
          <w:trHeight w:val="202"/>
        </w:trPr>
        <w:tc>
          <w:tcPr>
            <w:tcW w:w="2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8"/>
              </w:rPr>
              <w:t>Retail and other (including costs to related parties of $2,370, $3,523 and $3,475 for the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years ended December 31, 2018, 2017 and 2016, respectively)</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(2,411)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(3,696)</w:t>
            </w: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General and administrative (including expenses to related parties of $74,514, $69,043 and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$65,942 for the years ended December 31, 2018, 2017 and 2016, respectively)</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(132,637)</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(130,465)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(135,071)</w:t>
            </w:r>
          </w:p>
        </w:tc>
      </w:tr>
      <w:tr>
        <w:trPr>
          <w:trHeight w:val="202"/>
        </w:trPr>
        <w:tc>
          <w:tcPr>
            <w:tcW w:w="2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5"/>
              </w:rPr>
              <w:t>Pre-opening costs (including expenses to related parties of $152, $101 and $3,509 for the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years ended December 31, 2018, 2017 and 2016, respectively)</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(4,550)</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(4,044)</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(164,593)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(173,003)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(168,539)</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(4,464)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(433,351</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(459,364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(479,297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$ 137,862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80,450</w:t>
            </w: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(54,766)</w:t>
            </w:r>
          </w:p>
        </w:tc>
      </w:tr>
      <w:tr>
        <w:trPr>
          <w:trHeight w:val="372"/>
        </w:trPr>
        <w:tc>
          <w:tcPr>
            <w:tcW w:w="20" w:type="dxa"/>
            <w:vAlign w:val="bottom"/>
          </w:tcPr>
          <w:p>
            <w:pPr>
              <w:spacing w:after="0"/>
              <w:rPr>
                <w:sz w:val="24"/>
                <w:szCs w:val="24"/>
                <w:color w:val="auto"/>
              </w:rPr>
            </w:pPr>
          </w:p>
        </w:tc>
        <w:tc>
          <w:tcPr>
            <w:tcW w:w="6860" w:type="dxa"/>
            <w:vAlign w:val="bottom"/>
          </w:tcPr>
          <w:p>
            <w:pPr>
              <w:ind w:left="5360"/>
              <w:spacing w:after="0"/>
              <w:rPr>
                <w:sz w:val="20"/>
                <w:szCs w:val="20"/>
                <w:color w:val="auto"/>
              </w:rPr>
            </w:pPr>
            <w:r>
              <w:rPr>
                <w:rFonts w:ascii="Arial" w:cs="Arial" w:eastAsia="Arial" w:hAnsi="Arial"/>
                <w:sz w:val="18"/>
                <w:szCs w:val="18"/>
                <w:color w:val="auto"/>
              </w:rPr>
              <w:t>F-5</w:t>
            </w: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CONSOLIDATED STATEMENTS OF OPERATIONS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1"/>
              </w:rPr>
              <w:t>Year Ended December 31,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3,578</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2,171</w:t>
            </w:r>
          </w:p>
        </w:tc>
        <w:tc>
          <w:tcPr>
            <w:tcW w:w="5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(160,508)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Loan commitment fees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 (losses),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(expenses) income,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Costs associated with debt modification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(187,549)</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(76,676)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PARTICIPATION INTEREST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40" w:type="dxa"/>
            <w:vAlign w:val="bottom"/>
            <w:gridSpan w:val="2"/>
          </w:tcPr>
          <w:p>
            <w:pPr>
              <w:spacing w:after="0"/>
              <w:rPr>
                <w:sz w:val="20"/>
                <w:szCs w:val="20"/>
                <w:color w:val="auto"/>
              </w:rPr>
            </w:pPr>
            <w:r>
              <w:rPr>
                <w:rFonts w:ascii="Arial" w:cs="Arial" w:eastAsia="Arial" w:hAnsi="Arial"/>
                <w:sz w:val="18"/>
                <w:szCs w:val="18"/>
                <w:color w:val="auto"/>
              </w:rPr>
              <w:t>NET LOSS ATTRIBUTABLE TO STUDIO CITY INTERNATIONAL</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HOLDINGS LIMITED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(21,598)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(76,437)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(242,789)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STUDIO CITY INTERNATIONAL</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HOLDINGS LIMITED PER CLASS A ORDINARY SHARE:</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(0.422)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CLASS A ORDINARY SHARES OUTSTANDING</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USED IN NET LOSS ATTRIBUTABLE TO STUDIO CITY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HOLDINGS LIMITED PER SHARE CALCULATION:</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191,533,455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181,279,400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181,279,400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Year Ended December 31,</w:t>
            </w: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$(20,745)</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$(76,437)</w:t>
            </w: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$(242,789)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 before and after tax</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(18,774)</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Changes in fair values of interest rate swap agreements, before and after tax</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(18,774)</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(39,519)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(76,437)</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(242,728)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participation interest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Comprehensive loss attributable to Studio City International Holdings Limited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(36,149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(76,437</w:t>
            </w:r>
          </w:p>
        </w:tc>
        <w:tc>
          <w:tcPr>
            <w:tcW w:w="700" w:type="dxa"/>
            <w:vAlign w:val="bottom"/>
          </w:tcPr>
          <w:p>
            <w:pPr>
              <w:jc w:val="right"/>
              <w:ind w:right="56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(242,728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gridSpan w:val="13"/>
          </w:tcPr>
          <w:p>
            <w:pPr>
              <w:jc w:val="right"/>
              <w:ind w:right="180"/>
              <w:spacing w:after="0"/>
              <w:rPr>
                <w:sz w:val="20"/>
                <w:szCs w:val="20"/>
                <w:color w:val="auto"/>
              </w:rPr>
            </w:pPr>
            <w:r>
              <w:rPr>
                <w:rFonts w:ascii="Arial" w:cs="Arial" w:eastAsia="Arial" w:hAnsi="Arial"/>
                <w:sz w:val="13"/>
                <w:szCs w:val="13"/>
                <w:color w:val="auto"/>
                <w:w w:val="90"/>
              </w:rPr>
              <w:t>Studio City International Holdings Limited Shareholders’ Equity</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Class A</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3"/>
            <w:vMerge w:val="restart"/>
          </w:tcPr>
          <w:p>
            <w:pPr>
              <w:ind w:left="380"/>
              <w:spacing w:after="0"/>
              <w:rPr>
                <w:sz w:val="20"/>
                <w:szCs w:val="20"/>
                <w:color w:val="auto"/>
              </w:rPr>
            </w:pPr>
            <w:r>
              <w:rPr>
                <w:rFonts w:ascii="Arial" w:cs="Arial" w:eastAsia="Arial" w:hAnsi="Arial"/>
                <w:sz w:val="13"/>
                <w:szCs w:val="13"/>
                <w:color w:val="auto"/>
              </w:rPr>
              <w:t>Class B</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160"/>
              <w:spacing w:after="0" w:line="114" w:lineRule="exact"/>
              <w:rPr>
                <w:sz w:val="20"/>
                <w:szCs w:val="20"/>
                <w:color w:val="auto"/>
              </w:rPr>
            </w:pPr>
            <w:r>
              <w:rPr>
                <w:rFonts w:ascii="Arial" w:cs="Arial" w:eastAsia="Arial" w:hAnsi="Arial"/>
                <w:sz w:val="13"/>
                <w:szCs w:val="13"/>
                <w:color w:val="auto"/>
                <w:w w:val="90"/>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2"/>
            <w:vMerge w:val="restart"/>
          </w:tcPr>
          <w:p>
            <w:pPr>
              <w:jc w:val="right"/>
              <w:ind w:right="140"/>
              <w:spacing w:after="0" w:line="135" w:lineRule="exact"/>
              <w:rPr>
                <w:sz w:val="20"/>
                <w:szCs w:val="20"/>
                <w:color w:val="auto"/>
              </w:rPr>
            </w:pPr>
            <w:r>
              <w:rPr>
                <w:rFonts w:ascii="Arial" w:cs="Arial" w:eastAsia="Arial" w:hAnsi="Arial"/>
                <w:sz w:val="13"/>
                <w:szCs w:val="13"/>
                <w:color w:val="auto"/>
                <w:w w:val="91"/>
              </w:rPr>
              <w:t>Additional</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restart"/>
          </w:tcPr>
          <w:p>
            <w:pPr>
              <w:jc w:val="center"/>
              <w:ind w:right="160"/>
              <w:spacing w:after="0" w:line="135" w:lineRule="exact"/>
              <w:rPr>
                <w:sz w:val="20"/>
                <w:szCs w:val="20"/>
                <w:color w:val="auto"/>
              </w:rPr>
            </w:pPr>
            <w:r>
              <w:rPr>
                <w:rFonts w:ascii="Arial" w:cs="Arial" w:eastAsia="Arial" w:hAnsi="Arial"/>
                <w:sz w:val="13"/>
                <w:szCs w:val="13"/>
                <w:color w:val="auto"/>
                <w:w w:val="85"/>
              </w:rPr>
              <w:t>Other</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1440" w:type="dxa"/>
            <w:vAlign w:val="bottom"/>
            <w:gridSpan w:val="6"/>
            <w:vMerge w:val="restart"/>
          </w:tcPr>
          <w:p>
            <w:pPr>
              <w:jc w:val="right"/>
              <w:ind w:right="420"/>
              <w:spacing w:after="0"/>
              <w:rPr>
                <w:sz w:val="20"/>
                <w:szCs w:val="20"/>
                <w:color w:val="auto"/>
              </w:rPr>
            </w:pPr>
            <w:r>
              <w:rPr>
                <w:rFonts w:ascii="Arial" w:cs="Arial" w:eastAsia="Arial" w:hAnsi="Arial"/>
                <w:sz w:val="13"/>
                <w:szCs w:val="13"/>
                <w:color w:val="auto"/>
              </w:rPr>
              <w:t>Ordinary Shares</w:t>
            </w:r>
          </w:p>
        </w:tc>
        <w:tc>
          <w:tcPr>
            <w:tcW w:w="1160" w:type="dxa"/>
            <w:vAlign w:val="bottom"/>
            <w:gridSpan w:val="4"/>
            <w:vMerge w:val="restart"/>
          </w:tcPr>
          <w:p>
            <w:pPr>
              <w:ind w:left="160"/>
              <w:spacing w:after="0"/>
              <w:rPr>
                <w:sz w:val="20"/>
                <w:szCs w:val="20"/>
                <w:color w:val="auto"/>
              </w:rPr>
            </w:pPr>
            <w:r>
              <w:rPr>
                <w:rFonts w:ascii="Arial" w:cs="Arial" w:eastAsia="Arial" w:hAnsi="Arial"/>
                <w:sz w:val="13"/>
                <w:szCs w:val="13"/>
                <w:color w:val="auto"/>
              </w:rPr>
              <w:t>Ordinary Shares</w:t>
            </w:r>
          </w:p>
        </w:tc>
        <w:tc>
          <w:tcPr>
            <w:tcW w:w="1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60" w:type="dxa"/>
            <w:vAlign w:val="bottom"/>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right"/>
              <w:ind w:right="220"/>
              <w:spacing w:after="0" w:line="135" w:lineRule="exact"/>
              <w:rPr>
                <w:sz w:val="20"/>
                <w:szCs w:val="20"/>
                <w:color w:val="auto"/>
              </w:rPr>
            </w:pPr>
            <w:r>
              <w:rPr>
                <w:rFonts w:ascii="Arial" w:cs="Arial" w:eastAsia="Arial" w:hAnsi="Arial"/>
                <w:sz w:val="13"/>
                <w:szCs w:val="13"/>
                <w:color w:val="auto"/>
              </w:rPr>
              <w:t>Paid-in</w:t>
            </w:r>
          </w:p>
        </w:tc>
        <w:tc>
          <w:tcPr>
            <w:tcW w:w="960" w:type="dxa"/>
            <w:vAlign w:val="bottom"/>
            <w:gridSpan w:val="4"/>
            <w:vMerge w:val="restart"/>
          </w:tcPr>
          <w:p>
            <w:pPr>
              <w:jc w:val="center"/>
              <w:ind w:right="40"/>
              <w:spacing w:after="0" w:line="135" w:lineRule="exact"/>
              <w:rPr>
                <w:sz w:val="20"/>
                <w:szCs w:val="20"/>
                <w:color w:val="auto"/>
              </w:rPr>
            </w:pPr>
            <w:r>
              <w:rPr>
                <w:rFonts w:ascii="Arial" w:cs="Arial" w:eastAsia="Arial" w:hAnsi="Arial"/>
                <w:sz w:val="13"/>
                <w:szCs w:val="13"/>
                <w:color w:val="auto"/>
                <w:w w:val="87"/>
              </w:rPr>
              <w:t>Comprehensive</w:t>
            </w:r>
          </w:p>
        </w:tc>
        <w:tc>
          <w:tcPr>
            <w:tcW w:w="860" w:type="dxa"/>
            <w:vAlign w:val="bottom"/>
            <w:gridSpan w:val="4"/>
            <w:vMerge w:val="restart"/>
          </w:tcPr>
          <w:p>
            <w:pPr>
              <w:ind w:left="80"/>
              <w:spacing w:after="0" w:line="135" w:lineRule="exact"/>
              <w:rPr>
                <w:sz w:val="20"/>
                <w:szCs w:val="20"/>
                <w:color w:val="auto"/>
              </w:rPr>
            </w:pPr>
            <w:r>
              <w:rPr>
                <w:rFonts w:ascii="Arial" w:cs="Arial" w:eastAsia="Arial" w:hAnsi="Arial"/>
                <w:sz w:val="13"/>
                <w:szCs w:val="13"/>
                <w:color w:val="auto"/>
              </w:rPr>
              <w:t>Accumulated</w:t>
            </w:r>
          </w:p>
        </w:tc>
        <w:tc>
          <w:tcPr>
            <w:tcW w:w="820" w:type="dxa"/>
            <w:vAlign w:val="bottom"/>
            <w:gridSpan w:val="4"/>
            <w:vMerge w:val="restart"/>
          </w:tcPr>
          <w:p>
            <w:pPr>
              <w:ind w:left="60"/>
              <w:spacing w:after="0" w:line="135" w:lineRule="exact"/>
              <w:rPr>
                <w:sz w:val="20"/>
                <w:szCs w:val="20"/>
                <w:color w:val="auto"/>
              </w:rPr>
            </w:pPr>
            <w:r>
              <w:rPr>
                <w:rFonts w:ascii="Arial" w:cs="Arial" w:eastAsia="Arial" w:hAnsi="Arial"/>
                <w:sz w:val="13"/>
                <w:szCs w:val="13"/>
                <w:color w:val="auto"/>
              </w:rPr>
              <w:t>Participation</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right"/>
              <w:ind w:right="280"/>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Shares</w:t>
            </w:r>
          </w:p>
        </w:tc>
        <w:tc>
          <w:tcPr>
            <w:tcW w:w="620" w:type="dxa"/>
            <w:vAlign w:val="bottom"/>
            <w:gridSpan w:val="4"/>
          </w:tcPr>
          <w:p>
            <w:pPr>
              <w:ind w:left="20"/>
              <w:spacing w:after="0"/>
              <w:rPr>
                <w:sz w:val="20"/>
                <w:szCs w:val="20"/>
                <w:color w:val="auto"/>
              </w:rPr>
            </w:pPr>
            <w:r>
              <w:rPr>
                <w:rFonts w:ascii="Arial" w:cs="Arial" w:eastAsia="Arial" w:hAnsi="Arial"/>
                <w:sz w:val="13"/>
                <w:szCs w:val="13"/>
                <w:color w:val="auto"/>
              </w:rPr>
              <w:t>Amount</w:t>
            </w:r>
          </w:p>
        </w:tc>
        <w:tc>
          <w:tcPr>
            <w:tcW w:w="600" w:type="dxa"/>
            <w:vAlign w:val="bottom"/>
          </w:tcPr>
          <w:p>
            <w:pPr>
              <w:ind w:left="120"/>
              <w:spacing w:after="0"/>
              <w:rPr>
                <w:sz w:val="20"/>
                <w:szCs w:val="20"/>
                <w:color w:val="auto"/>
              </w:rPr>
            </w:pPr>
            <w:r>
              <w:rPr>
                <w:rFonts w:ascii="Arial" w:cs="Arial" w:eastAsia="Arial" w:hAnsi="Arial"/>
                <w:sz w:val="13"/>
                <w:szCs w:val="13"/>
                <w:color w:val="auto"/>
              </w:rPr>
              <w:t>Shares</w:t>
            </w:r>
          </w:p>
        </w:tc>
        <w:tc>
          <w:tcPr>
            <w:tcW w:w="560" w:type="dxa"/>
            <w:vAlign w:val="bottom"/>
            <w:gridSpan w:val="3"/>
          </w:tcPr>
          <w:p>
            <w:pPr>
              <w:ind w:left="140"/>
              <w:spacing w:after="0"/>
              <w:rPr>
                <w:sz w:val="20"/>
                <w:szCs w:val="20"/>
                <w:color w:val="auto"/>
              </w:rPr>
            </w:pPr>
            <w:r>
              <w:rPr>
                <w:rFonts w:ascii="Arial" w:cs="Arial" w:eastAsia="Arial" w:hAnsi="Arial"/>
                <w:sz w:val="13"/>
                <w:szCs w:val="13"/>
                <w:color w:val="auto"/>
                <w:w w:val="89"/>
              </w:rPr>
              <w:t>Amount</w:t>
            </w:r>
          </w:p>
        </w:tc>
        <w:tc>
          <w:tcPr>
            <w:tcW w:w="1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Capital</w:t>
            </w:r>
          </w:p>
        </w:tc>
        <w:tc>
          <w:tcPr>
            <w:tcW w:w="60" w:type="dxa"/>
            <w:vAlign w:val="bottom"/>
          </w:tcPr>
          <w:p>
            <w:pPr>
              <w:spacing w:after="0"/>
              <w:rPr>
                <w:sz w:val="12"/>
                <w:szCs w:val="12"/>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3"/>
                <w:szCs w:val="13"/>
                <w:color w:val="auto"/>
                <w:w w:val="87"/>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38"/>
              <w:spacing w:after="0"/>
              <w:rPr>
                <w:sz w:val="20"/>
                <w:szCs w:val="20"/>
                <w:color w:val="auto"/>
              </w:rPr>
            </w:pPr>
            <w:r>
              <w:rPr>
                <w:rFonts w:ascii="Arial" w:cs="Arial" w:eastAsia="Arial" w:hAnsi="Arial"/>
                <w:sz w:val="13"/>
                <w:szCs w:val="13"/>
                <w:color w:val="auto"/>
                <w:w w:val="92"/>
              </w:rPr>
              <w:t>Losses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Interest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JANUARY 1, 2016</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181,279,400</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8"/>
              </w:rPr>
              <w:t>$ 1,512,844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ind w:left="540"/>
              <w:spacing w:after="0" w:line="129" w:lineRule="exact"/>
              <w:rPr>
                <w:sz w:val="20"/>
                <w:szCs w:val="20"/>
                <w:color w:val="auto"/>
              </w:rPr>
            </w:pPr>
            <w:r>
              <w:rPr>
                <w:rFonts w:ascii="Arial" w:cs="Arial" w:eastAsia="Arial" w:hAnsi="Arial"/>
                <w:sz w:val="13"/>
                <w:szCs w:val="13"/>
                <w:color w:val="auto"/>
                <w:w w:val="82"/>
              </w:rPr>
              <w:t>427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(453,942)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1,059,347</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Net loss for the year</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(242,789)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(242,789)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Changes in fair values of interest rate swap agreements</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w w:val="99"/>
              </w:rPr>
              <w:t>Loss on purchase of property and equipment from an affiliated company</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2016</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181,279,400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1,512,705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82"/>
              </w:rPr>
              <w:t>488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(696,731)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816,480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Net loss for the year</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(76,437)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2017</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181,279,400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1,512,705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35" w:lineRule="exact"/>
              <w:rPr>
                <w:sz w:val="20"/>
                <w:szCs w:val="20"/>
                <w:color w:val="auto"/>
              </w:rPr>
            </w:pPr>
            <w:r>
              <w:rPr>
                <w:rFonts w:ascii="Arial" w:cs="Arial" w:eastAsia="Arial" w:hAnsi="Arial"/>
                <w:sz w:val="13"/>
                <w:szCs w:val="13"/>
                <w:color w:val="auto"/>
                <w:w w:val="82"/>
              </w:rPr>
              <w:t>488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(773,168)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740,043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60" w:type="dxa"/>
            <w:vAlign w:val="bottom"/>
          </w:tcPr>
          <w:p>
            <w:pPr>
              <w:spacing w:after="0" w:line="121" w:lineRule="exact"/>
              <w:rPr>
                <w:sz w:val="20"/>
                <w:szCs w:val="20"/>
                <w:color w:val="auto"/>
              </w:rPr>
            </w:pPr>
            <w:r>
              <w:rPr>
                <w:rFonts w:ascii="Arial" w:cs="Arial" w:eastAsia="Arial" w:hAnsi="Arial"/>
                <w:sz w:val="13"/>
                <w:szCs w:val="13"/>
                <w:color w:val="auto"/>
                <w:w w:val="95"/>
              </w:rPr>
              <w:t>Cumulative-effect adjustment upon adoption of New Revenue Standard (as</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100"/>
              <w:spacing w:after="0"/>
              <w:rPr>
                <w:sz w:val="20"/>
                <w:szCs w:val="20"/>
                <w:color w:val="auto"/>
              </w:rPr>
            </w:pPr>
            <w:r>
              <w:rPr>
                <w:rFonts w:ascii="Arial" w:cs="Arial" w:eastAsia="Arial" w:hAnsi="Arial"/>
                <w:sz w:val="13"/>
                <w:szCs w:val="13"/>
                <w:color w:val="auto"/>
              </w:rPr>
              <w:t>described in Note 2(v))</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3"/>
                <w:szCs w:val="13"/>
                <w:color w:val="auto"/>
              </w:rPr>
              <w:t>(3,332)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(3,332)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for the year</w:t>
            </w: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(21,598)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w w:val="82"/>
              </w:rPr>
              <w:t>853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(20,745)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adjustments</w:t>
            </w: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(14,551)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(18,774)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Exchange of Class A ordinary shares to Class B ordinary shares</w:t>
            </w: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(72,511,760)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6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72,511,760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2"/>
              </w:rPr>
              <w:t>7</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Arial" w:cs="Arial" w:eastAsia="Arial" w:hAnsi="Arial"/>
                <w:sz w:val="13"/>
                <w:szCs w:val="13"/>
                <w:color w:val="auto"/>
              </w:rPr>
              <w:t>Shares issued, net of offering expenses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88"/>
              </w:rPr>
              <w:t>133,050,376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80" w:type="dxa"/>
            <w:vAlign w:val="bottom"/>
          </w:tcPr>
          <w:p>
            <w:pPr>
              <w:spacing w:after="0"/>
              <w:rPr>
                <w:sz w:val="11"/>
                <w:szCs w:val="11"/>
                <w:color w:val="auto"/>
              </w:rPr>
            </w:pPr>
          </w:p>
        </w:tc>
        <w:tc>
          <w:tcPr>
            <w:tcW w:w="600" w:type="dxa"/>
            <w:vAlign w:val="bottom"/>
          </w:tcPr>
          <w:p>
            <w:pPr>
              <w:ind w:left="4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399,196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399,209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Participation Interest resulted from Organizational Transactions and the</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ind w:left="54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Offering (as described in Note 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(256,299)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256,299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3" w:lineRule="exact"/>
              <w:rPr>
                <w:sz w:val="20"/>
                <w:szCs w:val="20"/>
                <w:color w:val="auto"/>
              </w:rPr>
            </w:pPr>
            <w:r>
              <w:rPr>
                <w:rFonts w:ascii="Arial" w:cs="Arial" w:eastAsia="Arial" w:hAnsi="Arial"/>
                <w:sz w:val="13"/>
                <w:szCs w:val="13"/>
                <w:color w:val="auto"/>
              </w:rPr>
              <w:t>BALANCE AT DECEMBER 31, 2018</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8"/>
              </w:rPr>
              <w:t>241,818,016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3" w:lineRule="exact"/>
              <w:rPr>
                <w:sz w:val="20"/>
                <w:szCs w:val="20"/>
                <w:color w:val="auto"/>
              </w:rPr>
            </w:pPr>
            <w:r>
              <w:rPr>
                <w:rFonts w:ascii="Arial" w:cs="Arial" w:eastAsia="Arial" w:hAnsi="Arial"/>
                <w:sz w:val="13"/>
                <w:szCs w:val="13"/>
                <w:color w:val="auto"/>
                <w:w w:val="82"/>
              </w:rPr>
              <w:t>72,511,760</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ind w:left="200"/>
              <w:spacing w:after="0" w:line="143" w:lineRule="exact"/>
              <w:rPr>
                <w:sz w:val="20"/>
                <w:szCs w:val="20"/>
                <w:color w:val="auto"/>
              </w:rPr>
            </w:pPr>
            <w:r>
              <w:rPr>
                <w:rFonts w:ascii="Arial" w:cs="Arial" w:eastAsia="Arial" w:hAnsi="Arial"/>
                <w:sz w:val="13"/>
                <w:szCs w:val="13"/>
                <w:color w:val="auto"/>
                <w:w w:val="82"/>
              </w:rPr>
              <w:t>7</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u w:val="single" w:color="auto"/>
                <w:color w:val="auto"/>
                <w:w w:val="78"/>
              </w:rPr>
              <w:t>$</w:t>
            </w:r>
            <w:r>
              <w:rPr>
                <w:rFonts w:ascii="Arial" w:cs="Arial" w:eastAsia="Arial" w:hAnsi="Arial"/>
                <w:sz w:val="13"/>
                <w:szCs w:val="13"/>
                <w:color w:val="auto"/>
                <w:w w:val="78"/>
              </w:rPr>
              <w:t xml:space="preserve"> 1,655,602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(14,063)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(798,098</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252,929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1,096,401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color w:val="auto"/>
                <w:w w:val="89"/>
              </w:rPr>
              <w:t>Year Ended December 31,</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2017</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(20,745)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(76,437)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167,891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176,326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171,862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Loss (gain) on disposal of property and equipment and other long-term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loss recognized on property and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Provision for doubtful debts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Costs associated with debt modification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from affiliated companies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(9,906)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(9,390)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(7,223)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prepayments, deposits and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Accounts payable and accrued expenses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(4,806)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affiliated companies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(5,468)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(7,056)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139,518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Payments for acquisition of property and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0"/>
              </w:rPr>
              <w:t>(151,279)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Placement of bank deposits with original maturities over three months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(24,823)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(9,884)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Funds to an affiliated company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(13,355)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Advance payments and deposits for acquisition of property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(1,968)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 and other long-term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Withdrawal of bank deposits with original maturities over three months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3"/>
              </w:rPr>
              <w:t>Insurance proceeds received for damaged property and equipment and other long-term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(147,515)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(55,345)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(106,710)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w w:val="90"/>
              </w:rPr>
              <w:t>(400,000)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share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405,152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Payments of deferred financing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(122,786)</w:t>
            </w:r>
          </w:p>
        </w:tc>
        <w:tc>
          <w:tcPr>
            <w:tcW w:w="0" w:type="dxa"/>
            <w:vAlign w:val="bottom"/>
          </w:tcPr>
          <w:p>
            <w:pPr>
              <w:spacing w:after="0"/>
              <w:rPr>
                <w:sz w:val="1"/>
                <w:szCs w:val="1"/>
                <w:color w:val="auto"/>
              </w:rPr>
            </w:pPr>
          </w:p>
        </w:tc>
      </w:tr>
      <w:tr>
        <w:trPr>
          <w:trHeight w:val="209"/>
        </w:trPr>
        <w:tc>
          <w:tcPr>
            <w:tcW w:w="7040" w:type="dxa"/>
            <w:vAlign w:val="bottom"/>
            <w:gridSpan w:val="2"/>
          </w:tcPr>
          <w:p>
            <w:pPr>
              <w:spacing w:after="0"/>
              <w:rPr>
                <w:sz w:val="20"/>
                <w:szCs w:val="20"/>
                <w:color w:val="auto"/>
              </w:rPr>
            </w:pPr>
            <w:r>
              <w:rPr>
                <w:rFonts w:ascii="Arial" w:cs="Arial" w:eastAsia="Arial" w:hAnsi="Arial"/>
                <w:sz w:val="18"/>
                <w:szCs w:val="18"/>
                <w:color w:val="auto"/>
              </w:rPr>
              <w:t>EFFECT OF FOREIGN EXCHANGE ON CASH, CASH EQUIVALENTS AND</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(2,519)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INCREASE IN CASH, CASH EQUIVALENTS AND RESTRICTED</w:t>
            </w: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(5,364)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382,929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371,246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377,565</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382,929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5360"/>
              <w:spacing w:after="0"/>
              <w:rPr>
                <w:sz w:val="20"/>
                <w:szCs w:val="20"/>
                <w:color w:val="auto"/>
              </w:rPr>
            </w:pPr>
            <w:r>
              <w:rPr>
                <w:rFonts w:ascii="Arial" w:cs="Arial" w:eastAsia="Arial" w:hAnsi="Arial"/>
                <w:sz w:val="18"/>
                <w:szCs w:val="18"/>
                <w:color w:val="auto"/>
              </w:rPr>
              <w:t>F-9</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DISCLOSURES OF CASH FLOWS</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   (155,153)</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   (152,318)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(127,098)</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2"/>
              </w:rPr>
              <w:t>Change in accrued expenses and other current liabilities and other long-term liabilities related to</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10,316</w:t>
            </w: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18,817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23,690</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Change in amounts due from/to affiliated companies related to acquisition of property and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and other long-term assets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19,320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1"/>
              </w:rPr>
              <w:t>Offering expenses capitalized for the issuance of share capital included in accrued expenses and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Amounts due from affiliated companies offsetting with amounts due to affiliated companies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financing costs included in accrued expenses and other current liabilities</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9440" w:right="800" w:hanging="9232"/>
        <w:spacing w:after="0" w:line="291" w:lineRule="auto"/>
        <w:rPr>
          <w:sz w:val="20"/>
          <w:szCs w:val="20"/>
          <w:color w:val="auto"/>
        </w:rPr>
      </w:pPr>
      <w:r>
        <w:rPr>
          <w:rFonts w:ascii="Arial" w:cs="Arial" w:eastAsia="Arial" w:hAnsi="Arial"/>
          <w:sz w:val="16"/>
          <w:szCs w:val="16"/>
          <w:color w:val="auto"/>
        </w:rPr>
        <w:t>RECONCILIATION OF CASH, CASH EQUIVALENTS AND RESTRICTED CASH TO THE CONSOLIDATED BALANCE SHEETS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3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348,399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portion of restricted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31,582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restricted cash</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377,565</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382,929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b w:val="1"/>
          <w:bCs w:val="1"/>
          <w:color w:val="auto"/>
        </w:rPr>
      </w:pPr>
    </w:p>
    <w:p>
      <w:pPr>
        <w:ind w:left="6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Studio City International Holdings Limited (the “Company”) was redomiciled by way of continuation as an exempted company incorporated with limited liability in the Cayman Islands in connection with the Organizational Transactions as described below. On October 22, 2018, the Company completed an initial public offering of 28,750,000 American depositary shares (“ADSs”), representing 115,000,000 Class A ordinary shares with par value of $0.0001 per share, and listed its ADS on the New York Stock Exchange under the symbol “MSC” in the United States of America (the “Offering”).</w:t>
      </w:r>
    </w:p>
    <w:p>
      <w:pPr>
        <w:spacing w:after="0" w:line="80" w:lineRule="exact"/>
        <w:rPr>
          <w:rFonts w:ascii="Arial" w:cs="Arial" w:eastAsia="Arial" w:hAnsi="Arial"/>
          <w:sz w:val="18"/>
          <w:szCs w:val="18"/>
          <w:b w:val="1"/>
          <w:bCs w:val="1"/>
          <w:color w:val="auto"/>
        </w:rPr>
      </w:pPr>
    </w:p>
    <w:p>
      <w:pPr>
        <w:ind w:left="6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conducts its principal activities through its subsidiaries, which are primarily located in the Macau Special Administrative Region of the People’s Republic of China (“Macau”). The Company together with its subsidiaries (collectively referred to as the “Group”) currently operates the non-gaming operations of Studio City, a cinematically-themed integrated entertainment, retail and gaming resort in Cotai, Macau, and provides gaming related services to Melco Resorts (Macau) Limited (“Melco Resorts Macau”), a subsidiary of Melco Resorts &amp; Entertainment Limited (“Melco”) with its ADS listed on the NASDAQ Global Select Market in the United States of America, which holds the gaming subconcession in Macau, for the operations of the gaming area at Studio City (“Studio City Casino”).</w:t>
      </w:r>
    </w:p>
    <w:p>
      <w:pPr>
        <w:spacing w:after="0" w:line="70"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Organizational Transactions as described below, the Company was 60% held directly by MCO Cotai Investments Limited (formerly known as MCE Cotai Investments Limited) (“MCO Cotai”), a subsidiary of Melco, and 40% held directly by New Cotai, LLC (“New Cotai”), a private company organized in the United States of America. As of December 31, 2018 and 2017, Melco’s single largest shareholder is Melco International Development Limited (“Melco International”), a company listed in the Hong Kong Special Administrative Region of the People’s Republic of China (“Hong Kong”).</w:t>
      </w:r>
    </w:p>
    <w:p>
      <w:pPr>
        <w:spacing w:after="0" w:line="8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Organizational Transactions</w:t>
      </w:r>
    </w:p>
    <w:p>
      <w:pPr>
        <w:spacing w:after="0" w:line="117" w:lineRule="exact"/>
        <w:rPr>
          <w:rFonts w:ascii="Arial" w:cs="Arial" w:eastAsia="Arial" w:hAnsi="Arial"/>
          <w:sz w:val="18"/>
          <w:szCs w:val="18"/>
          <w:b w:val="1"/>
          <w:bCs w:val="1"/>
          <w:color w:val="auto"/>
        </w:rPr>
      </w:pPr>
    </w:p>
    <w:p>
      <w:pPr>
        <w:ind w:left="640" w:right="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Prior to the completion of the Offering, the Group underwent a series of organizational transactions (the “Organizational Transactions”), all of which were completed in October 2018, pursuant to, among others, an implementation agreement entered into among MCO Cotai, Melco, New Cotai, MSC Cotai Limited (“MSC Cotai”), a subsidiary of the Company, and the Company. The Organizational Transactions included, among other things, the following: (i) the Company contributed substantially all of its assets and liabilities to MSC Cotai in exchange for newly-issued ordinary shares of MSC Cotai; (ii) the Company authorized two classes of ordinary shares, the Class A ordinary shares and the Class B ordinary shares, in each case with a par value of $0.0001 each; (iii) the 60% equity interest in the Company held directly by MCO Cotai prior to the Organizational Transactions was reclassified into 108,767,640 Class A ordinary shares; (iv) the 40% equity interest in the Company held directly by New Cotai prior to the Organizational Transactions was exchanged for 72,511,760 Class B ordinary shares, which have only voting and no economic rights and, through its Class B ordinary shares, New Cotai has voting rights in the Company which controls MSC Cotai; (v) New Cotai has a non-voting, non-shareholding economic participation interest (the “Participation Interest”) in MSC Cotai, the terms of which are set forth in a participation agreement (the “Participation Agreement”) that was entered into by MSC Cotai, New Cotai and the Company; and (iv) the Company was redomiciled by way of continuation as an exempted company incorporated with limited liability in the Cayman Islands.</w:t>
      </w:r>
    </w:p>
    <w:p>
      <w:pPr>
        <w:spacing w:after="0" w:line="60" w:lineRule="exact"/>
        <w:rPr>
          <w:rFonts w:ascii="Arial" w:cs="Arial" w:eastAsia="Arial" w:hAnsi="Arial"/>
          <w:sz w:val="18"/>
          <w:szCs w:val="18"/>
          <w:b w:val="1"/>
          <w:bCs w:val="1"/>
          <w:color w:val="auto"/>
        </w:rPr>
      </w:pPr>
    </w:p>
    <w:p>
      <w:pPr>
        <w:ind w:left="6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Class A ordinary share and Class B ordinary share have the same rights, except that holders of the Class B ordinary shares do not have any right to receive dividends or distributions upon the Company’s liquidation or winding up or to otherwise share in our profits and surplus assets. Immediately prior to the Offering, the Participation Interest entitled New Cotai to receive from MSC Cotai an amount equal to 66 2/3% of the amount of any distribution, dividend or other consideration paid by MSC Cotai to the Company, subject to adjustments, exceptions and conditions as set out in the Participation Agreement (the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INFORMATION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“MSC Cotai’s Distribution”). The 66 2/3% represented the equivalent of New Cotai’s 40% interest in the Company prior to the Organizational Transactions.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canceled for no consideration as set out in the Participation Agreement when New Cotai exchanges all or a portion of the Participation Interest for Class A ordinary shares.</w:t>
      </w:r>
    </w:p>
    <w:p>
      <w:pPr>
        <w:spacing w:after="0" w:line="64" w:lineRule="exact"/>
        <w:rPr>
          <w:rFonts w:ascii="Arial" w:cs="Arial" w:eastAsia="Arial" w:hAnsi="Arial"/>
          <w:sz w:val="18"/>
          <w:szCs w:val="18"/>
          <w:b w:val="1"/>
          <w:bCs w:val="1"/>
          <w:color w:val="auto"/>
        </w:rPr>
      </w:pPr>
    </w:p>
    <w:p>
      <w:pPr>
        <w:ind w:left="64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Immediately following the completion of the Offering, with a concurrent private placement of 800,376 Class A ordinary shares issued to Melco International to effect an assured entitlement distribution, 115,800,376 Class A ordinary shares were issued; and pursuant to the full exercise by the underwriters of the over-allotment option, an additional 4,312,500 ADSs, representing 17,250,000 Class A ordinary shares, were issued in November 2018.</w:t>
      </w:r>
    </w:p>
    <w:p>
      <w:pPr>
        <w:spacing w:after="0" w:line="78" w:lineRule="exact"/>
        <w:rPr>
          <w:rFonts w:ascii="Arial" w:cs="Arial" w:eastAsia="Arial" w:hAnsi="Arial"/>
          <w:sz w:val="18"/>
          <w:szCs w:val="18"/>
          <w:b w:val="1"/>
          <w:bCs w:val="1"/>
          <w:color w:val="auto"/>
        </w:rPr>
      </w:pPr>
    </w:p>
    <w:p>
      <w:pPr>
        <w:ind w:left="64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As a result of the Organizational Transactions, the Offering including the concurrent private placement, and the full exercise by the underwriters of the over-allotment option as mentioned above, the Group recognized an adjustment to the Participation Interest in accordance with the Participation Agreement with a corresponding decrease in the Group’s additional paid-in capital. As of December 31, 2018, the Participation Interest entitled New Cotai to receive from MSC Cotai an amount equal to approximately 30.0% of the MSC Cotai’s Distribution.</w:t>
      </w:r>
    </w:p>
    <w:p>
      <w:pPr>
        <w:spacing w:after="0" w:line="298" w:lineRule="exact"/>
        <w:rPr>
          <w:rFonts w:ascii="Arial" w:cs="Arial" w:eastAsia="Arial" w:hAnsi="Arial"/>
          <w:sz w:val="18"/>
          <w:szCs w:val="18"/>
          <w:b w:val="1"/>
          <w:bCs w:val="1"/>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1080" w:right="140"/>
        <w:spacing w:after="0" w:line="279" w:lineRule="auto"/>
        <w:rPr>
          <w:rFonts w:ascii="Arial" w:cs="Arial" w:eastAsia="Arial" w:hAnsi="Arial"/>
          <w:sz w:val="18"/>
          <w:szCs w:val="18"/>
          <w:color w:val="auto"/>
        </w:rPr>
      </w:pPr>
      <w:r>
        <w:rPr>
          <w:rFonts w:ascii="Arial" w:cs="Arial" w:eastAsia="Arial" w:hAnsi="Arial"/>
          <w:sz w:val="17"/>
          <w:szCs w:val="17"/>
          <w:color w:val="auto"/>
        </w:rPr>
        <w:t>On May 11, 2007, one of the Company’s subsidiaries and Melco Resorts Macau entered into a services and right to use agreement, as amended on June 15, 2012, together with related agreements (together, the “Services and Right to Use Arrangements”). Under these arrangements, Melco Resorts Macau deducts gaming tax and the costs of operation of Studio City Casino. The Group receives the residual gross gaming revenues and recognizes these amounts as revenues from provision of gaming related services.</w:t>
      </w:r>
    </w:p>
    <w:p>
      <w:pPr>
        <w:spacing w:after="0" w:line="63" w:lineRule="exact"/>
        <w:rPr>
          <w:rFonts w:ascii="Arial" w:cs="Arial" w:eastAsia="Arial" w:hAnsi="Arial"/>
          <w:sz w:val="18"/>
          <w:szCs w:val="18"/>
          <w:color w:val="auto"/>
        </w:rPr>
      </w:pPr>
    </w:p>
    <w:p>
      <w:pPr>
        <w:ind w:left="1080" w:right="120"/>
        <w:spacing w:after="0" w:line="264" w:lineRule="auto"/>
        <w:rPr>
          <w:rFonts w:ascii="Arial" w:cs="Arial" w:eastAsia="Arial" w:hAnsi="Arial"/>
          <w:sz w:val="18"/>
          <w:szCs w:val="18"/>
          <w:color w:val="auto"/>
        </w:rPr>
      </w:pPr>
      <w:r>
        <w:rPr>
          <w:rFonts w:ascii="Arial" w:cs="Arial" w:eastAsia="Arial" w:hAnsi="Arial"/>
          <w:sz w:val="18"/>
          <w:szCs w:val="18"/>
          <w:color w:val="auto"/>
        </w:rPr>
        <w:t>In December 2015, certain of the Company’s subsidiaries entered into a master services agreement and related work agreements (collectively, the “Management and Shared Services Arrangements”) with certain of Melco’s subsidiaries with respect to services provided to and from Studio City.</w:t>
      </w:r>
    </w:p>
    <w:p>
      <w:pPr>
        <w:spacing w:after="0" w:line="73" w:lineRule="exact"/>
        <w:rPr>
          <w:rFonts w:ascii="Arial" w:cs="Arial" w:eastAsia="Arial" w:hAnsi="Arial"/>
          <w:sz w:val="18"/>
          <w:szCs w:val="18"/>
          <w:color w:val="auto"/>
        </w:rPr>
      </w:pPr>
    </w:p>
    <w:p>
      <w:pPr>
        <w:ind w:left="1080" w:right="200"/>
        <w:spacing w:after="0" w:line="255" w:lineRule="auto"/>
        <w:rPr>
          <w:rFonts w:ascii="Arial" w:cs="Arial" w:eastAsia="Arial" w:hAnsi="Arial"/>
          <w:sz w:val="18"/>
          <w:szCs w:val="18"/>
          <w:color w:val="auto"/>
        </w:rPr>
      </w:pPr>
      <w:r>
        <w:rPr>
          <w:rFonts w:ascii="Arial" w:cs="Arial" w:eastAsia="Arial" w:hAnsi="Arial"/>
          <w:sz w:val="18"/>
          <w:szCs w:val="18"/>
          <w:color w:val="auto"/>
        </w:rPr>
        <w:t>Under the Management and Shared Services Arrangements, certain of the corporate and administrative functions as well as operational activities of the Group are administered by staff employed by certain Melco’s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Group based on percentages of efforts on the services provided to the Group. Other costs in relation to shared office equipment are allocated based on a percentage of usage.</w:t>
      </w:r>
    </w:p>
    <w:p>
      <w:pPr>
        <w:spacing w:after="0" w:line="81" w:lineRule="exact"/>
        <w:rPr>
          <w:rFonts w:ascii="Arial" w:cs="Arial" w:eastAsia="Arial" w:hAnsi="Arial"/>
          <w:sz w:val="18"/>
          <w:szCs w:val="18"/>
          <w:color w:val="auto"/>
        </w:rPr>
      </w:pPr>
    </w:p>
    <w:p>
      <w:pPr>
        <w:ind w:left="1080"/>
        <w:spacing w:after="0" w:line="277" w:lineRule="auto"/>
        <w:rPr>
          <w:rFonts w:ascii="Arial" w:cs="Arial" w:eastAsia="Arial" w:hAnsi="Arial"/>
          <w:sz w:val="18"/>
          <w:szCs w:val="18"/>
          <w:color w:val="auto"/>
        </w:rPr>
      </w:pPr>
      <w:r>
        <w:rPr>
          <w:rFonts w:ascii="Arial" w:cs="Arial" w:eastAsia="Arial" w:hAnsi="Arial"/>
          <w:sz w:val="18"/>
          <w:szCs w:val="18"/>
          <w:color w:val="auto"/>
        </w:rPr>
        <w:t>The Group believes the costs incurred under the Services and Right to Use Arrangements and the allocation methods under the Management and Shared Services Arrangements are reasonable and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jc w:val="both"/>
        <w:ind w:left="1080" w:right="160"/>
        <w:spacing w:after="0" w:line="264" w:lineRule="auto"/>
        <w:rPr>
          <w:rFonts w:ascii="Arial" w:cs="Arial" w:eastAsia="Arial" w:hAnsi="Arial"/>
          <w:sz w:val="18"/>
          <w:szCs w:val="18"/>
          <w:color w:val="auto"/>
        </w:rPr>
      </w:pPr>
      <w:r>
        <w:rPr>
          <w:rFonts w:ascii="Arial" w:cs="Arial" w:eastAsia="Arial" w:hAnsi="Arial"/>
          <w:sz w:val="18"/>
          <w:szCs w:val="18"/>
          <w:color w:val="auto"/>
        </w:rPr>
        <w:t>consolidated financial statements reflect the Group’s cost of doing business. However, such allocations may not be indicative of the actual expenses the Group would have incurred had it operated as an independent company for the periods presented. Details of the services and related charges are disclosed in Note 14.</w:t>
      </w:r>
    </w:p>
    <w:p>
      <w:pPr>
        <w:spacing w:after="0" w:line="7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The consolidated financial statements have been prepared in conformity with U.S. generally accepted accounting principles (“U.S. GAAP”).</w:t>
      </w:r>
    </w:p>
    <w:p>
      <w:pPr>
        <w:spacing w:after="0" w:line="140" w:lineRule="exact"/>
        <w:rPr>
          <w:rFonts w:ascii="Arial" w:cs="Arial" w:eastAsia="Arial" w:hAnsi="Arial"/>
          <w:sz w:val="18"/>
          <w:szCs w:val="18"/>
          <w:color w:val="auto"/>
        </w:rPr>
      </w:pPr>
    </w:p>
    <w:p>
      <w:pPr>
        <w:ind w:left="1080" w:right="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All intercompany accounts and transactions have been eliminated on consolidation.</w:t>
      </w:r>
    </w:p>
    <w:p>
      <w:pPr>
        <w:spacing w:after="0" w:line="62" w:lineRule="exact"/>
        <w:rPr>
          <w:rFonts w:ascii="Arial" w:cs="Arial" w:eastAsia="Arial" w:hAnsi="Arial"/>
          <w:sz w:val="18"/>
          <w:szCs w:val="18"/>
          <w:color w:val="auto"/>
        </w:rPr>
      </w:pPr>
    </w:p>
    <w:p>
      <w:pPr>
        <w:jc w:val="both"/>
        <w:ind w:left="1080" w:right="40"/>
        <w:spacing w:after="0" w:line="286" w:lineRule="auto"/>
        <w:rPr>
          <w:rFonts w:ascii="Arial" w:cs="Arial" w:eastAsia="Arial" w:hAnsi="Arial"/>
          <w:sz w:val="18"/>
          <w:szCs w:val="18"/>
          <w:color w:val="auto"/>
        </w:rPr>
      </w:pPr>
      <w:r>
        <w:rPr>
          <w:rFonts w:ascii="Arial" w:cs="Arial" w:eastAsia="Arial" w:hAnsi="Arial"/>
          <w:sz w:val="17"/>
          <w:szCs w:val="17"/>
          <w:color w:val="auto"/>
        </w:rPr>
        <w:t>Effective January 1, 2018, the Group adopted the accounting standards update on the classification and presentation of restricted cash in the statement of cash flows, using the retrospective method, and the updated classification and presentation are reflected for the years presented in the consolidated statements of cash flows. Details of the adoption of this guidance are disclosed in Note 2(v).</w:t>
      </w:r>
    </w:p>
    <w:p>
      <w:pPr>
        <w:spacing w:after="0" w:line="66" w:lineRule="exact"/>
        <w:rPr>
          <w:rFonts w:ascii="Arial" w:cs="Arial" w:eastAsia="Arial" w:hAnsi="Arial"/>
          <w:sz w:val="18"/>
          <w:szCs w:val="18"/>
          <w:color w:val="auto"/>
        </w:rPr>
      </w:pP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108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Group and on various other assumptions that the Group believes to be reasonable under the circumstances. Accordingly, actual results could differ from those estimates.</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color w:val="auto"/>
        </w:rPr>
      </w:pPr>
    </w:p>
    <w:p>
      <w:pPr>
        <w:ind w:left="1080" w:right="460"/>
        <w:spacing w:after="0" w:line="264" w:lineRule="auto"/>
        <w:rPr>
          <w:rFonts w:ascii="Arial" w:cs="Arial" w:eastAsia="Arial" w:hAnsi="Arial"/>
          <w:sz w:val="18"/>
          <w:szCs w:val="18"/>
          <w:color w:val="auto"/>
        </w:rPr>
      </w:pPr>
      <w:r>
        <w:rPr>
          <w:rFonts w:ascii="Arial" w:cs="Arial" w:eastAsia="Arial" w:hAnsi="Arial"/>
          <w:sz w:val="18"/>
          <w:szCs w:val="18"/>
          <w:color w:val="auto"/>
        </w:rPr>
        <w:t>Fair value is defined as the price that would be received to sell an asset or paid to transfer a liability (i.e. the “exit price”) in an orderly transaction between market participants at the measurement date. The Group estimated the fair values using appropriate valuation methodologies and market information available as of the balance sheet date.</w:t>
      </w:r>
    </w:p>
    <w:p>
      <w:pPr>
        <w:spacing w:after="0" w:line="82" w:lineRule="exact"/>
        <w:rPr>
          <w:rFonts w:ascii="Arial" w:cs="Arial" w:eastAsia="Arial" w:hAnsi="Arial"/>
          <w:sz w:val="18"/>
          <w:szCs w:val="18"/>
          <w:color w:val="auto"/>
        </w:rPr>
      </w:pP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1080" w:right="1480"/>
        <w:spacing w:after="0" w:line="381" w:lineRule="auto"/>
        <w:rPr>
          <w:rFonts w:ascii="Arial" w:cs="Arial" w:eastAsia="Arial" w:hAnsi="Arial"/>
          <w:sz w:val="18"/>
          <w:szCs w:val="18"/>
          <w:color w:val="auto"/>
        </w:rPr>
      </w:pPr>
      <w:r>
        <w:rPr>
          <w:rFonts w:ascii="Arial" w:cs="Arial" w:eastAsia="Arial" w:hAnsi="Arial"/>
          <w:sz w:val="18"/>
          <w:szCs w:val="18"/>
          <w:color w:val="auto"/>
        </w:rPr>
        <w:t>Cash and cash equivalents consist of cash and highly liquid investments with original maturities of three months or less. Cash equivalents are placed with financial institutions with high-credit ratings and quality.</w:t>
      </w: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1080" w:right="80"/>
        <w:spacing w:after="0" w:line="255" w:lineRule="auto"/>
        <w:rPr>
          <w:rFonts w:ascii="Arial" w:cs="Arial" w:eastAsia="Arial" w:hAnsi="Arial"/>
          <w:sz w:val="18"/>
          <w:szCs w:val="18"/>
          <w:color w:val="auto"/>
        </w:rPr>
      </w:pPr>
      <w:r>
        <w:rPr>
          <w:rFonts w:ascii="Arial" w:cs="Arial" w:eastAsia="Arial" w:hAnsi="Arial"/>
          <w:sz w:val="18"/>
          <w:szCs w:val="18"/>
          <w:color w:val="auto"/>
        </w:rPr>
        <w:t>The current portion of restricted cash represents cash deposited into bank accounts which are restricted as to withdrawal and use and the Group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consists of i) bank accounts that are restricted for withdrawals and for payment of project costs or debt servicing associated with borrowings under the respective senior notes and credit facilities; and ii) collateral bank accounts associated with borrowings under the credit facilities.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rFonts w:ascii="Arial" w:cs="Arial" w:eastAsia="Arial" w:hAnsi="Arial"/>
          <w:sz w:val="18"/>
          <w:szCs w:val="18"/>
          <w:color w:val="auto"/>
        </w:rPr>
      </w:pPr>
    </w:p>
    <w:p>
      <w:pPr>
        <w:ind w:left="1080" w:right="20"/>
        <w:spacing w:after="0" w:line="293" w:lineRule="auto"/>
        <w:rPr>
          <w:rFonts w:ascii="Arial" w:cs="Arial" w:eastAsia="Arial" w:hAnsi="Arial"/>
          <w:sz w:val="18"/>
          <w:szCs w:val="18"/>
          <w:color w:val="auto"/>
        </w:rPr>
      </w:pPr>
      <w:r>
        <w:rPr>
          <w:rFonts w:ascii="Arial" w:cs="Arial" w:eastAsia="Arial" w:hAnsi="Arial"/>
          <w:sz w:val="16"/>
          <w:szCs w:val="16"/>
          <w:color w:val="auto"/>
        </w:rPr>
        <w:t>Accounts receivable, including hotel and other receivables, are typically non-interest bearing and are initially recorded at cost. Accounts are written off when management deems it is probable the receivables are uncollectible. Recoveries of accounts previously written off are recorded when received. An estimated allowance for doubtful debts is maintained to reduce the Group’s receivables to their carrying amounts, which approximate fair values. The allowance is estimated based on specific reviews of customer accounts as well as management’s experience with collection trends in the industry and current economic and business conditions. Management believes that as of December 31, 2018 and 2017, no significant concentrations of credit risk existed for which an allowance had not already been recorded.</w:t>
      </w:r>
    </w:p>
    <w:p>
      <w:pPr>
        <w:spacing w:after="0" w:line="66" w:lineRule="exact"/>
        <w:rPr>
          <w:rFonts w:ascii="Arial" w:cs="Arial" w:eastAsia="Arial" w:hAnsi="Arial"/>
          <w:sz w:val="18"/>
          <w:szCs w:val="18"/>
          <w:color w:val="auto"/>
        </w:rPr>
      </w:pPr>
    </w:p>
    <w:p>
      <w:pPr>
        <w:ind w:left="1060" w:hanging="424"/>
        <w:spacing w:after="0"/>
        <w:tabs>
          <w:tab w:leader="none" w:pos="10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1080"/>
        <w:spacing w:after="0" w:line="308" w:lineRule="auto"/>
        <w:rPr>
          <w:rFonts w:ascii="Arial" w:cs="Arial" w:eastAsia="Arial" w:hAnsi="Arial"/>
          <w:sz w:val="18"/>
          <w:szCs w:val="18"/>
          <w:color w:val="auto"/>
        </w:rPr>
      </w:pPr>
      <w:r>
        <w:rPr>
          <w:rFonts w:ascii="Arial" w:cs="Arial" w:eastAsia="Arial" w:hAnsi="Arial"/>
          <w:sz w:val="17"/>
          <w:szCs w:val="17"/>
          <w:color w:val="auto"/>
        </w:rPr>
        <w:t>Inventories consist of retail merchandise, food and beverage items and certain operating supplies, which are stated at the lower of cost or net realizable value. Cost is calculated using the first-in, first-out, weighted average and specific identification methods.</w:t>
      </w:r>
    </w:p>
    <w:p>
      <w:pPr>
        <w:spacing w:after="0" w:line="47" w:lineRule="exact"/>
        <w:rPr>
          <w:rFonts w:ascii="Arial" w:cs="Arial" w:eastAsia="Arial" w:hAnsi="Arial"/>
          <w:sz w:val="18"/>
          <w:szCs w:val="18"/>
          <w:color w:val="auto"/>
        </w:rPr>
      </w:pPr>
    </w:p>
    <w:p>
      <w:pPr>
        <w:ind w:left="1060" w:hanging="424"/>
        <w:spacing w:after="0"/>
        <w:tabs>
          <w:tab w:leader="none" w:pos="10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color w:val="auto"/>
        </w:rPr>
      </w:pPr>
    </w:p>
    <w:p>
      <w:pPr>
        <w:ind w:left="1080" w:right="120"/>
        <w:spacing w:after="0" w:line="264"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and amortization, and impairment losses, if any. Gains or losses on dispositions of property and equipment are included in the consolidated statements of operations. Major additions, renewals and betterments are capitalized, while maintenance and repairs are expensed as incurred.</w:t>
      </w:r>
    </w:p>
    <w:p>
      <w:pPr>
        <w:spacing w:after="0" w:line="73" w:lineRule="exact"/>
        <w:rPr>
          <w:rFonts w:ascii="Arial" w:cs="Arial" w:eastAsia="Arial" w:hAnsi="Arial"/>
          <w:sz w:val="18"/>
          <w:szCs w:val="18"/>
          <w:color w:val="auto"/>
        </w:rPr>
      </w:pPr>
    </w:p>
    <w:p>
      <w:pPr>
        <w:ind w:left="1080" w:right="40"/>
        <w:spacing w:after="0" w:line="257" w:lineRule="auto"/>
        <w:rPr>
          <w:rFonts w:ascii="Arial" w:cs="Arial" w:eastAsia="Arial" w:hAnsi="Arial"/>
          <w:sz w:val="18"/>
          <w:szCs w:val="18"/>
          <w:color w:val="auto"/>
        </w:rPr>
      </w:pPr>
      <w:r>
        <w:rPr>
          <w:rFonts w:ascii="Arial" w:cs="Arial" w:eastAsia="Arial" w:hAnsi="Arial"/>
          <w:sz w:val="18"/>
          <w:szCs w:val="18"/>
          <w:color w:val="auto"/>
        </w:rPr>
        <w:t>During the construction and development stage of Studio City, direct and incremental costs related to the design and construction, including costs under the construction contracts, duties and tariffs, equipment installation, shipping costs, payroll and payroll-benefit 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w:t>
      </w:r>
    </w:p>
    <w:p>
      <w:pPr>
        <w:spacing w:after="0" w:line="80" w:lineRule="exact"/>
        <w:rPr>
          <w:rFonts w:ascii="Arial" w:cs="Arial" w:eastAsia="Arial" w:hAnsi="Arial"/>
          <w:sz w:val="18"/>
          <w:szCs w:val="18"/>
          <w:color w:val="auto"/>
        </w:rPr>
      </w:pPr>
    </w:p>
    <w:p>
      <w:pPr>
        <w:ind w:left="1080" w:right="280"/>
        <w:spacing w:after="0" w:line="342" w:lineRule="auto"/>
        <w:rPr>
          <w:rFonts w:ascii="Arial" w:cs="Arial" w:eastAsia="Arial" w:hAnsi="Arial"/>
          <w:sz w:val="18"/>
          <w:szCs w:val="18"/>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1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Property and equipment are depreciated and amortized over the following estimated useful lives on a straight-line basis:</w:t>
      </w:r>
    </w:p>
    <w:p>
      <w:pPr>
        <w:sectPr>
          <w:pgSz w:w="11900" w:h="16838" w:orient="portrait"/>
          <w:cols w:equalWidth="0" w:num="1">
            <w:col w:w="11200"/>
          </w:cols>
          <w:pgMar w:left="240" w:top="460" w:right="459" w:bottom="1440" w:gutter="0" w:footer="0" w:header="0"/>
        </w:sectPr>
      </w:pP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Furniture, fixtures and equipment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Motor vehicles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4 to 40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to 15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 to 10 years or over the lease term, whichever is shorter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112" w:lineRule="exact"/>
        <w:rPr>
          <w:sz w:val="20"/>
          <w:szCs w:val="20"/>
          <w:color w:val="auto"/>
        </w:rPr>
      </w:pPr>
    </w:p>
    <w:p>
      <w:pPr>
        <w:sectPr>
          <w:pgSz w:w="11900" w:h="16838" w:orient="portrait"/>
          <w:cols w:equalWidth="0" w:num="2">
            <w:col w:w="4220" w:space="720"/>
            <w:col w:w="6260"/>
          </w:cols>
          <w:pgMar w:left="240" w:top="460" w:right="459" w:bottom="1440" w:gutter="0" w:footer="0" w:header="0"/>
          <w:type w:val="continuous"/>
        </w:sect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Other Long-term Assets</w:t>
      </w:r>
    </w:p>
    <w:p>
      <w:pPr>
        <w:spacing w:after="0" w:line="121" w:lineRule="exact"/>
        <w:rPr>
          <w:rFonts w:ascii="Arial" w:cs="Arial" w:eastAsia="Arial" w:hAnsi="Arial"/>
          <w:sz w:val="18"/>
          <w:szCs w:val="18"/>
          <w:color w:val="auto"/>
        </w:rPr>
      </w:pPr>
    </w:p>
    <w:p>
      <w:pPr>
        <w:ind w:left="1080" w:right="220"/>
        <w:spacing w:after="0" w:line="279" w:lineRule="auto"/>
        <w:rPr>
          <w:rFonts w:ascii="Arial" w:cs="Arial" w:eastAsia="Arial" w:hAnsi="Arial"/>
          <w:sz w:val="18"/>
          <w:szCs w:val="18"/>
          <w:color w:val="auto"/>
        </w:rPr>
      </w:pPr>
      <w:r>
        <w:rPr>
          <w:rFonts w:ascii="Arial" w:cs="Arial" w:eastAsia="Arial" w:hAnsi="Arial"/>
          <w:sz w:val="17"/>
          <w:szCs w:val="17"/>
          <w:color w:val="auto"/>
        </w:rPr>
        <w:t>Other long-term assets, represent the payments for the future economic benefits of certain plant and equipment for the operations of the Studio City Casino transferred from Melco Resorts Macau to the Group pursuant to the Services and Right to Use Arrangements (the “Studio City Gaming Assets”), are stated at cost, net of accumulated amortization, and impairment losses, if any. The legal ownerships of the Studio City Gaming Assets are retained by Melco Resorts Macau. An item of the Studio City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Other Long-term Assets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100"/>
        <w:spacing w:after="0" w:line="259" w:lineRule="auto"/>
        <w:rPr>
          <w:rFonts w:ascii="Arial" w:cs="Arial" w:eastAsia="Arial" w:hAnsi="Arial"/>
          <w:sz w:val="18"/>
          <w:szCs w:val="18"/>
          <w:color w:val="auto"/>
        </w:rPr>
      </w:pPr>
      <w:r>
        <w:rPr>
          <w:rFonts w:ascii="Arial" w:cs="Arial" w:eastAsia="Arial" w:hAnsi="Arial"/>
          <w:sz w:val="18"/>
          <w:szCs w:val="18"/>
          <w:color w:val="auto"/>
        </w:rPr>
        <w:t>Gaming Assets is derecognized upon disposal or when no future economic benefits are expected to arise from the continued use of an item of the Studio City Gaming Assets. Any gain or loss arising on the disposal or retirement of an item of the Studio City Gaming Assets is determined as the difference between the sale proceeds and the carrying amount of an item of the Studio City Gaming Assets and is recognized in the consolidated statements of operations.</w:t>
      </w:r>
    </w:p>
    <w:p>
      <w:pPr>
        <w:spacing w:after="0" w:line="78" w:lineRule="exact"/>
        <w:rPr>
          <w:rFonts w:ascii="Arial" w:cs="Arial" w:eastAsia="Arial" w:hAnsi="Arial"/>
          <w:sz w:val="18"/>
          <w:szCs w:val="18"/>
          <w:color w:val="auto"/>
        </w:rPr>
      </w:pPr>
    </w:p>
    <w:p>
      <w:pPr>
        <w:ind w:left="1080" w:right="480"/>
        <w:spacing w:after="0" w:line="277" w:lineRule="auto"/>
        <w:rPr>
          <w:rFonts w:ascii="Arial" w:cs="Arial" w:eastAsia="Arial" w:hAnsi="Arial"/>
          <w:sz w:val="18"/>
          <w:szCs w:val="18"/>
          <w:color w:val="auto"/>
        </w:rPr>
      </w:pPr>
      <w:r>
        <w:rPr>
          <w:rFonts w:ascii="Arial" w:cs="Arial" w:eastAsia="Arial" w:hAnsi="Arial"/>
          <w:sz w:val="18"/>
          <w:szCs w:val="18"/>
          <w:color w:val="auto"/>
        </w:rPr>
        <w:t>Amortization is recognized so as to write off the cost of the Studio City Gaming Assets using straight-line method over the respective estimated useful lives of the Studio City Gaming Assets, ranging from 2 to 10 years.</w:t>
      </w:r>
    </w:p>
    <w:p>
      <w:pPr>
        <w:spacing w:after="0" w:line="71" w:lineRule="exact"/>
        <w:rPr>
          <w:rFonts w:ascii="Arial" w:cs="Arial" w:eastAsia="Arial" w:hAnsi="Arial"/>
          <w:sz w:val="18"/>
          <w:szCs w:val="18"/>
          <w:color w:val="auto"/>
        </w:rPr>
      </w:pPr>
    </w:p>
    <w:p>
      <w:pPr>
        <w:ind w:left="1060" w:hanging="424"/>
        <w:spacing w:after="0"/>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Capitalized Interest</w:t>
      </w:r>
    </w:p>
    <w:p>
      <w:pPr>
        <w:spacing w:after="0" w:line="121" w:lineRule="exact"/>
        <w:rPr>
          <w:rFonts w:ascii="Arial" w:cs="Arial" w:eastAsia="Arial" w:hAnsi="Arial"/>
          <w:sz w:val="18"/>
          <w:szCs w:val="18"/>
          <w:color w:val="auto"/>
        </w:rPr>
      </w:pPr>
    </w:p>
    <w:p>
      <w:pPr>
        <w:ind w:left="1080"/>
        <w:spacing w:after="0" w:line="273" w:lineRule="auto"/>
        <w:rPr>
          <w:rFonts w:ascii="Arial" w:cs="Arial" w:eastAsia="Arial" w:hAnsi="Arial"/>
          <w:sz w:val="18"/>
          <w:szCs w:val="18"/>
          <w:color w:val="auto"/>
        </w:rPr>
      </w:pPr>
      <w:r>
        <w:rPr>
          <w:rFonts w:ascii="Arial" w:cs="Arial" w:eastAsia="Arial" w:hAnsi="Arial"/>
          <w:sz w:val="17"/>
          <w:szCs w:val="17"/>
          <w:color w:val="auto"/>
        </w:rPr>
        <w:t>Interest, including amortization of deferred financing costs, associated with major development and construction projects is capitalized and included in the cost of the project. The capitalization of interest ceases when the project is substantially completed or the development activity is suspended for more than a brief period. The amount to be capitalized is determined by applying the weighted average interest rate of the Group’s outstanding borrowings to the average amount of accumulated qualifying capital expenditures for assets under construction during the year. Total interest expenses incurred amounted to $160,508, $159,918 and $159,236, of which no interest expenses were capitalized during the years ended December 31, 2018, 2017 and 2016, respectively.</w:t>
      </w:r>
    </w:p>
    <w:p>
      <w:pPr>
        <w:spacing w:after="0" w:line="79" w:lineRule="exact"/>
        <w:rPr>
          <w:rFonts w:ascii="Arial" w:cs="Arial" w:eastAsia="Arial" w:hAnsi="Arial"/>
          <w:sz w:val="18"/>
          <w:szCs w:val="18"/>
          <w:color w:val="auto"/>
        </w:rPr>
      </w:pPr>
    </w:p>
    <w:p>
      <w:pPr>
        <w:ind w:left="1060" w:hanging="424"/>
        <w:spacing w:after="0"/>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1080" w:right="20"/>
        <w:spacing w:after="0" w:line="276" w:lineRule="auto"/>
        <w:rPr>
          <w:rFonts w:ascii="Arial" w:cs="Arial" w:eastAsia="Arial" w:hAnsi="Arial"/>
          <w:sz w:val="18"/>
          <w:szCs w:val="18"/>
          <w:color w:val="auto"/>
        </w:rPr>
      </w:pPr>
      <w:r>
        <w:rPr>
          <w:rFonts w:ascii="Arial" w:cs="Arial" w:eastAsia="Arial" w:hAnsi="Arial"/>
          <w:sz w:val="17"/>
          <w:szCs w:val="17"/>
          <w:color w:val="auto"/>
        </w:rPr>
        <w:t>The Group evaluates the long-lived assets with finite lives to be held and used for impairment whenever indicators of impairment exist. The Group then compares the estimated future cash flows of the assets, on an undiscounted basis, to the carrying values of the assets.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If an asset is still under development, future cash flows include remaining construction costs.</w:t>
      </w:r>
    </w:p>
    <w:p>
      <w:pPr>
        <w:spacing w:after="0" w:line="64" w:lineRule="exact"/>
        <w:rPr>
          <w:rFonts w:ascii="Arial" w:cs="Arial" w:eastAsia="Arial" w:hAnsi="Arial"/>
          <w:sz w:val="18"/>
          <w:szCs w:val="18"/>
          <w:color w:val="auto"/>
        </w:rPr>
      </w:pPr>
    </w:p>
    <w:p>
      <w:pPr>
        <w:ind w:left="1080" w:right="140"/>
        <w:spacing w:after="0" w:line="264" w:lineRule="auto"/>
        <w:rPr>
          <w:rFonts w:ascii="Arial" w:cs="Arial" w:eastAsia="Arial" w:hAnsi="Arial"/>
          <w:sz w:val="18"/>
          <w:szCs w:val="18"/>
          <w:color w:val="auto"/>
        </w:rPr>
      </w:pPr>
      <w:r>
        <w:rPr>
          <w:rFonts w:ascii="Arial" w:cs="Arial" w:eastAsia="Arial" w:hAnsi="Arial"/>
          <w:sz w:val="18"/>
          <w:szCs w:val="18"/>
          <w:color w:val="auto"/>
        </w:rPr>
        <w:t>During the year ended December 31, 2017, impairment loss of $19,645 was recognized, mainly due to reconfigurations and renovations at Studio City, and included in the consolidated statements of operations. No impairment loss was recognized during the years ended December 31, 2018 and 2016.</w:t>
      </w:r>
    </w:p>
    <w:p>
      <w:pPr>
        <w:spacing w:after="0" w:line="82" w:lineRule="exact"/>
        <w:rPr>
          <w:rFonts w:ascii="Arial" w:cs="Arial" w:eastAsia="Arial" w:hAnsi="Arial"/>
          <w:sz w:val="18"/>
          <w:szCs w:val="18"/>
          <w:color w:val="auto"/>
        </w:rPr>
      </w:pPr>
    </w:p>
    <w:p>
      <w:pPr>
        <w:ind w:left="1060" w:hanging="424"/>
        <w:spacing w:after="0"/>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Deferred Financing Costs</w:t>
      </w:r>
    </w:p>
    <w:p>
      <w:pPr>
        <w:spacing w:after="0" w:line="121" w:lineRule="exact"/>
        <w:rPr>
          <w:rFonts w:ascii="Arial" w:cs="Arial" w:eastAsia="Arial" w:hAnsi="Arial"/>
          <w:sz w:val="18"/>
          <w:szCs w:val="18"/>
          <w:color w:val="auto"/>
        </w:rPr>
      </w:pPr>
    </w:p>
    <w:p>
      <w:pPr>
        <w:ind w:left="1080" w:right="100"/>
        <w:spacing w:after="0" w:line="257" w:lineRule="auto"/>
        <w:rPr>
          <w:rFonts w:ascii="Arial" w:cs="Arial" w:eastAsia="Arial" w:hAnsi="Arial"/>
          <w:sz w:val="18"/>
          <w:szCs w:val="18"/>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expenses over the terms of the related debt agreements using the effective interest method. Deferred financing costs incurred in connection with the issuance of revolving credit facilities are included in long-term prepayments, deposits and other assets in the consolidated balance sheets. All other deferred financing costs are presented as a reduction of long-term debt in the consolidated balance sheets.</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Land Use Right</w:t>
      </w:r>
    </w:p>
    <w:p>
      <w:pPr>
        <w:spacing w:after="0" w:line="121" w:lineRule="exact"/>
        <w:rPr>
          <w:rFonts w:ascii="Arial" w:cs="Arial" w:eastAsia="Arial" w:hAnsi="Arial"/>
          <w:sz w:val="18"/>
          <w:szCs w:val="18"/>
          <w:color w:val="auto"/>
        </w:rPr>
      </w:pPr>
    </w:p>
    <w:p>
      <w:pPr>
        <w:ind w:left="1080" w:right="160"/>
        <w:spacing w:after="0" w:line="277" w:lineRule="auto"/>
        <w:rPr>
          <w:rFonts w:ascii="Arial" w:cs="Arial" w:eastAsia="Arial" w:hAnsi="Arial"/>
          <w:sz w:val="18"/>
          <w:szCs w:val="18"/>
          <w:color w:val="auto"/>
        </w:rPr>
      </w:pPr>
      <w:r>
        <w:rPr>
          <w:rFonts w:ascii="Arial" w:cs="Arial" w:eastAsia="Arial" w:hAnsi="Arial"/>
          <w:sz w:val="18"/>
          <w:szCs w:val="18"/>
          <w:color w:val="auto"/>
        </w:rPr>
        <w:t>Land use right is recorded at cost less accumulated amortization. Amortization is provided over the estimated term of the land use right of 40 years on a straight-line basis.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1080" w:right="1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On January 1, 2018, the Group adopted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The Group’s revenues from contracts with customers consist of provision of gaming related services, sales of rooms, food and beverage, entertainment, retail and other goods and services.</w:t>
      </w:r>
    </w:p>
    <w:p>
      <w:pPr>
        <w:spacing w:after="0" w:line="73" w:lineRule="exact"/>
        <w:rPr>
          <w:rFonts w:ascii="Arial" w:cs="Arial" w:eastAsia="Arial" w:hAnsi="Arial"/>
          <w:sz w:val="18"/>
          <w:szCs w:val="18"/>
          <w:color w:val="auto"/>
        </w:rPr>
      </w:pPr>
    </w:p>
    <w:p>
      <w:pPr>
        <w:ind w:left="1080" w:right="20"/>
        <w:spacing w:after="0" w:line="291" w:lineRule="auto"/>
        <w:rPr>
          <w:rFonts w:ascii="Arial" w:cs="Arial" w:eastAsia="Arial" w:hAnsi="Arial"/>
          <w:sz w:val="18"/>
          <w:szCs w:val="18"/>
          <w:color w:val="auto"/>
        </w:rPr>
      </w:pPr>
      <w:r>
        <w:rPr>
          <w:rFonts w:ascii="Arial" w:cs="Arial" w:eastAsia="Arial" w:hAnsi="Arial"/>
          <w:sz w:val="16"/>
          <w:szCs w:val="16"/>
          <w:color w:val="auto"/>
        </w:rPr>
        <w:t>Revenues from provision of gaming related services represent revenues arising from the provision of facilities for the operations of Studio City Casino and services related thereto pursuant to the Services and Right to Use Arrangements, under which Melco Resorts Macau operates the Studio City Casino. Melco Resorts Macau deducts gaming tax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The Group recognizes the residual amount as revenues from provision of gaming related services. The Group has concluded that it is not the controlling entity to the arrangements and recognizes the revenues from provision of gaming related services on a net basis.</w:t>
      </w:r>
    </w:p>
    <w:p>
      <w:pPr>
        <w:spacing w:after="0" w:line="59" w:lineRule="exact"/>
        <w:rPr>
          <w:rFonts w:ascii="Arial" w:cs="Arial" w:eastAsia="Arial" w:hAnsi="Arial"/>
          <w:sz w:val="18"/>
          <w:szCs w:val="18"/>
          <w:color w:val="auto"/>
        </w:rPr>
      </w:pPr>
    </w:p>
    <w:p>
      <w:pPr>
        <w:ind w:left="1080"/>
        <w:spacing w:after="0" w:line="293" w:lineRule="auto"/>
        <w:rPr>
          <w:rFonts w:ascii="Arial" w:cs="Arial" w:eastAsia="Arial" w:hAnsi="Arial"/>
          <w:sz w:val="18"/>
          <w:szCs w:val="18"/>
          <w:color w:val="auto"/>
        </w:rPr>
      </w:pPr>
      <w:r>
        <w:rPr>
          <w:rFonts w:ascii="Arial" w:cs="Arial" w:eastAsia="Arial" w:hAnsi="Arial"/>
          <w:sz w:val="16"/>
          <w:szCs w:val="16"/>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Group are excluded from revenues. Advance deposits on rooms and advance ticket sales are recorded as customer deposits until services are provided to the customers. Revenues from contracts with multiple goods or services provided by the Group are allocated to each good or service based on its relative standalone selling price.</w:t>
      </w:r>
    </w:p>
    <w:p>
      <w:pPr>
        <w:spacing w:after="0" w:line="56" w:lineRule="exact"/>
        <w:rPr>
          <w:rFonts w:ascii="Arial" w:cs="Arial" w:eastAsia="Arial" w:hAnsi="Arial"/>
          <w:sz w:val="18"/>
          <w:szCs w:val="18"/>
          <w:color w:val="auto"/>
        </w:rPr>
      </w:pPr>
    </w:p>
    <w:p>
      <w:pPr>
        <w:ind w:left="1080" w:right="240"/>
        <w:spacing w:after="0" w:line="308" w:lineRule="auto"/>
        <w:rPr>
          <w:rFonts w:ascii="Arial" w:cs="Arial" w:eastAsia="Arial" w:hAnsi="Arial"/>
          <w:sz w:val="18"/>
          <w:szCs w:val="18"/>
          <w:color w:val="auto"/>
        </w:rPr>
      </w:pPr>
      <w:r>
        <w:rPr>
          <w:rFonts w:ascii="Arial" w:cs="Arial" w:eastAsia="Arial" w:hAnsi="Arial"/>
          <w:sz w:val="17"/>
          <w:szCs w:val="17"/>
          <w:color w:val="auto"/>
        </w:rPr>
        <w:t>Minimum operating and right to use fees representing lease revenues, adjusted for contractual base fees and operating fee escalations, are included in mall revenues and are recognized over the terms of the related agreements on a straight-line basis.</w:t>
      </w:r>
    </w:p>
    <w:p>
      <w:pPr>
        <w:spacing w:after="0" w:line="38"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Contract and Contract-Related Liabilities</w:t>
      </w:r>
    </w:p>
    <w:p>
      <w:pPr>
        <w:spacing w:after="0" w:line="117" w:lineRule="exact"/>
        <w:rPr>
          <w:rFonts w:ascii="Arial" w:cs="Arial" w:eastAsia="Arial" w:hAnsi="Arial"/>
          <w:sz w:val="18"/>
          <w:szCs w:val="18"/>
          <w:color w:val="auto"/>
        </w:rPr>
      </w:pPr>
    </w:p>
    <w:p>
      <w:pPr>
        <w:ind w:left="1080" w:right="80"/>
        <w:spacing w:after="0" w:line="271" w:lineRule="auto"/>
        <w:rPr>
          <w:rFonts w:ascii="Arial" w:cs="Arial" w:eastAsia="Arial" w:hAnsi="Arial"/>
          <w:sz w:val="18"/>
          <w:szCs w:val="18"/>
          <w:color w:val="auto"/>
        </w:rPr>
      </w:pPr>
      <w:r>
        <w:rPr>
          <w:rFonts w:ascii="Arial" w:cs="Arial" w:eastAsia="Arial" w:hAnsi="Arial"/>
          <w:sz w:val="17"/>
          <w:szCs w:val="17"/>
          <w:color w:val="auto"/>
        </w:rPr>
        <w:t>In providing goods and services to its customers, there may be a timing difference between cash receipts from customers and recognition of revenues, resulting in a contract or contract-related liability. The Group’s primary type of liabilities related to contracts with customers is advance deposits on rooms and advance ticket sales which represent cash received in advance for goods or services to be provided in the future. These amounts are included in accrued expenses and other current liabilities on the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$4,380 as of December 31, 2018 decreased by $29 from the balance of $4,409 as of January 1, 2018.</w:t>
      </w:r>
    </w:p>
    <w:p>
      <w:pPr>
        <w:spacing w:after="0" w:line="7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The major changes from the previous basis, as a result of the adoption of the new revenue standard are summarized in Note 2(v).</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rFonts w:ascii="Arial" w:cs="Arial" w:eastAsia="Arial" w:hAnsi="Arial"/>
          <w:sz w:val="18"/>
          <w:szCs w:val="18"/>
          <w:color w:val="auto"/>
        </w:rPr>
      </w:pPr>
    </w:p>
    <w:p>
      <w:pPr>
        <w:ind w:left="1080" w:right="80"/>
        <w:spacing w:after="0" w:line="286" w:lineRule="auto"/>
        <w:rPr>
          <w:rFonts w:ascii="Arial" w:cs="Arial" w:eastAsia="Arial" w:hAnsi="Arial"/>
          <w:sz w:val="18"/>
          <w:szCs w:val="18"/>
          <w:color w:val="auto"/>
        </w:rPr>
      </w:pPr>
      <w:r>
        <w:rPr>
          <w:rFonts w:ascii="Arial" w:cs="Arial" w:eastAsia="Arial" w:hAnsi="Arial"/>
          <w:sz w:val="17"/>
          <w:szCs w:val="17"/>
          <w:color w:val="auto"/>
        </w:rPr>
        <w:t>Pre-opening costs represent personnel, marketing and other costs incurred prior to the opening of new or start-up operations and are expensed as incurred. During the years ended December 31, 2018, 2017 and 2016, the Group incurred pre-opening costs in connection with the development and other one-off activities related to the marketing of new facilities and operations of Studio City.</w:t>
      </w:r>
    </w:p>
    <w:p>
      <w:pPr>
        <w:spacing w:after="0" w:line="66" w:lineRule="exact"/>
        <w:rPr>
          <w:rFonts w:ascii="Arial" w:cs="Arial" w:eastAsia="Arial" w:hAnsi="Arial"/>
          <w:sz w:val="18"/>
          <w:szCs w:val="18"/>
          <w:color w:val="auto"/>
        </w:rPr>
      </w:pPr>
    </w:p>
    <w:p>
      <w:pPr>
        <w:ind w:left="1060" w:hanging="424"/>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Advertising and Promotional Costs</w:t>
      </w:r>
    </w:p>
    <w:p>
      <w:pPr>
        <w:spacing w:after="0" w:line="121" w:lineRule="exact"/>
        <w:rPr>
          <w:rFonts w:ascii="Arial" w:cs="Arial" w:eastAsia="Arial" w:hAnsi="Arial"/>
          <w:sz w:val="18"/>
          <w:szCs w:val="18"/>
          <w:color w:val="auto"/>
        </w:rPr>
      </w:pPr>
    </w:p>
    <w:p>
      <w:pPr>
        <w:ind w:left="1080" w:right="60"/>
        <w:spacing w:after="0" w:line="264" w:lineRule="auto"/>
        <w:rPr>
          <w:rFonts w:ascii="Arial" w:cs="Arial" w:eastAsia="Arial" w:hAnsi="Arial"/>
          <w:sz w:val="18"/>
          <w:szCs w:val="18"/>
          <w:color w:val="auto"/>
        </w:rPr>
      </w:pPr>
      <w:r>
        <w:rPr>
          <w:rFonts w:ascii="Arial" w:cs="Arial" w:eastAsia="Arial" w:hAnsi="Arial"/>
          <w:sz w:val="18"/>
          <w:szCs w:val="18"/>
          <w:color w:val="auto"/>
        </w:rPr>
        <w:t>The Group expenses advertising and promotional costs the first time the advertising takes place or as incurred. Advertising and promotional costs included in the accompanying consolidated statements of operations were $28,009, $23,854 and $20,989 for the years ended December 31, 2018, 2017 and 2016, respectively.</w:t>
      </w:r>
    </w:p>
    <w:p>
      <w:pPr>
        <w:spacing w:after="0" w:line="82" w:lineRule="exact"/>
        <w:rPr>
          <w:rFonts w:ascii="Arial" w:cs="Arial" w:eastAsia="Arial" w:hAnsi="Arial"/>
          <w:sz w:val="18"/>
          <w:szCs w:val="18"/>
          <w:color w:val="auto"/>
        </w:rPr>
      </w:pPr>
    </w:p>
    <w:p>
      <w:pPr>
        <w:ind w:left="1060" w:hanging="424"/>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rFonts w:ascii="Arial" w:cs="Arial" w:eastAsia="Arial" w:hAnsi="Arial"/>
          <w:sz w:val="18"/>
          <w:szCs w:val="18"/>
          <w:color w:val="auto"/>
        </w:rPr>
      </w:pPr>
    </w:p>
    <w:p>
      <w:pPr>
        <w:ind w:left="1080" w:right="120"/>
        <w:spacing w:after="0" w:line="259" w:lineRule="auto"/>
        <w:rPr>
          <w:rFonts w:ascii="Arial" w:cs="Arial" w:eastAsia="Arial" w:hAnsi="Arial"/>
          <w:sz w:val="18"/>
          <w:szCs w:val="18"/>
          <w:color w:val="auto"/>
        </w:rPr>
      </w:pPr>
      <w:r>
        <w:rPr>
          <w:rFonts w:ascii="Arial" w:cs="Arial" w:eastAsia="Arial" w:hAnsi="Arial"/>
          <w:sz w:val="18"/>
          <w:szCs w:val="18"/>
          <w:color w:val="auto"/>
        </w:rPr>
        <w:t>All transactions in currencies other than functional currencies of the Company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consolidated statements of operations.</w:t>
      </w:r>
    </w:p>
    <w:p>
      <w:pPr>
        <w:spacing w:after="0" w:line="78" w:lineRule="exact"/>
        <w:rPr>
          <w:rFonts w:ascii="Arial" w:cs="Arial" w:eastAsia="Arial" w:hAnsi="Arial"/>
          <w:sz w:val="18"/>
          <w:szCs w:val="18"/>
          <w:color w:val="auto"/>
        </w:rPr>
      </w:pPr>
    </w:p>
    <w:p>
      <w:pPr>
        <w:ind w:left="1080"/>
        <w:spacing w:after="0" w:line="279" w:lineRule="auto"/>
        <w:rPr>
          <w:rFonts w:ascii="Arial" w:cs="Arial" w:eastAsia="Arial" w:hAnsi="Arial"/>
          <w:sz w:val="18"/>
          <w:szCs w:val="18"/>
          <w:color w:val="auto"/>
        </w:rPr>
      </w:pPr>
      <w:r>
        <w:rPr>
          <w:rFonts w:ascii="Arial" w:cs="Arial" w:eastAsia="Arial" w:hAnsi="Arial"/>
          <w:sz w:val="17"/>
          <w:szCs w:val="17"/>
          <w:color w:val="auto"/>
        </w:rPr>
        <w:t>The functional currencies of the Company and its subsidiaries are the United States dollar (“$” or “US$”), the Hong Kong dollar (“HK$”) or the Macau Pataca, respectively. All assets and liabilities are translated at the rates of exchange prevailing at the balance sheet date and all income and expense items are translated at the average rates of exchange over the year. All exchange differences arising from the translation of subsidiaries’ financial statements are recorded as a component of comprehensive loss.</w:t>
      </w:r>
    </w:p>
    <w:p>
      <w:pPr>
        <w:spacing w:after="0" w:line="72" w:lineRule="exact"/>
        <w:rPr>
          <w:rFonts w:ascii="Arial" w:cs="Arial" w:eastAsia="Arial" w:hAnsi="Arial"/>
          <w:sz w:val="18"/>
          <w:szCs w:val="18"/>
          <w:color w:val="auto"/>
        </w:rPr>
      </w:pPr>
    </w:p>
    <w:p>
      <w:pPr>
        <w:ind w:left="1060" w:hanging="424"/>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The Group is subject to income taxes in Macau and Hong Kong where it operates.</w:t>
      </w:r>
    </w:p>
    <w:p>
      <w:pPr>
        <w:spacing w:after="0" w:line="117" w:lineRule="exact"/>
        <w:rPr>
          <w:rFonts w:ascii="Arial" w:cs="Arial" w:eastAsia="Arial" w:hAnsi="Arial"/>
          <w:sz w:val="18"/>
          <w:szCs w:val="18"/>
          <w:color w:val="auto"/>
        </w:rPr>
      </w:pPr>
    </w:p>
    <w:p>
      <w:pPr>
        <w:ind w:left="1080" w:right="100"/>
        <w:spacing w:after="0" w:line="259" w:lineRule="auto"/>
        <w:rPr>
          <w:rFonts w:ascii="Arial" w:cs="Arial" w:eastAsia="Arial" w:hAnsi="Arial"/>
          <w:sz w:val="18"/>
          <w:szCs w:val="18"/>
          <w:color w:val="auto"/>
        </w:rPr>
      </w:pPr>
      <w:r>
        <w:rPr>
          <w:rFonts w:ascii="Arial" w:cs="Arial" w:eastAsia="Arial" w:hAnsi="Arial"/>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78" w:lineRule="exact"/>
        <w:rPr>
          <w:rFonts w:ascii="Arial" w:cs="Arial" w:eastAsia="Arial" w:hAnsi="Arial"/>
          <w:sz w:val="18"/>
          <w:szCs w:val="18"/>
          <w:color w:val="auto"/>
        </w:rPr>
      </w:pPr>
    </w:p>
    <w:p>
      <w:pPr>
        <w:ind w:left="1080" w:right="160"/>
        <w:spacing w:after="0" w:line="293" w:lineRule="auto"/>
        <w:rPr>
          <w:rFonts w:ascii="Arial" w:cs="Arial" w:eastAsia="Arial" w:hAnsi="Arial"/>
          <w:sz w:val="18"/>
          <w:szCs w:val="18"/>
          <w:color w:val="auto"/>
        </w:rPr>
      </w:pPr>
      <w:r>
        <w:rPr>
          <w:rFonts w:ascii="Arial" w:cs="Arial" w:eastAsia="Arial" w:hAnsi="Arial"/>
          <w:sz w:val="16"/>
          <w:szCs w:val="16"/>
          <w:color w:val="auto"/>
        </w:rPr>
        <w:t>The Group’s income tax returns are subject to examination by tax authorities in the jurisdictions where it operates. The Group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position, will be sustained on audit, including resolution of related appeals or litigation processes, if any. The second step is to measure the tax benefit as the largest amount which is more than 50% likely, based on cumulative probability.</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Net Loss Attributable to Studio City International Holdings Limited Per Class A Ordinary Share</w:t>
      </w:r>
    </w:p>
    <w:p>
      <w:pPr>
        <w:spacing w:after="0" w:line="121" w:lineRule="exact"/>
        <w:rPr>
          <w:rFonts w:ascii="Arial" w:cs="Arial" w:eastAsia="Arial" w:hAnsi="Arial"/>
          <w:sz w:val="18"/>
          <w:szCs w:val="18"/>
          <w:color w:val="auto"/>
        </w:rPr>
      </w:pPr>
    </w:p>
    <w:p>
      <w:pPr>
        <w:ind w:left="1080" w:right="240"/>
        <w:spacing w:after="0" w:line="264" w:lineRule="auto"/>
        <w:rPr>
          <w:rFonts w:ascii="Arial" w:cs="Arial" w:eastAsia="Arial" w:hAnsi="Arial"/>
          <w:sz w:val="18"/>
          <w:szCs w:val="18"/>
          <w:color w:val="auto"/>
        </w:rPr>
      </w:pPr>
      <w:r>
        <w:rPr>
          <w:rFonts w:ascii="Arial" w:cs="Arial" w:eastAsia="Arial" w:hAnsi="Arial"/>
          <w:sz w:val="18"/>
          <w:szCs w:val="18"/>
          <w:color w:val="auto"/>
        </w:rPr>
        <w:t>Basic net loss attributable to Studio City International Holdings Limited per Class A ordinary share is calculated by dividing the net loss attributable to Studio City International Holdings Limited by the weighted average number of Class A ordinary shares outstanding during the year.</w:t>
      </w:r>
    </w:p>
    <w:p>
      <w:pPr>
        <w:spacing w:after="0" w:line="73" w:lineRule="exact"/>
        <w:rPr>
          <w:rFonts w:ascii="Arial" w:cs="Arial" w:eastAsia="Arial" w:hAnsi="Arial"/>
          <w:sz w:val="18"/>
          <w:szCs w:val="18"/>
          <w:color w:val="auto"/>
        </w:rPr>
      </w:pPr>
    </w:p>
    <w:p>
      <w:pPr>
        <w:ind w:left="1080" w:right="160"/>
        <w:spacing w:after="0" w:line="255" w:lineRule="auto"/>
        <w:rPr>
          <w:rFonts w:ascii="Arial" w:cs="Arial" w:eastAsia="Arial" w:hAnsi="Arial"/>
          <w:sz w:val="18"/>
          <w:szCs w:val="18"/>
          <w:color w:val="auto"/>
        </w:rPr>
      </w:pPr>
      <w:r>
        <w:rPr>
          <w:rFonts w:ascii="Arial" w:cs="Arial" w:eastAsia="Arial" w:hAnsi="Arial"/>
          <w:sz w:val="18"/>
          <w:szCs w:val="18"/>
          <w:color w:val="auto"/>
        </w:rPr>
        <w:t>Diluted net loss attributable to Studio City International Holdings Limited per Class A ordinary share is calculated by dividing the net loss attributable to Studio City International Holdings Limited by the weighted average number of Class A ordinary shares outstanding during the year adjusted to include the number of additional Class A ordinary shares that would have been outstanding if potential dilutive securities had been issued and the if-converted method is applied for the potential dilutive effect of the exchange of Class B ordinary share for the proportionate number of Class A ordinary share. During the years ended December 31, 2018, 2017 and 2016, there were no potentially dilutive securities issued or outstanding.</w:t>
      </w:r>
    </w:p>
    <w:p>
      <w:pPr>
        <w:spacing w:after="0" w:line="85" w:lineRule="exact"/>
        <w:rPr>
          <w:rFonts w:ascii="Arial" w:cs="Arial" w:eastAsia="Arial" w:hAnsi="Arial"/>
          <w:sz w:val="18"/>
          <w:szCs w:val="18"/>
          <w:color w:val="auto"/>
        </w:rPr>
      </w:pPr>
    </w:p>
    <w:p>
      <w:pPr>
        <w:ind w:left="1080" w:right="60"/>
        <w:spacing w:after="0" w:line="269" w:lineRule="auto"/>
        <w:rPr>
          <w:rFonts w:ascii="Arial" w:cs="Arial" w:eastAsia="Arial" w:hAnsi="Arial"/>
          <w:sz w:val="18"/>
          <w:szCs w:val="18"/>
          <w:color w:val="auto"/>
        </w:rPr>
      </w:pPr>
      <w:r>
        <w:rPr>
          <w:rFonts w:ascii="Arial" w:cs="Arial" w:eastAsia="Arial" w:hAnsi="Arial"/>
          <w:sz w:val="17"/>
          <w:szCs w:val="17"/>
          <w:color w:val="auto"/>
        </w:rPr>
        <w:t>Basic and diluted net loss attributable to Studio City International Holdings Limited per Class A ordinary share does not include Class B ordinary share as such share do not participate in the loss of the Company. As a result, Class B ordinary share are not considered participating securities and are not included in the weighted average share outstanding for purposes of computing net loss attributable to Studio City International Holdings Limited per share. For the calculation of net loss attributable to Studio City International Holdings Limited per Class A ordinary share for periods prior to the Offering, including the year ended December 31, 2018 for which a portion of the period preceded the Offering, the Company has retrospectively presented net loss attributable to Studio City International Holdings Limited per Class A ordinary share and the share capital as if the Organizational Transactions had occurred at the beginning of the earliest period presented. Such retrospective presentation reflects the redesignation of the then issued 18,127.94 ordinary shares of $1 par value each into 181,279,400 Class A ordinary shares of $0.0001 par value each. For periods prior to the Offering date, the retrospective presentation does not include the exchange of 72,511,760 Class A ordinary shares into 72,511,760 Class B ordinary shares of $0.0001 par value each and the issuance of 115,000,000 Class A ordinary shares in the Offering.</w:t>
      </w:r>
    </w:p>
    <w:p>
      <w:pPr>
        <w:spacing w:after="0" w:line="84" w:lineRule="exact"/>
        <w:rPr>
          <w:rFonts w:ascii="Arial" w:cs="Arial" w:eastAsia="Arial" w:hAnsi="Arial"/>
          <w:sz w:val="18"/>
          <w:szCs w:val="18"/>
          <w:color w:val="auto"/>
        </w:rPr>
      </w:pPr>
    </w:p>
    <w:p>
      <w:pPr>
        <w:ind w:left="1060" w:hanging="424"/>
        <w:spacing w:after="0"/>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Accounting for Derivative Instruments and Hedging Activities</w:t>
      </w:r>
    </w:p>
    <w:p>
      <w:pPr>
        <w:spacing w:after="0" w:line="121" w:lineRule="exact"/>
        <w:rPr>
          <w:rFonts w:ascii="Arial" w:cs="Arial" w:eastAsia="Arial" w:hAnsi="Arial"/>
          <w:sz w:val="18"/>
          <w:szCs w:val="18"/>
          <w:color w:val="auto"/>
        </w:rPr>
      </w:pPr>
    </w:p>
    <w:p>
      <w:pPr>
        <w:ind w:left="1080"/>
        <w:spacing w:after="0" w:line="271" w:lineRule="auto"/>
        <w:rPr>
          <w:rFonts w:ascii="Arial" w:cs="Arial" w:eastAsia="Arial" w:hAnsi="Arial"/>
          <w:sz w:val="18"/>
          <w:szCs w:val="18"/>
          <w:color w:val="auto"/>
        </w:rPr>
      </w:pPr>
      <w:r>
        <w:rPr>
          <w:rFonts w:ascii="Arial" w:cs="Arial" w:eastAsia="Arial" w:hAnsi="Arial"/>
          <w:sz w:val="17"/>
          <w:szCs w:val="17"/>
          <w:color w:val="auto"/>
        </w:rPr>
        <w:t>The Group uses derivative financial instruments such as floating-for-fixed interest rate swap agreements to manage its risks associated with interest rate fluctuations in accordance with lenders’ requirements under the Group’s prior senior secured credit facilities agreement. All derivative instruments are recognized in the consolidated financial statements at fair value at the balance sheet date. Any changes in fair value are recorded in the consolidated statements of operations or comprehensive loss, depending on whether the derivative is designated and qualifies for hedge accounting, the type of hedge transaction and the effectiveness of the hedge. The estimated fair values of interest rate swap agreements are based on a standard valuation model that projects future cash flows and discounts those future cash flows to a present value using market-based observable inputs such as interest rate yields. All outstanding interest rate swap agreements expired during the year ended December 31, 2016.</w:t>
      </w:r>
    </w:p>
    <w:p>
      <w:pPr>
        <w:spacing w:after="0" w:line="80" w:lineRule="exact"/>
        <w:rPr>
          <w:rFonts w:ascii="Arial" w:cs="Arial" w:eastAsia="Arial" w:hAnsi="Arial"/>
          <w:sz w:val="18"/>
          <w:szCs w:val="18"/>
          <w:color w:val="auto"/>
        </w:rPr>
      </w:pPr>
    </w:p>
    <w:p>
      <w:pPr>
        <w:ind w:left="1060" w:hanging="424"/>
        <w:spacing w:after="0"/>
        <w:tabs>
          <w:tab w:leader="none" w:pos="1060"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Comprehensive Loss and Accumulated Other Comprehensive (Loss) Income</w:t>
      </w:r>
    </w:p>
    <w:p>
      <w:pPr>
        <w:spacing w:after="0" w:line="121" w:lineRule="exact"/>
        <w:rPr>
          <w:rFonts w:ascii="Arial" w:cs="Arial" w:eastAsia="Arial" w:hAnsi="Arial"/>
          <w:sz w:val="18"/>
          <w:szCs w:val="18"/>
          <w:color w:val="auto"/>
        </w:rPr>
      </w:pPr>
    </w:p>
    <w:p>
      <w:pPr>
        <w:ind w:left="1080" w:right="180"/>
        <w:spacing w:after="0" w:line="277" w:lineRule="auto"/>
        <w:rPr>
          <w:rFonts w:ascii="Arial" w:cs="Arial" w:eastAsia="Arial" w:hAnsi="Arial"/>
          <w:sz w:val="18"/>
          <w:szCs w:val="18"/>
          <w:color w:val="auto"/>
        </w:rPr>
      </w:pPr>
      <w:r>
        <w:rPr>
          <w:rFonts w:ascii="Arial" w:cs="Arial" w:eastAsia="Arial" w:hAnsi="Arial"/>
          <w:sz w:val="18"/>
          <w:szCs w:val="18"/>
          <w:color w:val="auto"/>
        </w:rPr>
        <w:t>Comprehensive loss includes net loss, foreign currency translation adjustments and changes in fair values of interest rate swap agreements and is reported in the consolidated statements of comprehensive loss.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Loss and Accumulated Other Comprehensive (Loss) Income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48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2018 and 2017, the Group’s accumulated other comprehensive (loss) income consisted solely of foreign currency translation adjustment.</w:t>
      </w:r>
    </w:p>
    <w:p>
      <w:pPr>
        <w:spacing w:after="0" w:line="71" w:lineRule="exact"/>
        <w:rPr>
          <w:rFonts w:ascii="Arial" w:cs="Arial" w:eastAsia="Arial" w:hAnsi="Arial"/>
          <w:sz w:val="18"/>
          <w:szCs w:val="18"/>
          <w:color w:val="auto"/>
        </w:rPr>
      </w:pPr>
    </w:p>
    <w:p>
      <w:pPr>
        <w:ind w:left="1080" w:right="6860" w:hanging="444"/>
        <w:spacing w:after="0" w:line="425" w:lineRule="auto"/>
        <w:tabs>
          <w:tab w:leader="none" w:pos="1063" w:val="left"/>
        </w:tabs>
        <w:numPr>
          <w:ilvl w:val="1"/>
          <w:numId w:val="104"/>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i w:val="1"/>
          <w:iCs w:val="1"/>
          <w:color w:val="auto"/>
        </w:rPr>
        <w:t>Newly Adopted Accounting Pronouncements:</w:t>
      </w:r>
    </w:p>
    <w:p>
      <w:pPr>
        <w:ind w:left="1080"/>
        <w:spacing w:after="0" w:line="255" w:lineRule="auto"/>
        <w:rPr>
          <w:rFonts w:ascii="Arial" w:cs="Arial" w:eastAsia="Arial" w:hAnsi="Arial"/>
          <w:sz w:val="16"/>
          <w:szCs w:val="16"/>
          <w:color w:val="auto"/>
        </w:rPr>
      </w:pPr>
      <w:r>
        <w:rPr>
          <w:rFonts w:ascii="Arial" w:cs="Arial" w:eastAsia="Arial" w:hAnsi="Arial"/>
          <w:sz w:val="18"/>
          <w:szCs w:val="18"/>
          <w:color w:val="auto"/>
        </w:rPr>
        <w:t>In May 2014, the Financial Accounting Standards Board (“FASB”) issued an accounting standards update (as subsequently amended) which outlines a single comprehensive model for entities to use in accounting for revenues arising from contracts with customers and supersedes most current revenue recognition guidance, including industry-specific guidance (“New Revenue Standard”). The core principle of this new revenue recognition model is that an entity should recognize revenues to depict the transfer of promised goods or services to customers in an amount that reflects the consideration which the entity expects to be entitled in exchange for those goods or services. This update also requires enhanced disclosures regarding the nature, amount, timing, and uncertainty of revenues and cash flows arising from an entity’s contracts with customers.</w:t>
      </w:r>
    </w:p>
    <w:p>
      <w:pPr>
        <w:spacing w:after="0" w:line="81" w:lineRule="exact"/>
        <w:rPr>
          <w:rFonts w:ascii="Arial" w:cs="Arial" w:eastAsia="Arial" w:hAnsi="Arial"/>
          <w:sz w:val="16"/>
          <w:szCs w:val="16"/>
          <w:color w:val="auto"/>
        </w:rPr>
      </w:pPr>
    </w:p>
    <w:p>
      <w:pPr>
        <w:ind w:left="1080"/>
        <w:spacing w:after="0" w:line="276" w:lineRule="auto"/>
        <w:rPr>
          <w:rFonts w:ascii="Arial" w:cs="Arial" w:eastAsia="Arial" w:hAnsi="Arial"/>
          <w:sz w:val="16"/>
          <w:szCs w:val="16"/>
          <w:color w:val="auto"/>
        </w:rPr>
      </w:pPr>
      <w:r>
        <w:rPr>
          <w:rFonts w:ascii="Arial" w:cs="Arial" w:eastAsia="Arial" w:hAnsi="Arial"/>
          <w:sz w:val="17"/>
          <w:szCs w:val="17"/>
          <w:color w:val="auto"/>
        </w:rPr>
        <w:t>On January 1, 2018, the Group adopted the New Revenue Standard using the modified retrospective method applying to those contracts not yet completed as of January 1, 2018. The Group recognized the cumulative effect of adopting the New Revenue Standard as an adjustment to the opening balance of accumulated losses. Amounts for the periods beginning on or after January 1, 2018 are presented under the New Revenue Standard, while prior period amounts are not adjusted and continue to be reported in accordance with the previous basis. The major changes as a result of the adoption of the New Revenue Standard are as follows:</w:t>
      </w:r>
    </w:p>
    <w:p>
      <w:pPr>
        <w:spacing w:after="0" w:line="77" w:lineRule="exact"/>
        <w:rPr>
          <w:rFonts w:ascii="Arial" w:cs="Arial" w:eastAsia="Arial" w:hAnsi="Arial"/>
          <w:sz w:val="16"/>
          <w:szCs w:val="16"/>
          <w:color w:val="auto"/>
        </w:rPr>
      </w:pPr>
    </w:p>
    <w:p>
      <w:pPr>
        <w:ind w:left="1620" w:right="80" w:hanging="538"/>
        <w:spacing w:after="0" w:line="257" w:lineRule="auto"/>
        <w:tabs>
          <w:tab w:leader="none" w:pos="16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Complimentary services provided to Studio City Casino’s gaming patrons are deducted from the gross gaming revenues and are measured based on stand-alone selling prices under the New Revenue Standard, replacing the previously used retail values. The non-gaming revenues associated with the provision of these complimentary services are measured on the same basis. The change impacts the amount of revenues from the provision of gaming related services received by the Group with corresponding changes to the non-gaming revenues.</w:t>
      </w:r>
    </w:p>
    <w:p>
      <w:pPr>
        <w:spacing w:after="0" w:line="93" w:lineRule="exact"/>
        <w:rPr>
          <w:rFonts w:ascii="Arial" w:cs="Arial" w:eastAsia="Arial" w:hAnsi="Arial"/>
          <w:sz w:val="18"/>
          <w:szCs w:val="18"/>
          <w:color w:val="auto"/>
        </w:rPr>
      </w:pPr>
    </w:p>
    <w:p>
      <w:pPr>
        <w:ind w:left="1620" w:right="60" w:hanging="538"/>
        <w:spacing w:after="0" w:line="272" w:lineRule="auto"/>
        <w:tabs>
          <w:tab w:leader="none" w:pos="16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The New Revenue Standard changes the measurement basis for the non-discretionary incentives (including the loyalty program) provided to Studio City Casino’s gaming patrons, as administered by Melco Resorts Macau, from previously used estimated costs to standalone selling prices. The non-discretionary incentives are deducted from the gross gaming revenues by Melco Resorts Macau and impact the amount of revenues from provision of gaming related services received by the Group. Similarly, the redemption of non-discretionary incentives for non-gaming services provided by the Group are measured on the same basis. At the adoption date on January 1, 2018, the Group recognized an increase to the opening balance of accumulated losses of $3,332 with a corresponding decrease in amounts due from affiliated companies.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right="6020" w:hanging="444"/>
        <w:spacing w:after="0" w:line="434" w:lineRule="auto"/>
        <w:tabs>
          <w:tab w:leader="none" w:pos="1063" w:val="left"/>
        </w:tabs>
        <w:numPr>
          <w:ilvl w:val="1"/>
          <w:numId w:val="105"/>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Newly Adopted Accounting Pronouncements: - </w:t>
      </w:r>
      <w:r>
        <w:rPr>
          <w:rFonts w:ascii="Arial" w:cs="Arial" w:eastAsia="Arial" w:hAnsi="Arial"/>
          <w:sz w:val="16"/>
          <w:szCs w:val="16"/>
          <w:color w:val="auto"/>
        </w:rPr>
        <w:t>continued</w:t>
      </w:r>
    </w:p>
    <w:p>
      <w:pPr>
        <w:ind w:left="1080" w:right="80"/>
        <w:spacing w:after="0" w:line="277" w:lineRule="auto"/>
        <w:rPr>
          <w:rFonts w:ascii="Arial" w:cs="Arial" w:eastAsia="Arial" w:hAnsi="Arial"/>
          <w:sz w:val="16"/>
          <w:szCs w:val="16"/>
          <w:color w:val="auto"/>
        </w:rPr>
      </w:pPr>
      <w:r>
        <w:rPr>
          <w:rFonts w:ascii="Arial" w:cs="Arial" w:eastAsia="Arial" w:hAnsi="Arial"/>
          <w:sz w:val="18"/>
          <w:szCs w:val="18"/>
          <w:color w:val="auto"/>
        </w:rPr>
        <w:t>The amounts of affected financial statement line items for the current period before and after the adoption of the New Revenue Standard are as follows: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center"/>
              <w:ind w:left="750"/>
              <w:spacing w:after="0"/>
              <w:rPr>
                <w:sz w:val="20"/>
                <w:szCs w:val="20"/>
                <w:color w:val="auto"/>
              </w:rPr>
            </w:pPr>
            <w:r>
              <w:rPr>
                <w:rFonts w:ascii="Arial" w:cs="Arial" w:eastAsia="Arial" w:hAnsi="Arial"/>
                <w:sz w:val="18"/>
                <w:szCs w:val="18"/>
                <w:color w:val="auto"/>
                <w:w w:val="89"/>
              </w:rPr>
              <w:t>Year Ended December 31, 2018</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Balances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9"/>
              </w:rPr>
              <w:t>under New</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Balances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Effect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5"/>
              </w:rPr>
              <w:t>Revenue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under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change</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4"/>
              </w:rPr>
              <w:t>Standard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previous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higher/</w:t>
            </w:r>
          </w:p>
        </w:tc>
      </w:tr>
      <w:tr>
        <w:trPr>
          <w:trHeight w:val="190"/>
        </w:trPr>
        <w:tc>
          <w:tcPr>
            <w:tcW w:w="6540" w:type="dxa"/>
            <w:vAlign w:val="bottom"/>
            <w:gridSpan w:val="4"/>
          </w:tcPr>
          <w:p>
            <w:pPr>
              <w:spacing w:after="0" w:line="190" w:lineRule="exact"/>
              <w:rPr>
                <w:sz w:val="20"/>
                <w:szCs w:val="20"/>
                <w:color w:val="auto"/>
              </w:rPr>
            </w:pPr>
            <w:r>
              <w:rPr>
                <w:rFonts w:ascii="Arial" w:cs="Arial" w:eastAsia="Arial" w:hAnsi="Arial"/>
                <w:sz w:val="18"/>
                <w:szCs w:val="18"/>
                <w:color w:val="auto"/>
              </w:rPr>
              <w:t>Statement of Operations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3"/>
              </w:rPr>
              <w:t>(As reported)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540"/>
              <w:spacing w:after="0" w:line="190" w:lineRule="exact"/>
              <w:rPr>
                <w:sz w:val="20"/>
                <w:szCs w:val="20"/>
                <w:color w:val="auto"/>
              </w:rPr>
            </w:pPr>
            <w:r>
              <w:rPr>
                <w:rFonts w:ascii="Arial" w:cs="Arial" w:eastAsia="Arial" w:hAnsi="Arial"/>
                <w:sz w:val="18"/>
                <w:szCs w:val="18"/>
                <w:color w:val="auto"/>
                <w:w w:val="85"/>
              </w:rPr>
              <w:t>basis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40"/>
              <w:spacing w:after="0" w:line="190" w:lineRule="exact"/>
              <w:rPr>
                <w:sz w:val="20"/>
                <w:szCs w:val="20"/>
                <w:color w:val="auto"/>
              </w:rPr>
            </w:pPr>
            <w:r>
              <w:rPr>
                <w:rFonts w:ascii="Arial" w:cs="Arial" w:eastAsia="Arial" w:hAnsi="Arial"/>
                <w:sz w:val="18"/>
                <w:szCs w:val="18"/>
                <w:color w:val="auto"/>
                <w:w w:val="94"/>
              </w:rPr>
              <w:t>(lower)</w:t>
            </w: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Operating Revenues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Provision of gaming related services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339,924</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340,091</w:t>
            </w:r>
          </w:p>
        </w:tc>
        <w:tc>
          <w:tcPr>
            <w:tcW w:w="34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i w:val="1"/>
                <w:iCs w:val="1"/>
                <w:color w:val="auto"/>
              </w:rPr>
              <w:t>Net income attributable to participation interest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loss attributable to Studio City International Holdings Limited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2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w w:val="95"/>
              </w:rPr>
              <w:t>Basic and diluted net loss attributable to Studio City International Holdings Limited per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i w:val="1"/>
                <w:iCs w:val="1"/>
                <w:color w:val="auto"/>
              </w:rPr>
              <w:t>Class A ordinary share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0.113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0.112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0.001</w:t>
            </w:r>
          </w:p>
        </w:tc>
        <w:tc>
          <w:tcPr>
            <w:tcW w:w="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0"/>
              </w:rPr>
              <w:t>As at December 31, 2018</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Balances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9"/>
              </w:rPr>
              <w:t>under New</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Balances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Effect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5"/>
              </w:rPr>
              <w:t>Revenue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under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change</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4"/>
              </w:rPr>
              <w:t>Standard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previous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higher/</w:t>
            </w:r>
          </w:p>
        </w:tc>
      </w:tr>
      <w:tr>
        <w:trPr>
          <w:trHeight w:val="190"/>
        </w:trPr>
        <w:tc>
          <w:tcPr>
            <w:tcW w:w="6540" w:type="dxa"/>
            <w:vAlign w:val="bottom"/>
            <w:gridSpan w:val="4"/>
          </w:tcPr>
          <w:p>
            <w:pPr>
              <w:spacing w:after="0" w:line="190" w:lineRule="exact"/>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3"/>
              </w:rPr>
              <w:t>(As reported)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540"/>
              <w:spacing w:after="0" w:line="190" w:lineRule="exact"/>
              <w:rPr>
                <w:sz w:val="20"/>
                <w:szCs w:val="20"/>
                <w:color w:val="auto"/>
              </w:rPr>
            </w:pPr>
            <w:r>
              <w:rPr>
                <w:rFonts w:ascii="Arial" w:cs="Arial" w:eastAsia="Arial" w:hAnsi="Arial"/>
                <w:sz w:val="18"/>
                <w:szCs w:val="18"/>
                <w:color w:val="auto"/>
                <w:w w:val="85"/>
              </w:rPr>
              <w:t>basis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40"/>
              <w:spacing w:after="0" w:line="190" w:lineRule="exact"/>
              <w:rPr>
                <w:sz w:val="20"/>
                <w:szCs w:val="20"/>
                <w:color w:val="auto"/>
              </w:rPr>
            </w:pPr>
            <w:r>
              <w:rPr>
                <w:rFonts w:ascii="Arial" w:cs="Arial" w:eastAsia="Arial" w:hAnsi="Arial"/>
                <w:sz w:val="18"/>
                <w:szCs w:val="18"/>
                <w:color w:val="auto"/>
                <w:w w:val="94"/>
              </w:rPr>
              <w:t>(lower)</w:t>
            </w: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Current 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Amounts due from affiliated companies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42,339</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45,838</w:t>
            </w:r>
          </w:p>
        </w:tc>
        <w:tc>
          <w:tcPr>
            <w:tcW w:w="34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(3,499)</w:t>
            </w: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Shareholders’ Equity and Participation Interest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1,655,602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1,654,833</w:t>
            </w:r>
          </w:p>
        </w:tc>
        <w:tc>
          <w:tcPr>
            <w:tcW w:w="34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798,098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794,607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Participation interest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252,929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253,706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r>
    </w:tbl>
    <w:p>
      <w:pPr>
        <w:spacing w:after="0" w:line="79" w:lineRule="exact"/>
        <w:rPr>
          <w:sz w:val="20"/>
          <w:szCs w:val="20"/>
          <w:color w:val="auto"/>
        </w:rPr>
      </w:pPr>
    </w:p>
    <w:p>
      <w:pPr>
        <w:jc w:val="both"/>
        <w:ind w:left="1080" w:right="80"/>
        <w:spacing w:after="0" w:line="312" w:lineRule="auto"/>
        <w:rPr>
          <w:sz w:val="20"/>
          <w:szCs w:val="20"/>
          <w:color w:val="auto"/>
        </w:rPr>
      </w:pPr>
      <w:r>
        <w:rPr>
          <w:rFonts w:ascii="Arial" w:cs="Arial" w:eastAsia="Arial" w:hAnsi="Arial"/>
          <w:sz w:val="16"/>
          <w:szCs w:val="16"/>
          <w:color w:val="auto"/>
        </w:rPr>
        <w:t>In August 2016, the FASB issued an accounting standards update which amended the guidance on the classification of certain cash receipts and payments in the statement of cash flows. The guidance was effective as of January 1, 2018 and the Group adopted this new guidance on a retrospective basis. The adoption of this guidance did not have a material impact on the Group’s consolidated financial statements.</w:t>
      </w:r>
    </w:p>
    <w:p>
      <w:pPr>
        <w:spacing w:after="0" w:line="39" w:lineRule="exact"/>
        <w:rPr>
          <w:sz w:val="20"/>
          <w:szCs w:val="20"/>
          <w:color w:val="auto"/>
        </w:rPr>
      </w:pPr>
    </w:p>
    <w:p>
      <w:pPr>
        <w:ind w:left="1080" w:right="340"/>
        <w:spacing w:after="0" w:line="312" w:lineRule="auto"/>
        <w:rPr>
          <w:sz w:val="20"/>
          <w:szCs w:val="20"/>
          <w:color w:val="auto"/>
        </w:rPr>
      </w:pPr>
      <w:r>
        <w:rPr>
          <w:rFonts w:ascii="Arial" w:cs="Arial" w:eastAsia="Arial" w:hAnsi="Arial"/>
          <w:sz w:val="16"/>
          <w:szCs w:val="16"/>
          <w:color w:val="auto"/>
        </w:rPr>
        <w:t>In November 2016, the FASB issued an accounting standards update which amended and clarified the guidance on the classification and presentation of restricted cash in the statement of cash flows. The guidance required that a statement of cash flows explain the change during the period in the total of cash, cash equivalents, restricted cash and restricted cash equivalents. Accordingly, restricted cash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right="6020" w:hanging="444"/>
        <w:spacing w:after="0" w:line="434" w:lineRule="auto"/>
        <w:tabs>
          <w:tab w:leader="none" w:pos="1063" w:val="left"/>
        </w:tabs>
        <w:numPr>
          <w:ilvl w:val="1"/>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color w:val="auto"/>
        </w:rPr>
        <w:t>- 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Newly Adopted Accounting Pronouncements: - </w:t>
      </w:r>
      <w:r>
        <w:rPr>
          <w:rFonts w:ascii="Arial" w:cs="Arial" w:eastAsia="Arial" w:hAnsi="Arial"/>
          <w:sz w:val="16"/>
          <w:szCs w:val="16"/>
          <w:color w:val="auto"/>
        </w:rPr>
        <w:t>continued</w:t>
      </w:r>
    </w:p>
    <w:p>
      <w:pPr>
        <w:ind w:left="1080" w:right="200"/>
        <w:spacing w:after="0" w:line="291" w:lineRule="auto"/>
        <w:rPr>
          <w:rFonts w:ascii="Arial" w:cs="Arial" w:eastAsia="Arial" w:hAnsi="Arial"/>
          <w:sz w:val="16"/>
          <w:szCs w:val="16"/>
          <w:color w:val="auto"/>
        </w:rPr>
      </w:pPr>
      <w:r>
        <w:rPr>
          <w:rFonts w:ascii="Arial" w:cs="Arial" w:eastAsia="Arial" w:hAnsi="Arial"/>
          <w:sz w:val="16"/>
          <w:szCs w:val="16"/>
          <w:color w:val="auto"/>
        </w:rPr>
        <w:t>restricted cash equivalents should be included with cash and cash equivalents when reconciling the beginning-of-period and end-of-period total amounts shown on the statement of cash flows. The guidance was effective as of January 1, 2018 and the Group adopted this new guidance on a retrospective basis. The adoption of this guidance impacted the presentation and classification of restricted cash in the statements of cash flows. For the years ended December 31, 2017 and 2016, substantially all of the changes in restricted cash of $67 and $266,633, respectively, were previously reported within net cash used in investing activities in the consolidated statements of cash flows. For the years ended December 31, 2017 and 2016, substantially all of the changes in restricted cash of $64 and $2,082, respectively, were previously reported within net cash used in investing activities in the condensed statements of cash flows included in Schedule 1.</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Recent Accounting Pronouncement Not Yet Adopted:</w:t>
      </w:r>
    </w:p>
    <w:p>
      <w:pPr>
        <w:spacing w:after="0" w:line="117" w:lineRule="exact"/>
        <w:rPr>
          <w:rFonts w:ascii="Arial" w:cs="Arial" w:eastAsia="Arial" w:hAnsi="Arial"/>
          <w:sz w:val="16"/>
          <w:szCs w:val="16"/>
          <w:color w:val="auto"/>
        </w:rPr>
      </w:pPr>
    </w:p>
    <w:p>
      <w:pPr>
        <w:ind w:left="1080" w:right="20"/>
        <w:spacing w:after="0" w:line="286" w:lineRule="auto"/>
        <w:rPr>
          <w:rFonts w:ascii="Arial" w:cs="Arial" w:eastAsia="Arial" w:hAnsi="Arial"/>
          <w:sz w:val="16"/>
          <w:szCs w:val="16"/>
          <w:color w:val="auto"/>
        </w:rPr>
      </w:pPr>
      <w:r>
        <w:rPr>
          <w:rFonts w:ascii="Arial" w:cs="Arial" w:eastAsia="Arial" w:hAnsi="Arial"/>
          <w:sz w:val="16"/>
          <w:szCs w:val="16"/>
          <w:color w:val="auto"/>
        </w:rPr>
        <w:t>In February 2016, the FASB issued an accounting standards update on leases, which amends various aspects of existing accounting guidance for leases. The guidance requires all lessees to recognize a lease liability and a right-of-use asset, measured at the present value of the future minimum lease payments, at the lease commencement date. Lessor accounting remains largely unchanged under the new guidance. The guidance is effective for interim and fiscal years beginning after December 15, 2018, with early adoption permitted. In July 2018, the FASB issued an accounting standards update which provides entities with an additional transition method to adopt the new leases standard. The amendments also provide lessors with a practical expedient to not separate non-lease components from the associated lease components if certain conditions are met. The Group has adopted this guidance using the modified retrospective method, recognizing the cumulative effect of initially applying the guidance at the date of initial application on January 1, 2019.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existing leases as of the adoption date. While the Group is currently assessing the quantitative impact the guidance will have on its consolidated financial statements and related disclosures, the Group expects the most significant changes will be related to the recognition of right-of-use assets and lease liabilities for operating leases on the Group’s consolidated balance sheet, with no material impact to net income or cash flows.</w:t>
      </w:r>
    </w:p>
    <w:p>
      <w:pPr>
        <w:spacing w:after="0" w:line="197" w:lineRule="exact"/>
        <w:rPr>
          <w:rFonts w:ascii="Arial" w:cs="Arial" w:eastAsia="Arial" w:hAnsi="Arial"/>
          <w:sz w:val="16"/>
          <w:szCs w:val="16"/>
          <w:color w:val="auto"/>
        </w:rPr>
      </w:pPr>
    </w:p>
    <w:p>
      <w:pPr>
        <w:ind w:left="640" w:hanging="436"/>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Components of accounts receivable, net are as follows:</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3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Hotel</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4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allowances for doubtful debts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920" w:type="dxa"/>
            <w:vAlign w:val="bottom"/>
            <w:gridSpan w:val="2"/>
          </w:tcPr>
          <w:p>
            <w:pPr>
              <w:jc w:val="right"/>
              <w:ind w:right="3345"/>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RECEIVABLE, NET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2018, 2017 and 2016, the Group has made additional provision for doubtful debts of $376, $33 and $588, respectively, and nil, $33 and nil were written off during the years ended December 31, 2018, 2017 and 2016, respectively.</w:t>
      </w:r>
    </w:p>
    <w:p>
      <w:pPr>
        <w:spacing w:after="0" w:line="291" w:lineRule="exact"/>
        <w:rPr>
          <w:rFonts w:ascii="Arial" w:cs="Arial" w:eastAsia="Arial" w:hAnsi="Arial"/>
          <w:sz w:val="18"/>
          <w:szCs w:val="18"/>
          <w:b w:val="1"/>
          <w:bCs w:val="1"/>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2,309,897</w:t>
            </w:r>
          </w:p>
        </w:tc>
        <w:tc>
          <w:tcPr>
            <w:tcW w:w="22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2,326,063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Furniture, fixtures and equipment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Motor vehicles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Construction in progress</w:t>
            </w:r>
          </w:p>
        </w:tc>
        <w:tc>
          <w:tcPr>
            <w:tcW w:w="2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2,639,338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2,607,593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(463,480)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(327,477)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2,175,858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2,280,116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As of December 31, 2018 and 2017, construction in progress in relation to Studio City included interest capitalized in accordance with applicable accounting standards and other direct incidental costs capitalized which, in the aggregate, amounted to $5,110 and $2,556, respectively.</w:t>
      </w: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5.   LAND USE RIGHT, NET</w:t>
            </w: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8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3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177,290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178,464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(55,746)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(52,792)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121,544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5"/>
          </w:tcPr>
          <w:p>
            <w:pPr>
              <w:ind w:left="40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2018</w:t>
            </w:r>
          </w:p>
        </w:tc>
        <w:tc>
          <w:tcPr>
            <w:tcW w:w="6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2017</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45,293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and equipment payables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13,152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103,503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Advance customer deposits and ticket sales</w:t>
            </w:r>
          </w:p>
        </w:tc>
        <w:tc>
          <w:tcPr>
            <w:tcW w:w="4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62,825</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155,840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260" w:type="dxa"/>
            <w:vAlign w:val="bottom"/>
            <w:gridSpan w:val="2"/>
          </w:tcPr>
          <w:p>
            <w:pPr>
              <w:jc w:val="right"/>
              <w:ind w:right="3265"/>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0" w:type="dxa"/>
            <w:vAlign w:val="bottom"/>
          </w:tcPr>
          <w:p>
            <w:pPr>
              <w:jc w:val="center"/>
              <w:ind w:left="2170"/>
              <w:spacing w:after="0"/>
              <w:rPr>
                <w:sz w:val="20"/>
                <w:szCs w:val="20"/>
                <w:color w:val="auto"/>
              </w:rPr>
            </w:pPr>
            <w:r>
              <w:rPr>
                <w:rFonts w:ascii="Arial" w:cs="Arial" w:eastAsia="Arial" w:hAnsi="Arial"/>
                <w:sz w:val="18"/>
                <w:szCs w:val="18"/>
                <w:b w:val="1"/>
                <w:bCs w:val="1"/>
                <w:color w:val="auto"/>
              </w:rPr>
              <w:t>STUDIO CITY INTERNATIONAL HOLDINGS LIMITED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0" w:type="dxa"/>
            <w:vAlign w:val="bottom"/>
          </w:tcPr>
          <w:p>
            <w:pPr>
              <w:jc w:val="center"/>
              <w:ind w:left="217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LONG-TERM DEBT, NET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tcPr>
          <w:p>
            <w:pPr>
              <w:ind w:left="60"/>
              <w:spacing w:after="0"/>
              <w:rPr>
                <w:sz w:val="20"/>
                <w:szCs w:val="20"/>
                <w:color w:val="auto"/>
              </w:rPr>
            </w:pPr>
            <w:r>
              <w:rPr>
                <w:rFonts w:ascii="Arial" w:cs="Arial" w:eastAsia="Arial" w:hAnsi="Arial"/>
                <w:sz w:val="18"/>
                <w:szCs w:val="18"/>
                <w:color w:val="auto"/>
              </w:rPr>
              <w:t>Long-term debt, net consisted of the following: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Senior Notes</w:t>
            </w:r>
            <w:r>
              <w:rPr>
                <w:rFonts w:ascii="Arial" w:cs="Arial" w:eastAsia="Arial" w:hAnsi="Arial"/>
                <w:sz w:val="15"/>
                <w:szCs w:val="15"/>
                <w:color w:val="auto"/>
              </w:rPr>
              <w:t>(a)</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84"/>
              </w:rPr>
              <w:t>2012</w:t>
            </w:r>
          </w:p>
        </w:tc>
        <w:tc>
          <w:tcPr>
            <w:tcW w:w="8000" w:type="dxa"/>
            <w:vAlign w:val="bottom"/>
          </w:tcPr>
          <w:p>
            <w:pPr>
              <w:ind w:left="20"/>
              <w:spacing w:after="0" w:line="201" w:lineRule="exact"/>
              <w:rPr>
                <w:sz w:val="20"/>
                <w:szCs w:val="20"/>
                <w:color w:val="auto"/>
              </w:rPr>
            </w:pPr>
            <w:r>
              <w:rPr>
                <w:rFonts w:ascii="Arial" w:cs="Arial" w:eastAsia="Arial" w:hAnsi="Arial"/>
                <w:sz w:val="18"/>
                <w:szCs w:val="18"/>
                <w:color w:val="auto"/>
              </w:rPr>
              <w:t>Studio City Notes, due 2020 (net of unamortized deferred financing costs of $2,644 and $7,493,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422,356</w:t>
            </w:r>
          </w:p>
        </w:tc>
        <w:tc>
          <w:tcPr>
            <w:tcW w:w="2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817,507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4"/>
              </w:rPr>
              <w:t>2016</w:t>
            </w:r>
          </w:p>
        </w:tc>
        <w:tc>
          <w:tcPr>
            <w:tcW w:w="8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5.875% SC Secured Notes, due 2019 (net of unamortized deferred financing costs of $2,260 and $4,580,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84"/>
              </w:rPr>
              <w:t>2016</w:t>
            </w:r>
          </w:p>
        </w:tc>
        <w:tc>
          <w:tcPr>
            <w:tcW w:w="8000" w:type="dxa"/>
            <w:vAlign w:val="bottom"/>
          </w:tcPr>
          <w:p>
            <w:pPr>
              <w:ind w:left="20"/>
              <w:spacing w:after="0" w:line="201" w:lineRule="exact"/>
              <w:rPr>
                <w:sz w:val="20"/>
                <w:szCs w:val="20"/>
                <w:color w:val="auto"/>
              </w:rPr>
            </w:pPr>
            <w:r>
              <w:rPr>
                <w:rFonts w:ascii="Arial" w:cs="Arial" w:eastAsia="Arial" w:hAnsi="Arial"/>
                <w:sz w:val="18"/>
                <w:szCs w:val="18"/>
                <w:color w:val="auto"/>
                <w:w w:val="92"/>
              </w:rPr>
              <w:t>7.250% SC Secured Notes, due 2021 (net of unamortized deferred financing costs of $10,580 and $13,702,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839,420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836,298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r>
              <w:rPr>
                <w:rFonts w:ascii="Arial" w:cs="Arial" w:eastAsia="Arial" w:hAnsi="Arial"/>
                <w:sz w:val="15"/>
                <w:szCs w:val="15"/>
                <w:color w:val="auto"/>
              </w:rPr>
              <w:t>(b)</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2016</w:t>
            </w:r>
          </w:p>
        </w:tc>
        <w:tc>
          <w:tcPr>
            <w:tcW w:w="8000" w:type="dxa"/>
            <w:vAlign w:val="bottom"/>
          </w:tcPr>
          <w:p>
            <w:pPr>
              <w:ind w:left="20"/>
              <w:spacing w:after="0"/>
              <w:rPr>
                <w:sz w:val="20"/>
                <w:szCs w:val="20"/>
                <w:color w:val="auto"/>
              </w:rPr>
            </w:pPr>
            <w:r>
              <w:rPr>
                <w:rFonts w:ascii="Arial" w:cs="Arial" w:eastAsia="Arial" w:hAnsi="Arial"/>
                <w:sz w:val="18"/>
                <w:szCs w:val="18"/>
                <w:color w:val="auto"/>
              </w:rPr>
              <w:t>Studio City Credit Facilities</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1,609,644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1,999,354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Current portion of long-term debt (net of unamortized deferred financing costs of $2,260)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(347,740)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1,261,904</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1,999,354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1060" w:right="520" w:hanging="424"/>
        <w:spacing w:after="0" w:line="255"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Unamortized deferred financing costs of $1,299 and $1,686 as of December 31, 2018 and 2017, respectively, related to the 2016 SC Revolving Credit Facility of 2016 Studio City Credit Facilities are included in long-term prepayments, deposits and other assets in the accompanying consolidated balance sheets.</w:t>
      </w:r>
    </w:p>
    <w:p>
      <w:pPr>
        <w:spacing w:after="0" w:line="335" w:lineRule="exact"/>
        <w:rPr>
          <w:sz w:val="20"/>
          <w:szCs w:val="20"/>
          <w:color w:val="auto"/>
        </w:rPr>
      </w:pPr>
    </w:p>
    <w:p>
      <w:pPr>
        <w:ind w:left="1060" w:hanging="424"/>
        <w:spacing w:after="0"/>
        <w:tabs>
          <w:tab w:leader="none" w:pos="10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2012 Studio City Notes</w:t>
      </w:r>
    </w:p>
    <w:p>
      <w:pPr>
        <w:spacing w:after="0" w:line="117"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On November 26, 2012, Studio City Finance Limited (“Studio City Finance”), a subsidiary of the Company, issued $825,000 in aggregate principal amount of 8.5% senior notes due 2020 and priced at 100% (the “2012 Studio City Notes”). Studio City Finance used the net proceeds from the offering to fund the Studio City project with conditions and sequence for disbursements in accordance with an agreement. On December 31, 2018, Studio City Finance partially redeemed the 2012 Studio City Notes in aggregate principal amount of $400,000 at a price of 100%, together with accrued interest. The Group recorded a loss on extinguishment of debt of $2,489 during the year ended December 31, 2018 in connection with this redemption.</w:t>
      </w:r>
    </w:p>
    <w:p>
      <w:pPr>
        <w:spacing w:after="0" w:line="85"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On January 22, 2019, Studio City Finance initiated a conditional tender offer to purchase the outstanding balance of 2012 Studio City Notes in aggregate principal amount of $425,000, with $216,534 aggregated principal amount of 2012 Studio City Notes tendered on February 4, 2019, and the remaining outstanding 2012 Studio City Notes in aggregate principal amount of $208,466 were redeemed in full on March 13, 2019. Further details are disclosed in Note 16.</w:t>
      </w:r>
    </w:p>
    <w:p>
      <w:pPr>
        <w:spacing w:after="0" w:line="79" w:lineRule="exact"/>
        <w:rPr>
          <w:sz w:val="20"/>
          <w:szCs w:val="20"/>
          <w:color w:val="auto"/>
        </w:rPr>
      </w:pPr>
    </w:p>
    <w:p>
      <w:pPr>
        <w:ind w:left="640" w:right="180"/>
        <w:spacing w:after="0" w:line="264" w:lineRule="auto"/>
        <w:rPr>
          <w:sz w:val="20"/>
          <w:szCs w:val="20"/>
          <w:color w:val="auto"/>
        </w:rPr>
      </w:pPr>
      <w:r>
        <w:rPr>
          <w:rFonts w:ascii="Arial" w:cs="Arial" w:eastAsia="Arial" w:hAnsi="Arial"/>
          <w:sz w:val="18"/>
          <w:szCs w:val="18"/>
          <w:color w:val="auto"/>
        </w:rPr>
        <w:t>The 2012 Studio City Notes would have matured on December 1, 2020 and the interest on the 2012 Studio City Notes was accrued at a rate of 8.5% per annum, payable semi-annually in arrears on June 1 and December 1 of each year. The 2012 Studio City Notes were general obligations of Studio City Finance,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60" w:hanging="424"/>
        <w:spacing w:after="0"/>
        <w:tabs>
          <w:tab w:leader="none" w:pos="10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2012 Studio City Notes </w:t>
      </w:r>
      <w:r>
        <w:rPr>
          <w:rFonts w:ascii="Arial" w:cs="Arial" w:eastAsia="Arial" w:hAnsi="Arial"/>
          <w:sz w:val="18"/>
          <w:szCs w:val="18"/>
          <w:color w:val="auto"/>
        </w:rPr>
        <w:t>- continued</w:t>
      </w:r>
    </w:p>
    <w:p>
      <w:pPr>
        <w:spacing w:after="0" w:line="131" w:lineRule="exact"/>
        <w:rPr>
          <w:sz w:val="20"/>
          <w:szCs w:val="20"/>
          <w:color w:val="auto"/>
        </w:rPr>
      </w:pPr>
    </w:p>
    <w:p>
      <w:pPr>
        <w:ind w:left="640" w:right="80"/>
        <w:spacing w:after="0" w:line="257" w:lineRule="auto"/>
        <w:rPr>
          <w:sz w:val="20"/>
          <w:szCs w:val="20"/>
          <w:color w:val="auto"/>
        </w:rPr>
      </w:pPr>
      <w:r>
        <w:rPr>
          <w:rFonts w:ascii="Arial" w:cs="Arial" w:eastAsia="Arial" w:hAnsi="Arial"/>
          <w:sz w:val="18"/>
          <w:szCs w:val="18"/>
          <w:color w:val="auto"/>
        </w:rPr>
        <w:t>secured by a first-priority security interest in certain specified bank accounts incidental to the 2012 Studio City Notes and a pledge of certain intercompany loans as defined under the 2012 Studio City Notes, ranked equally in right of payment to all existing and future senior indebtedness of Studio City Finance and ranked senior in right of payment to any existing and future subordinated indebtedness of Studio City Finance. The 2012 Studio City Notes were effectively subordinated to all of Studio City Finance’s existing and future secured indebtedness to the extent of the value of the property and assets securing such indebtedness.</w:t>
      </w:r>
    </w:p>
    <w:p>
      <w:pPr>
        <w:spacing w:after="0" w:line="80" w:lineRule="exact"/>
        <w:rPr>
          <w:sz w:val="20"/>
          <w:szCs w:val="20"/>
          <w:color w:val="auto"/>
        </w:rPr>
      </w:pPr>
    </w:p>
    <w:p>
      <w:pPr>
        <w:ind w:left="640" w:right="20"/>
        <w:spacing w:after="0" w:line="270" w:lineRule="auto"/>
        <w:rPr>
          <w:sz w:val="20"/>
          <w:szCs w:val="20"/>
          <w:color w:val="auto"/>
        </w:rPr>
      </w:pPr>
      <w:r>
        <w:rPr>
          <w:rFonts w:ascii="Arial" w:cs="Arial" w:eastAsia="Arial" w:hAnsi="Arial"/>
          <w:sz w:val="17"/>
          <w:szCs w:val="17"/>
          <w:color w:val="auto"/>
        </w:rPr>
        <w:t>All of the existing subsidiaries of Studio City Finance and any other future restricted subsidiaries that provided guarantees of certain specified indebtedness (including the 2016 Studio City Credit Facilities (as described below)) (the “2012 Studio City Notes Guarantors”) jointly, severally and unconditionally guaranteed the 2012 Studio City Notes on a senior basis (the “2012 Studio City Notes Guarantees”). The 2012 Studio City Notes Guarantees were general obligations of the 2012 Studio City Notes Guarantors, ranked equally in right of payment with all existing and future senior indebtedness of the 2012 Studio City Notes Guarantors and ranked senior in right of payment to any existing and future subordinated indebtedness of the 2012 Studio City Notes Guarantors. The 2012 Studio City Notes Guarantees were effectively subordinated to the 2012 Studio City Notes Guarantors’ obligations under the 2016 Studio City Credit Facilities and the 2016 Studio City Secured Notes (as described below) and any future secured indebtedness that was secured by property and assets of the 2012 Studio City Notes Guarantors to the extent of the value of such property and assets.</w:t>
      </w:r>
    </w:p>
    <w:p>
      <w:pPr>
        <w:spacing w:after="0" w:line="74" w:lineRule="exact"/>
        <w:rPr>
          <w:sz w:val="20"/>
          <w:szCs w:val="20"/>
          <w:color w:val="auto"/>
        </w:rPr>
      </w:pPr>
    </w:p>
    <w:p>
      <w:pPr>
        <w:jc w:val="both"/>
        <w:ind w:left="640" w:right="20"/>
        <w:spacing w:after="0" w:line="259" w:lineRule="auto"/>
        <w:rPr>
          <w:sz w:val="20"/>
          <w:szCs w:val="20"/>
          <w:color w:val="auto"/>
        </w:rPr>
      </w:pPr>
      <w:r>
        <w:rPr>
          <w:rFonts w:ascii="Arial" w:cs="Arial" w:eastAsia="Arial" w:hAnsi="Arial"/>
          <w:sz w:val="18"/>
          <w:szCs w:val="18"/>
          <w:color w:val="auto"/>
        </w:rPr>
        <w:t>At any time on or after December 1, 2015, Studio City Finance had the option to redeem all or a portion of the 2012 Studio City Notes at any time at fixed redemption prices that declined ratably over time and also had the option to redeem in whole, but not in part the 2012 Studio City Notes at fixed redemption prices under certain circumstances and subject to certain exceptions as more fully described in the indenture governing the 2012 Studio City Notes.</w:t>
      </w:r>
    </w:p>
    <w:p>
      <w:pPr>
        <w:spacing w:after="0" w:line="79" w:lineRule="exact"/>
        <w:rPr>
          <w:sz w:val="20"/>
          <w:szCs w:val="20"/>
          <w:color w:val="auto"/>
        </w:rPr>
      </w:pPr>
    </w:p>
    <w:p>
      <w:pPr>
        <w:ind w:left="640"/>
        <w:spacing w:after="0" w:line="286" w:lineRule="auto"/>
        <w:rPr>
          <w:sz w:val="20"/>
          <w:szCs w:val="20"/>
          <w:color w:val="auto"/>
        </w:rPr>
      </w:pPr>
      <w:r>
        <w:rPr>
          <w:rFonts w:ascii="Arial" w:cs="Arial" w:eastAsia="Arial" w:hAnsi="Arial"/>
          <w:sz w:val="16"/>
          <w:szCs w:val="16"/>
          <w:color w:val="auto"/>
        </w:rPr>
        <w:t>The indenture governing the 2012 Studio City Notes contained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2" w:lineRule="exact"/>
        <w:rPr>
          <w:sz w:val="20"/>
          <w:szCs w:val="20"/>
          <w:color w:val="auto"/>
        </w:rPr>
      </w:pPr>
    </w:p>
    <w:p>
      <w:pPr>
        <w:ind w:left="640" w:right="580" w:firstLine="4"/>
        <w:spacing w:after="0" w:line="261" w:lineRule="auto"/>
        <w:tabs>
          <w:tab w:leader="none" w:pos="10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effect a consolidation or merger. The indenture governing the 2012 Studio City Notes also contained conditions and events of default customary for such financings.</w:t>
      </w:r>
    </w:p>
    <w:p>
      <w:pPr>
        <w:spacing w:after="0" w:line="76" w:lineRule="exact"/>
        <w:rPr>
          <w:sz w:val="20"/>
          <w:szCs w:val="20"/>
          <w:color w:val="auto"/>
        </w:rPr>
      </w:pPr>
    </w:p>
    <w:p>
      <w:pPr>
        <w:ind w:left="640" w:right="140"/>
        <w:spacing w:after="0" w:line="302" w:lineRule="auto"/>
        <w:rPr>
          <w:sz w:val="20"/>
          <w:szCs w:val="20"/>
          <w:color w:val="auto"/>
        </w:rPr>
      </w:pPr>
      <w:r>
        <w:rPr>
          <w:rFonts w:ascii="Arial" w:cs="Arial" w:eastAsia="Arial" w:hAnsi="Arial"/>
          <w:sz w:val="16"/>
          <w:szCs w:val="16"/>
          <w:color w:val="auto"/>
        </w:rPr>
        <w:t>There were provisions under the indenture governing the 2012 Studio City Notes that limited or prohibited certain payments of dividends and other distributions by Studio City Finance and its restricted subsidiaries to companies or persons who were not Studio City Finance or restricted subsidiaries of Studio City Finance, subject to certain exceptions and conditions. As of December 31, 2018, the net assets of Studio City Finance and its restricted subsidiaries of approximately $1,117,000 were restricted from being distributed under the terms of the 2012 Studio City Notes.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 Studio City Secured Notes</w:t>
      </w:r>
    </w:p>
    <w:p>
      <w:pPr>
        <w:spacing w:after="0" w:line="117"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On November 30, 2016, Studio City Company Limited (“Studio City Company”), a subsidiary of the Company, issued $350,000 in aggregate principal amount of 5.875% senior secured notes due 2019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60" w:hanging="424"/>
        <w:spacing w:after="0"/>
        <w:tabs>
          <w:tab w:leader="none" w:pos="10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2016 Studio City Secured Notes </w:t>
      </w:r>
      <w:r>
        <w:rPr>
          <w:rFonts w:ascii="Arial" w:cs="Arial" w:eastAsia="Arial" w:hAnsi="Arial"/>
          <w:sz w:val="18"/>
          <w:szCs w:val="18"/>
          <w:color w:val="auto"/>
        </w:rPr>
        <w:t>- continued</w:t>
      </w:r>
    </w:p>
    <w:p>
      <w:pPr>
        <w:spacing w:after="0" w:line="131" w:lineRule="exact"/>
        <w:rPr>
          <w:sz w:val="20"/>
          <w:szCs w:val="20"/>
          <w:color w:val="auto"/>
        </w:rPr>
      </w:pPr>
    </w:p>
    <w:p>
      <w:pPr>
        <w:ind w:left="640"/>
        <w:spacing w:after="0" w:line="285" w:lineRule="auto"/>
        <w:rPr>
          <w:sz w:val="20"/>
          <w:szCs w:val="20"/>
          <w:color w:val="auto"/>
        </w:rPr>
      </w:pPr>
      <w:r>
        <w:rPr>
          <w:rFonts w:ascii="Arial" w:cs="Arial" w:eastAsia="Arial" w:hAnsi="Arial"/>
          <w:sz w:val="16"/>
          <w:szCs w:val="16"/>
          <w:color w:val="auto"/>
        </w:rPr>
        <w:t>priced at 100% (the “2016 5.875% SC Secured Notes”) and $850,000 in aggregate principal amount of 7.250% senior secured notes due 2021 and priced at 100% (the “2016 7.250% SC Secured Notes” and together with the 2016 5.875% SC Secured Notes, the “2016 Studio City Secured Notes”). The Group used the net proceeds from the offering, together with cash on hand, to fund the repayment of the Group’s prior senior secured credit facilities. The 2016 5.875% SC Secured Notes and 2016 7.250% SC Secured Notes mature on November 30, 2019 and November 30, 2021, respectively, and the interest on the 2016 5.875% SC Secured Notes and 2016 7.250% SC Secured Notes is accrued at a rate of 5.875% and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7.250% per annum, respectively, and is payable semi-annually in arrears on May 30 and November 30 of each year, commenced on May 30, 2017.</w:t>
      </w:r>
    </w:p>
    <w:p>
      <w:pPr>
        <w:spacing w:after="0" w:line="126"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The 2016 Studio City Secured Notes are senior secured obligations of Studio City Company, rank equally in right of payment with all existing and future senior indebtedness of Studio City Company (although any liabilities in respect of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2016 Studio City Secured Notes, to the extent of the assets securing such indebtedness.</w:t>
      </w:r>
    </w:p>
    <w:p>
      <w:pPr>
        <w:spacing w:after="0" w:line="81" w:lineRule="exact"/>
        <w:rPr>
          <w:sz w:val="20"/>
          <w:szCs w:val="20"/>
          <w:color w:val="auto"/>
        </w:rPr>
      </w:pPr>
    </w:p>
    <w:p>
      <w:pPr>
        <w:ind w:left="640" w:right="20"/>
        <w:spacing w:after="0" w:line="270" w:lineRule="auto"/>
        <w:rPr>
          <w:sz w:val="20"/>
          <w:szCs w:val="20"/>
          <w:color w:val="auto"/>
        </w:rPr>
      </w:pPr>
      <w:r>
        <w:rPr>
          <w:rFonts w:ascii="Arial" w:cs="Arial" w:eastAsia="Arial" w:hAnsi="Arial"/>
          <w:sz w:val="17"/>
          <w:szCs w:val="17"/>
          <w:color w:val="auto"/>
        </w:rPr>
        <w:t>All of the existing subsidiaries of Studio City Investments Limited (“Studio City Investments”), the shareholder of the Studio City Company, (other than Studio City Company) and any other future restricted subsidiaries that provide guarantees of certain specified indebtedness (including the 2016 Studio City Credit Facilities) (the “2016 Studio City Secured Notes Guarantors”) jointly, severally and unconditionally guarantee the 2016 Studio City Secured Notes on a senior basis (the “2016 Studio City Secured Notes Guarantees”). The 2016 Studio City Secured Notes Guarantees are senior obligations of the 2016 Studio City Secured Notes Guarantors, rank equally in right of payment with all existing and future senior indebtedness of the 2016 Studio City Secured Notes Guarantors and rank senior in right of payment to any existing and future subordinated indebtedness of the 2016 Studio City Secured Notes Guarantors. The 2016 Studio City Secured Notes Guarantees are pari passu to the 2016 Studio City Secured Notes Guarantors’ obligations under the 2016 Studio City Credit Facilities, and effectively subordinated to any future secured indebtedness that is secured by assets that do not secure the 2016 Studio City Secured Notes and the 2016 Studio City Secured Notes Guarantees, to the extent of the value of the assets.</w:t>
      </w:r>
    </w:p>
    <w:p>
      <w:pPr>
        <w:spacing w:after="0" w:line="70" w:lineRule="exact"/>
        <w:rPr>
          <w:sz w:val="20"/>
          <w:szCs w:val="20"/>
          <w:color w:val="auto"/>
        </w:rPr>
      </w:pPr>
    </w:p>
    <w:p>
      <w:pPr>
        <w:ind w:left="640" w:right="100"/>
        <w:spacing w:after="0" w:line="271" w:lineRule="auto"/>
        <w:rPr>
          <w:sz w:val="20"/>
          <w:szCs w:val="20"/>
          <w:color w:val="auto"/>
        </w:rPr>
      </w:pPr>
      <w:r>
        <w:rPr>
          <w:rFonts w:ascii="Arial" w:cs="Arial" w:eastAsia="Arial" w:hAnsi="Arial"/>
          <w:sz w:val="17"/>
          <w:szCs w:val="17"/>
          <w:color w:val="auto"/>
        </w:rPr>
        <w:t>The 2016 Studio City Secured Notes are secured, on an equal basis with the 2016 Studio City Credit Facilities, by substantially all of the material assets of Studio City Investments and its subsidiaries (although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 The common collateral (shared with the 2016 Studio City Credit Facilities) includes a first-priority mortgage over any rights under the land concession contract of Studio City and an assignment of certain leases or rights to use agreements; as well as other customary security. Each series of the 2016 Studio City Secured Notes is secured by the common collateral and, in addition, certain bank accounts (together with the common collateral, the “Collateral”). All bank accounts of Melco Resorts Macau related solely to the operations of the Studio City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60" w:hanging="424"/>
        <w:spacing w:after="0"/>
        <w:tabs>
          <w:tab w:leader="none" w:pos="10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2016 Studio City Secured Notes </w:t>
      </w:r>
      <w:r>
        <w:rPr>
          <w:rFonts w:ascii="Arial" w:cs="Arial" w:eastAsia="Arial" w:hAnsi="Arial"/>
          <w:sz w:val="18"/>
          <w:szCs w:val="18"/>
          <w:color w:val="auto"/>
        </w:rPr>
        <w:t>- continued</w:t>
      </w:r>
    </w:p>
    <w:p>
      <w:pPr>
        <w:spacing w:after="0" w:line="13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color w:val="auto"/>
        </w:rPr>
        <w:t>Casino are pledged under 2016 Studio City Credit Facilities and related finance documents. In addition, the 2016 Studio City Secured Notes are also separately secured by certain specified bank accounts.</w:t>
      </w:r>
    </w:p>
    <w:p>
      <w:pPr>
        <w:spacing w:after="0" w:line="62" w:lineRule="exact"/>
        <w:rPr>
          <w:sz w:val="20"/>
          <w:szCs w:val="20"/>
          <w:color w:val="auto"/>
        </w:rPr>
      </w:pPr>
    </w:p>
    <w:p>
      <w:pPr>
        <w:ind w:left="640" w:right="20"/>
        <w:spacing w:after="0" w:line="253" w:lineRule="auto"/>
        <w:rPr>
          <w:sz w:val="20"/>
          <w:szCs w:val="20"/>
          <w:color w:val="auto"/>
        </w:rPr>
      </w:pPr>
      <w:r>
        <w:rPr>
          <w:rFonts w:ascii="Arial" w:cs="Arial" w:eastAsia="Arial" w:hAnsi="Arial"/>
          <w:sz w:val="18"/>
          <w:szCs w:val="18"/>
          <w:color w:val="auto"/>
        </w:rPr>
        <w:t>At any time prior to November 30, 2018, Studio City Company had the options i) to redeem all or a portion of the 2016 7.250% SC Secured Notes at a “make-whole” redemption price; and ii) to redeem up to 35% of the 2016 7.250% SC Secured Notes with the net cash proceeds of certain equity offerings at a fixed redemption price. Thereafter, Studio City Company has the option to redeem all or a portion of the 2016 7.250% SC Secured Notes at any time at fixed redemption prices that decline ratably over time. At any time prior to November 30, 2019, Studio City Company has the options i) to redeem all or a portion of the 2016 5.875% SC Secured Notes at a “make-whole” redemption price; and ii) to redeem up to 35% of the 2016 5.875% SC Secured Notes with the net cash proceeds of certain equity offerings at a fixed redemption price. Further, under certain circumstances and subject to certain exceptions as more fully described in the indenture governing the 2016 Studio City Secured Notes, Studio City Company also has the option to redeem in whole, but not in part the 2016 Studio City Secured Notes at fixed redemption prices.</w:t>
      </w:r>
    </w:p>
    <w:p>
      <w:pPr>
        <w:spacing w:after="0" w:line="89" w:lineRule="exact"/>
        <w:rPr>
          <w:sz w:val="20"/>
          <w:szCs w:val="20"/>
          <w:color w:val="auto"/>
        </w:rPr>
      </w:pPr>
    </w:p>
    <w:p>
      <w:pPr>
        <w:ind w:left="640"/>
        <w:spacing w:after="0" w:line="302" w:lineRule="auto"/>
        <w:rPr>
          <w:sz w:val="20"/>
          <w:szCs w:val="20"/>
          <w:color w:val="auto"/>
        </w:rPr>
      </w:pPr>
      <w:r>
        <w:rPr>
          <w:rFonts w:ascii="Arial" w:cs="Arial" w:eastAsia="Arial" w:hAnsi="Arial"/>
          <w:sz w:val="16"/>
          <w:szCs w:val="16"/>
          <w:color w:val="auto"/>
        </w:rPr>
        <w:t>In the event that the 2012 Studio City Notes were not refinanced or repaid in full by June 1, 2020 in accordance with the terms of the 2016 7.250% SC Secured Notes (and in the case of a refinancing, with refinancing indebtedness with a weighted average life to maturity no earlier than 90 days after the stated maturity date of the 2016 7.250% SC Secured Notes), each holder of the 2016 7.250% SC Secured Notes would have the right to require Studio City Company to repurchase all or any part of such holder’s 2016 7.250% SC Secured Notes at a fixed redemption price.</w:t>
      </w:r>
    </w:p>
    <w:p>
      <w:pPr>
        <w:spacing w:after="0" w:line="46" w:lineRule="exact"/>
        <w:rPr>
          <w:sz w:val="20"/>
          <w:szCs w:val="20"/>
          <w:color w:val="auto"/>
        </w:rPr>
      </w:pPr>
    </w:p>
    <w:p>
      <w:pPr>
        <w:ind w:left="640" w:right="160"/>
        <w:spacing w:after="0" w:line="285" w:lineRule="auto"/>
        <w:rPr>
          <w:sz w:val="20"/>
          <w:szCs w:val="20"/>
          <w:color w:val="auto"/>
        </w:rPr>
      </w:pPr>
      <w:r>
        <w:rPr>
          <w:rFonts w:ascii="Arial" w:cs="Arial" w:eastAsia="Arial" w:hAnsi="Arial"/>
          <w:sz w:val="16"/>
          <w:szCs w:val="16"/>
          <w:color w:val="auto"/>
        </w:rPr>
        <w:t>The indenture governing the 2016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 (iv) issue or sell capital stock; (v) transfer, lease or sell assets; (vi) create or incur certain liens;</w:t>
      </w:r>
    </w:p>
    <w:p>
      <w:pPr>
        <w:spacing w:after="0" w:line="2" w:lineRule="exact"/>
        <w:rPr>
          <w:sz w:val="20"/>
          <w:szCs w:val="20"/>
          <w:color w:val="auto"/>
        </w:rPr>
      </w:pPr>
    </w:p>
    <w:p>
      <w:pPr>
        <w:ind w:left="640" w:right="340" w:firstLine="4"/>
        <w:spacing w:after="0" w:line="254" w:lineRule="auto"/>
        <w:tabs>
          <w:tab w:leader="none" w:pos="9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2016 Studio City Secured Notes also contains conditions and events of default customary for such financings.</w:t>
      </w:r>
    </w:p>
    <w:p>
      <w:pPr>
        <w:spacing w:after="0" w:line="82" w:lineRule="exact"/>
        <w:rPr>
          <w:sz w:val="20"/>
          <w:szCs w:val="20"/>
          <w:color w:val="auto"/>
        </w:rPr>
      </w:pPr>
    </w:p>
    <w:p>
      <w:pPr>
        <w:ind w:left="640" w:right="120"/>
        <w:spacing w:after="0" w:line="276" w:lineRule="auto"/>
        <w:rPr>
          <w:sz w:val="20"/>
          <w:szCs w:val="20"/>
          <w:color w:val="auto"/>
        </w:rPr>
      </w:pPr>
      <w:r>
        <w:rPr>
          <w:rFonts w:ascii="Arial" w:cs="Arial" w:eastAsia="Arial" w:hAnsi="Arial"/>
          <w:sz w:val="17"/>
          <w:szCs w:val="17"/>
          <w:color w:val="auto"/>
        </w:rPr>
        <w:t>There are provisions under the indenture governing the 2016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2018, the net assets of Studio City Investments and its restricted subsidiaries of approximately $1,044,000 were restricted from being distributed under the terms of the 2016 Studio City Secured Notes.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60" w:hanging="424"/>
        <w:spacing w:after="0"/>
        <w:tabs>
          <w:tab w:leader="none" w:pos="10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 Studio City Credit Facilities</w:t>
      </w:r>
    </w:p>
    <w:p>
      <w:pPr>
        <w:spacing w:after="0" w:line="117" w:lineRule="exact"/>
        <w:rPr>
          <w:sz w:val="20"/>
          <w:szCs w:val="20"/>
          <w:color w:val="auto"/>
        </w:rPr>
      </w:pPr>
    </w:p>
    <w:p>
      <w:pPr>
        <w:ind w:left="640" w:right="60"/>
        <w:spacing w:after="0" w:line="290" w:lineRule="auto"/>
        <w:rPr>
          <w:sz w:val="20"/>
          <w:szCs w:val="20"/>
          <w:color w:val="auto"/>
        </w:rPr>
      </w:pPr>
      <w:r>
        <w:rPr>
          <w:rFonts w:ascii="Arial" w:cs="Arial" w:eastAsia="Arial" w:hAnsi="Arial"/>
          <w:sz w:val="16"/>
          <w:szCs w:val="16"/>
          <w:color w:val="auto"/>
        </w:rPr>
        <w:t>On November 30, 2016, Studio City Company (the “Studio City Borrower”), a subsidiary of the Company, amended and restated the Studio City Borrower’s prior senior secured credit facilities agreement from HK$10,855,880,000 (equivalent to $1,395,357) to HK$234,000,000 (equivalent to $30,077) senior secured credit facilities agreement (the “2016 Studio City Credit Facilities”), comprising a HK$1,000,000 (equivalent to $129) term loan facility (the “2016 SC Term Loan Facility”) and a HK$233,000,000 (equivalent to $29,948) revolving credit facility (the “2016 SC Revolving Credit Facility”). Accordingly, the Group recorded a loss on extinguishment of debt of $17,435 and costs associated with debt modification of $8,101 during the year ended December 31, 2016 in connection with such amendments. As of December 31, 2018, the 2016 SC Term Loan Facility had been fully drawn down with an outstanding amount of HK$1,000,000 (equivalent to $128), and the entire 2016 SC Revolving Credit Facility of HK$233,000,000 (equivalent to $29,752) remains available for future drawdown as of December 31, 2018.</w:t>
      </w:r>
    </w:p>
    <w:p>
      <w:pPr>
        <w:spacing w:after="0" w:line="58" w:lineRule="exact"/>
        <w:rPr>
          <w:sz w:val="20"/>
          <w:szCs w:val="20"/>
          <w:color w:val="auto"/>
        </w:rPr>
      </w:pPr>
    </w:p>
    <w:p>
      <w:pPr>
        <w:ind w:left="640"/>
        <w:spacing w:after="0" w:line="269" w:lineRule="auto"/>
        <w:rPr>
          <w:sz w:val="20"/>
          <w:szCs w:val="20"/>
          <w:color w:val="auto"/>
        </w:rPr>
      </w:pPr>
      <w:r>
        <w:rPr>
          <w:rFonts w:ascii="Arial" w:cs="Arial" w:eastAsia="Arial" w:hAnsi="Arial"/>
          <w:sz w:val="17"/>
          <w:szCs w:val="17"/>
          <w:color w:val="auto"/>
        </w:rPr>
        <w:t>The 2016 SC Term Loan Facility and the 2016 SC Revolving Credit Facility mature on November 30, 2021 (December 1, 2021 Hong Kong time). The 2016 SC Term Loan Facility has to be repaid at maturity with no interim amortization payments. The 2016 SC Revolving Credit Facility is available from January 1, 2017 up to the date that is one month prior to the 2016 SC Revolving Credit Facility’s final maturity date. The 2016 SC Term Loan Facility is collateralized by cash collateral equal to HK$1,012,500 (equivalent to $129) (representing the principal amount of the 2016 SC Term Loan Facility plus expected interest expense in respect of the 2016 SC Term Loan Facility for one financial quarter).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2016 Studio City Credit Facilities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spacing w:after="0" w:line="75" w:lineRule="exact"/>
        <w:rPr>
          <w:sz w:val="20"/>
          <w:szCs w:val="20"/>
          <w:color w:val="auto"/>
        </w:rPr>
      </w:pPr>
    </w:p>
    <w:p>
      <w:pPr>
        <w:ind w:left="640" w:right="60"/>
        <w:spacing w:after="0" w:line="270" w:lineRule="auto"/>
        <w:rPr>
          <w:sz w:val="20"/>
          <w:szCs w:val="20"/>
          <w:color w:val="auto"/>
        </w:rPr>
      </w:pPr>
      <w:r>
        <w:rPr>
          <w:rFonts w:ascii="Arial" w:cs="Arial" w:eastAsia="Arial" w:hAnsi="Arial"/>
          <w:sz w:val="17"/>
          <w:szCs w:val="17"/>
          <w:color w:val="auto"/>
        </w:rPr>
        <w:t>The indebtedness under the 2016 Studio City Credit Facilities is guaranteed by Studio City Investments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equivalent to those contained in the 2016 Studio City Secured Notes. All bank accounts of Melco Resorts Macau related solely to the operations of the Studio City Casino are pledged under 2016 Studio City Credit Facilities and related finance documents. The 2016 Studio City Credit Facilities are secured, on an equal basis with the 2016 Studio City Secured Notes, by substantially all of the material assets of Studio City Investments and its subsidiaries (although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w:t>
      </w:r>
    </w:p>
    <w:p>
      <w:pPr>
        <w:spacing w:after="0" w:line="70"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The 2016 Studio City Credit Facilities contain certain covenants that, subject to certain exceptions and conditions, limit the ability of Studio City Company, Studio City Investments and their respective restricted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31" w:lineRule="exact"/>
        <w:rPr>
          <w:sz w:val="20"/>
          <w:szCs w:val="20"/>
          <w:color w:val="auto"/>
        </w:rPr>
      </w:pPr>
    </w:p>
    <w:p>
      <w:pPr>
        <w:ind w:left="1060" w:hanging="424"/>
        <w:spacing w:after="0"/>
        <w:tabs>
          <w:tab w:leader="none" w:pos="10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2016 Studio City Credit Facilities </w:t>
      </w:r>
      <w:r>
        <w:rPr>
          <w:rFonts w:ascii="Arial" w:cs="Arial" w:eastAsia="Arial" w:hAnsi="Arial"/>
          <w:sz w:val="18"/>
          <w:szCs w:val="18"/>
          <w:color w:val="auto"/>
        </w:rPr>
        <w:t>- continued</w:t>
      </w:r>
    </w:p>
    <w:p>
      <w:pPr>
        <w:spacing w:after="0" w:line="131" w:lineRule="exact"/>
        <w:rPr>
          <w:sz w:val="20"/>
          <w:szCs w:val="20"/>
          <w:color w:val="auto"/>
        </w:rPr>
      </w:pPr>
    </w:p>
    <w:p>
      <w:pPr>
        <w:ind w:left="640" w:right="40"/>
        <w:spacing w:after="0" w:line="272" w:lineRule="auto"/>
        <w:rPr>
          <w:sz w:val="20"/>
          <w:szCs w:val="20"/>
          <w:color w:val="auto"/>
        </w:rPr>
      </w:pPr>
      <w:r>
        <w:rPr>
          <w:rFonts w:ascii="Arial" w:cs="Arial" w:eastAsia="Arial" w:hAnsi="Arial"/>
          <w:sz w:val="17"/>
          <w:szCs w:val="17"/>
          <w:color w:val="auto"/>
        </w:rPr>
        <w:t>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 (iv) issue or sell capital stock; (v) transfer, lease or sell assets; (vi) create or incur certain liens; (vii) impair the security interests in the Collateral as defined below;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2016 Studio City Credit Facilities also contains conditions and events of default customary for such financings.</w:t>
      </w:r>
    </w:p>
    <w:p>
      <w:pPr>
        <w:spacing w:after="0" w:line="70"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color w:val="auto"/>
        </w:rPr>
        <w:t>There are provisions that limit certain payments of dividends and other distributions by the 2016 Studio City Borrowing Group to companies or persons who are not members of the 2016 Studio City Borrowing Group. As of December 31, 2018, the net assets of Studio City Investments and its restricted subsidiaries of approximately $1,044,000 were restricted from being distributed under the terms of the 2016 Studio City Credit Facilities.</w:t>
      </w:r>
    </w:p>
    <w:p>
      <w:pPr>
        <w:spacing w:after="0" w:line="79" w:lineRule="exact"/>
        <w:rPr>
          <w:sz w:val="20"/>
          <w:szCs w:val="20"/>
          <w:color w:val="auto"/>
        </w:rPr>
      </w:pPr>
    </w:p>
    <w:p>
      <w:pPr>
        <w:jc w:val="both"/>
        <w:ind w:left="640" w:right="180"/>
        <w:spacing w:after="0" w:line="257" w:lineRule="auto"/>
        <w:rPr>
          <w:sz w:val="20"/>
          <w:szCs w:val="20"/>
          <w:color w:val="auto"/>
        </w:rPr>
      </w:pPr>
      <w:r>
        <w:rPr>
          <w:rFonts w:ascii="Arial" w:cs="Arial" w:eastAsia="Arial" w:hAnsi="Arial"/>
          <w:sz w:val="18"/>
          <w:szCs w:val="18"/>
          <w:color w:val="auto"/>
        </w:rPr>
        <w:t>Borrowings under the 2016 Studio City Credit Facilities bear interest at HIBOR plus a margin of 4% per annum. The Studio City Borrower may select an interest period for borrowings under the 2016 Studio City Credit Facilities ranging from one to six months or any other agreed period. The Studio City Borrower is obligated to pay a commitment fee from January 1, 2017 on the undrawn amount of the 2016 SC Revolving Credit Facility and recognized loan commitment fees on the 2016 SC Revolving Credit Facility of $419 and $419 during the years ended December 31, 2018 and 2017, respectively.</w:t>
      </w:r>
    </w:p>
    <w:p>
      <w:pPr>
        <w:spacing w:after="0" w:line="90" w:lineRule="exact"/>
        <w:rPr>
          <w:sz w:val="20"/>
          <w:szCs w:val="20"/>
          <w:color w:val="auto"/>
        </w:rPr>
      </w:pPr>
    </w:p>
    <w:p>
      <w:pPr>
        <w:ind w:left="1060" w:hanging="424"/>
        <w:spacing w:after="0"/>
        <w:tabs>
          <w:tab w:leader="none" w:pos="10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Rates and Scheduled Maturities of Long-term Debt</w:t>
      </w:r>
    </w:p>
    <w:p>
      <w:pPr>
        <w:spacing w:after="0" w:line="12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color w:val="auto"/>
        </w:rPr>
        <w:t>During the years ended December 31, 2018, 2017 and 2016, the Group’s average borrowing rates were approximately 7.50%, 7.52% and 6.33% per annum,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Scheduled maturities of the long-term debt (excluding unamortized deferred financing costs) as of December 31, 2018 are as follows: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2019</w:t>
            </w:r>
          </w:p>
        </w:tc>
        <w:tc>
          <w:tcPr>
            <w:tcW w:w="6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850,128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6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1,625,128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80" w:type="dxa"/>
            <w:vAlign w:val="bottom"/>
            <w:gridSpan w:val="2"/>
          </w:tcPr>
          <w:p>
            <w:pPr>
              <w:jc w:val="right"/>
              <w:ind w:right="4350"/>
              <w:spacing w:after="0"/>
              <w:rPr>
                <w:sz w:val="20"/>
                <w:szCs w:val="20"/>
                <w:color w:val="auto"/>
              </w:rPr>
            </w:pPr>
            <w:r>
              <w:rPr>
                <w:rFonts w:ascii="Arial" w:cs="Arial" w:eastAsia="Arial" w:hAnsi="Arial"/>
                <w:sz w:val="18"/>
                <w:szCs w:val="18"/>
                <w:color w:val="auto"/>
              </w:rPr>
              <w:t>F-28</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6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86"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30" w:lineRule="exact"/>
        <w:rPr>
          <w:rFonts w:ascii="Arial" w:cs="Arial" w:eastAsia="Arial" w:hAnsi="Arial"/>
          <w:sz w:val="18"/>
          <w:szCs w:val="18"/>
          <w:color w:val="auto"/>
        </w:rPr>
      </w:pPr>
    </w:p>
    <w:p>
      <w:pPr>
        <w:ind w:left="1060" w:right="60" w:hanging="424"/>
        <w:spacing w:after="0" w:line="286" w:lineRule="auto"/>
        <w:tabs>
          <w:tab w:leader="none" w:pos="10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1060" w:right="20" w:hanging="424"/>
        <w:spacing w:after="0" w:line="264" w:lineRule="auto"/>
        <w:tabs>
          <w:tab w:leader="none" w:pos="10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3" w:lineRule="exact"/>
        <w:rPr>
          <w:sz w:val="20"/>
          <w:szCs w:val="20"/>
          <w:color w:val="auto"/>
        </w:rPr>
      </w:pPr>
    </w:p>
    <w:p>
      <w:pPr>
        <w:ind w:left="640" w:right="40"/>
        <w:spacing w:after="0" w:line="253" w:lineRule="auto"/>
        <w:rPr>
          <w:sz w:val="20"/>
          <w:szCs w:val="20"/>
          <w:color w:val="auto"/>
        </w:rPr>
      </w:pPr>
      <w:r>
        <w:rPr>
          <w:rFonts w:ascii="Arial" w:cs="Arial" w:eastAsia="Arial" w:hAnsi="Arial"/>
          <w:sz w:val="18"/>
          <w:szCs w:val="18"/>
          <w:color w:val="auto"/>
        </w:rPr>
        <w:t>The carrying values of cash and cash equivalents, bank deposits with original maturities over three months and restricted cash approximated fair value and were classified as level 1 in the fair value hierarchy. The carrying values of long-term deposits and other long-term liabilities approximated fair value and were classified as level 2 in the fair value hierarchy. The estimated fair value of long-term debt as of December 31, 2018 and 2017, which included the 2012 Studio City Notes, the 2016 Studio City Secured Notes and the 2016 Studio City Credit Facilities, were approximately $1,648,050 and $2,108,138, respectively, as compared to its carrying value, excluding unamortized deferred financing costs, of $1,625,128 and $2,025,129, respectively. Fair values were estimated using quoted market prices and were classified as level 1 in the fair value hierarchy for the 2012 Studio City Notes and the 2016 Studio City Secured Notes. Fair value for the 2016 Studio City Credit Facilities approximated the carrying value as the instrument carried variable interest rates approximated the market rates and was classified as level 2 in the fair value hierarchy.</w:t>
      </w:r>
    </w:p>
    <w:p>
      <w:pPr>
        <w:spacing w:after="0" w:line="8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As of December 31, 2018 and 2017, the Group did not have any non-financial assets or liabilities that were recognized or disclosed at fair value in the consolidated financial statements.</w:t>
      </w:r>
    </w:p>
    <w:p>
      <w:pPr>
        <w:spacing w:after="0" w:line="315"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121" w:lineRule="exact"/>
        <w:rPr>
          <w:rFonts w:ascii="Arial" w:cs="Arial" w:eastAsia="Arial" w:hAnsi="Arial"/>
          <w:sz w:val="18"/>
          <w:szCs w:val="18"/>
          <w:b w:val="1"/>
          <w:bCs w:val="1"/>
          <w:color w:val="auto"/>
        </w:rPr>
      </w:pPr>
    </w:p>
    <w:p>
      <w:pPr>
        <w:ind w:left="64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Company’s authorized share capital was 200,000 shares of $1 par value per share and 18,127.94 ordinary shares were issued and fully paid.</w:t>
      </w:r>
    </w:p>
    <w:p>
      <w:pPr>
        <w:spacing w:after="0" w:line="62" w:lineRule="exact"/>
        <w:rPr>
          <w:rFonts w:ascii="Arial" w:cs="Arial" w:eastAsia="Arial" w:hAnsi="Arial"/>
          <w:sz w:val="18"/>
          <w:szCs w:val="18"/>
          <w:b w:val="1"/>
          <w:bCs w:val="1"/>
          <w:color w:val="auto"/>
        </w:rPr>
      </w:pPr>
    </w:p>
    <w:p>
      <w:pPr>
        <w:ind w:left="6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October 2018, in connection with the Organizational Transactions, the Company amended and restated the memorandum and articles of association to, among other things, authorized two classes of ordinary shares, the Class A ordinary shares and the Class B ordinary shares, in each case with a par value of US$0.0001 each. The Company’s authorized share capital of $200 was divided into 2,000,000,000 shares comprising of 1,927,488,240 Class A ordinary shares and 72,511,760 Class B ordinary shares of a par value of $0.0001 each. The 60% equity interest in the Company held directly by MCO Cotai prior to the Organizational Transactions was reclassified into 108,767,640 Class A ordinary shares while the 40% equity interest in the Company held directly by New Cotai prior to the Organizational Transactions was exchanged for 72,511,760 Class B ordinary shares.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80"/>
          </w:cols>
          <w:pgMar w:left="240" w:top="460"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Each Class A ordinary share and each Class B ordinary share entitles its holder to one vote on all matters to be voted on by shareholders generally and holders of Class A ordinary shares and Class B ordinary shares will vote together as a single class on all matters presented to the shareholders for their vote or approval, except as otherwise required by applicable law or the memorandum of association and articles of association. The Class A ordinary shares and the Class B ordinary shares have the same rights, except that holders of the Class B ordinary shares only have voting and no economic rights to receive dividends or distribution upon the liquidation or winding up of the Company. In addition, pursuant to the terms of the Participation Agreement, New Cotai has a non-voting, non-shareholding economic Participation Interest in MSC Cotai, which entitles New Cotai to receive from MSC Cotai an amount equal to a certain percentage of the MSC Cotai’s Distribution, subject to adjustments, exceptions and conditions as set out in the Participation Agreement.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canceled for no consideration as set out in the Participation Agreement when New Cotai exchanges all or a portion of the Participation Interest for Class A ordinary shares.</w:t>
      </w:r>
    </w:p>
    <w:p>
      <w:pPr>
        <w:spacing w:after="0" w:line="71" w:lineRule="exact"/>
        <w:rPr>
          <w:rFonts w:ascii="Arial" w:cs="Arial" w:eastAsia="Arial" w:hAnsi="Arial"/>
          <w:sz w:val="18"/>
          <w:szCs w:val="18"/>
          <w:b w:val="1"/>
          <w:bCs w:val="1"/>
          <w:color w:val="auto"/>
        </w:rPr>
      </w:pPr>
    </w:p>
    <w:p>
      <w:pPr>
        <w:ind w:left="64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October 22, 2018, the Company completed the Offering of 28,750,000 ADSs, representing 115,000,000 Class A ordinary shares, and together with the concurrent private placement of 800,376 Class A ordinary shares to Melco International to effect an assured entitlement distribution, a total of 115,800,376 Class A ordinary shares were issued with gross proceeds amounting to $361,876 and offering expenses of $16,573.</w:t>
      </w:r>
    </w:p>
    <w:p>
      <w:pPr>
        <w:spacing w:after="0" w:line="38" w:lineRule="exact"/>
        <w:rPr>
          <w:rFonts w:ascii="Arial" w:cs="Arial" w:eastAsia="Arial" w:hAnsi="Arial"/>
          <w:sz w:val="18"/>
          <w:szCs w:val="18"/>
          <w:b w:val="1"/>
          <w:bCs w:val="1"/>
          <w:color w:val="auto"/>
        </w:rPr>
      </w:pPr>
    </w:p>
    <w:p>
      <w:pPr>
        <w:ind w:left="640" w:right="7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November 19, 2018, pursuant to the full exercise by the underwriters of the over-allotment option, the Company issued an additional 4,312,500 ADSs, representing 17,250,000 Class A ordinary shares with gross proceeds amounting to $53,906.</w:t>
      </w:r>
    </w:p>
    <w:p>
      <w:pPr>
        <w:spacing w:after="0" w:line="3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2018, the Company had 241,818,016 Class A ordinary shares and 72,511,760 Class B ordinary shares issued and outstanding.</w:t>
      </w:r>
    </w:p>
    <w:p>
      <w:pPr>
        <w:spacing w:after="0" w:line="140" w:lineRule="exact"/>
        <w:rPr>
          <w:rFonts w:ascii="Arial" w:cs="Arial" w:eastAsia="Arial" w:hAnsi="Arial"/>
          <w:sz w:val="18"/>
          <w:szCs w:val="18"/>
          <w:b w:val="1"/>
          <w:bCs w:val="1"/>
          <w:color w:val="auto"/>
        </w:rPr>
      </w:pPr>
    </w:p>
    <w:p>
      <w:pPr>
        <w:ind w:left="64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preparation of the accompanying consolidated financial statements, the Company has retrospectively presented the share capital as if the Organizational Transactions had occurred at the beginning of the earliest period presented. Such retrospective presentation reflects the redesignation of the then issued 18,127.94 ordinary shares of $1 par value each into 181,279,400 Class A ordinary shares of $0.0001 par value each. Further information is included in Note 2(s).</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Loss before income tax consisted of:</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88"/>
              </w:rPr>
              <w:t>Year Ended December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137,918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Hong Kong and other jurisdictions operations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w w:val="88"/>
              </w:rPr>
              <w:t>(158,119)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(159,877)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(191,332)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(20,201)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(242,315)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300" w:type="dxa"/>
            <w:vAlign w:val="bottom"/>
            <w:gridSpan w:val="2"/>
          </w:tcPr>
          <w:p>
            <w:pPr>
              <w:jc w:val="right"/>
              <w:ind w:right="1865"/>
              <w:spacing w:after="0"/>
              <w:rPr>
                <w:sz w:val="20"/>
                <w:szCs w:val="20"/>
                <w:color w:val="auto"/>
              </w:rPr>
            </w:pPr>
            <w:r>
              <w:rPr>
                <w:rFonts w:ascii="Arial" w:cs="Arial" w:eastAsia="Arial" w:hAnsi="Arial"/>
                <w:sz w:val="18"/>
                <w:szCs w:val="18"/>
                <w:color w:val="auto"/>
              </w:rPr>
              <w:t>F-30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10.</w:t>
        <w:tab/>
        <w:t xml:space="preserve">INCOME TAXES </w:t>
      </w:r>
      <w:r>
        <w:rPr>
          <w:rFonts w:ascii="Arial" w:cs="Arial" w:eastAsia="Arial" w:hAnsi="Arial"/>
          <w:sz w:val="18"/>
          <w:szCs w:val="18"/>
          <w:color w:val="auto"/>
        </w:rPr>
        <w:t>- continued</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The income tax expense (credit) consisted of:</w:t>
            </w:r>
          </w:p>
        </w:tc>
        <w:tc>
          <w:tcPr>
            <w:tcW w:w="2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9"/>
              </w:rPr>
              <w:t>Year Ended 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2018</w:t>
            </w: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2017</w:t>
            </w:r>
          </w:p>
        </w:tc>
        <w:tc>
          <w:tcPr>
            <w:tcW w:w="8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Under provision of income taxes in prior years:</w:t>
            </w:r>
          </w:p>
        </w:tc>
        <w:tc>
          <w:tcPr>
            <w:tcW w:w="20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$ 86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 - deferred:</w:t>
            </w:r>
          </w:p>
        </w:tc>
        <w:tc>
          <w:tcPr>
            <w:tcW w:w="20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2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458</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(credit)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reconciliation of the income tax expense (credit) from loss before income tax per the consolidated statements of operations is as follows:</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w w:val="92"/>
              </w:rPr>
              <w:t>Year Ended December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2018</w:t>
            </w:r>
          </w:p>
        </w:tc>
        <w:tc>
          <w:tcPr>
            <w:tcW w:w="4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2017</w:t>
            </w:r>
          </w:p>
        </w:tc>
        <w:tc>
          <w:tcPr>
            <w:tcW w:w="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(20,201)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(76,676)</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(242,315)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at Macau Complementary Tax rate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(2,424)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(29,078)</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Under provision in prior years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20,001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20,190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23,820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 of profits exempted from Macau Complementary Tax</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89"/>
              </w:rPr>
              <w:t>(35,698)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(29,833)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(11,890)</w:t>
            </w: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18,756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18,605</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17,623</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The Company and certain of its subsidiaries are exempt from tax in the Cayman Islands or BVI, where they are incorporated. The Company’s remaining subsidiaries incorporated in Macau and Hong Kong are subject to Macau Complementary Tax and Hong Kong Profits Tax, respectively, during the years ended December 31, 2018, 2017 and 2016.</w:t>
      </w:r>
    </w:p>
    <w:p>
      <w:pPr>
        <w:spacing w:after="0" w:line="73" w:lineRule="exact"/>
        <w:rPr>
          <w:sz w:val="20"/>
          <w:szCs w:val="20"/>
          <w:color w:val="auto"/>
        </w:rPr>
      </w:pPr>
    </w:p>
    <w:p>
      <w:pPr>
        <w:ind w:left="640" w:right="380"/>
        <w:spacing w:after="0" w:line="308" w:lineRule="auto"/>
        <w:rPr>
          <w:sz w:val="20"/>
          <w:szCs w:val="20"/>
          <w:color w:val="auto"/>
        </w:rPr>
      </w:pPr>
      <w:r>
        <w:rPr>
          <w:rFonts w:ascii="Arial" w:cs="Arial" w:eastAsia="Arial" w:hAnsi="Arial"/>
          <w:sz w:val="17"/>
          <w:szCs w:val="17"/>
          <w:color w:val="auto"/>
        </w:rPr>
        <w:t>Macau Complementary Tax and Hong Kong Profits Tax are provided at 12% and 16.5% on the estimated taxable income earned in or derived from Macau and Hong Kong, respectively, during the years ended December 31, 2018, 2017 and 2016, if applicable.</w:t>
      </w:r>
    </w:p>
    <w:p>
      <w:pPr>
        <w:spacing w:after="0" w:line="38" w:lineRule="exact"/>
        <w:rPr>
          <w:sz w:val="20"/>
          <w:szCs w:val="20"/>
          <w:color w:val="auto"/>
        </w:rPr>
      </w:pPr>
    </w:p>
    <w:p>
      <w:pPr>
        <w:ind w:left="640" w:right="180"/>
        <w:spacing w:after="0" w:line="255" w:lineRule="auto"/>
        <w:rPr>
          <w:sz w:val="20"/>
          <w:szCs w:val="20"/>
          <w:color w:val="auto"/>
        </w:rPr>
      </w:pPr>
      <w:r>
        <w:rPr>
          <w:rFonts w:ascii="Arial" w:cs="Arial" w:eastAsia="Arial" w:hAnsi="Arial"/>
          <w:sz w:val="18"/>
          <w:szCs w:val="18"/>
          <w:color w:val="auto"/>
        </w:rPr>
        <w:t>One of the Company’s subsidiaries in Macau has been exempted from Macau Complementary Tax on profits generated from income received from Melco Resorts Macau under the Services and Right to Use Arrangements until 2016, to the extent that such income is derived from Studio City gaming operations and has been subject to gaming tax pursuant to a notice issued by the Macau Government in January 2015. Additionally, this subsidiary received an exemption for an additional five years from 2017 to 2021 pursuant to the approval notice issued by the Macau Government in January 2017. The non-gaming profits and dividend distributions of such subsidiary to its shareholders continue to be subject to Macau Complementary Tax.</w:t>
      </w:r>
    </w:p>
    <w:p>
      <w:pPr>
        <w:spacing w:after="0" w:line="85"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color w:val="auto"/>
        </w:rPr>
        <w:t>During the years ended December 31, 2018 and 2017, had the Group not received the income tax exemption on profits generated from income received from Melco Resorts Macau under the Services and Right to Use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2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Arrangements, the Group’s consolidated net loss attributable to Studio City International Holdings Limited for the years ended December 31, 2018, 2017 and 2016 would have been increased by $33,835, $29,833 and $11,890, and diluted net loss attributable to Studio City International Holdings Limited per Class A ordinary share would have been increased by $0.177, $0.165 and $0.066 per share, respectively.</w:t>
      </w:r>
    </w:p>
    <w:p>
      <w:pPr>
        <w:spacing w:after="0" w:line="38" w:lineRule="exact"/>
        <w:rPr>
          <w:rFonts w:ascii="Arial" w:cs="Arial" w:eastAsia="Arial" w:hAnsi="Arial"/>
          <w:sz w:val="18"/>
          <w:szCs w:val="18"/>
          <w:b w:val="1"/>
          <w:bCs w:val="1"/>
          <w:color w:val="auto"/>
        </w:rPr>
      </w:pPr>
    </w:p>
    <w:p>
      <w:pPr>
        <w:ind w:left="6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effective tax rates for the years ended December 31, 2018, 2017 and 2016 were (2.7)%, 0.3% and (0.2)%, respectively. Such rates differ from the statutory Macau Complementary Tax rate of 12% primarily due to the effect of expenses for which no income tax benefits are receivable, the effect of profits exempted from Macau Complementary Tax and the effect of changes in valuation allowances for the years ended December 31, 2018, 2017 and 2016.</w:t>
      </w:r>
    </w:p>
    <w:p>
      <w:pPr>
        <w:spacing w:after="0" w:line="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liabilities as of December 31, 2018 and 2017 consisted of the following:</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2018</w:t>
            </w:r>
          </w:p>
        </w:tc>
        <w:tc>
          <w:tcPr>
            <w:tcW w:w="4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2017</w:t>
            </w:r>
          </w:p>
        </w:tc>
        <w:tc>
          <w:tcPr>
            <w:tcW w:w="12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Net operating losses carried forward</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44,237</w:t>
            </w:r>
          </w:p>
        </w:tc>
        <w:tc>
          <w:tcPr>
            <w:tcW w:w="4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48,751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Deferred deductible expenses</w:t>
            </w: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9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59,493</w:t>
            </w:r>
          </w:p>
        </w:tc>
        <w:tc>
          <w:tcPr>
            <w:tcW w:w="120" w:type="dxa"/>
            <w:vAlign w:val="bottom"/>
            <w:shd w:val="clear" w:color="auto" w:fill="CCEEFF"/>
          </w:tcPr>
          <w:p>
            <w:pPr>
              <w:spacing w:after="0"/>
              <w:rPr>
                <w:sz w:val="18"/>
                <w:szCs w:val="18"/>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2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(58,338)</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(59,493)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capital allowances</w:t>
            </w: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(1,044)</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As of December 31, 2018 and 2017, valuation allowances of $58,338 and $59,493 were provided, respectively, as management believes it is more likely than not that these deferred tax assets will not be realized. As of December 31, 2018, adjusted operating tax losses carry forward, amounting to $123,213, $111,216 and $134,220 will expire in 2019, 2020 and 2021, respectively. Adjusted operating tax losses carried forward of $168,434 expired during the year ended December 31, 2018.</w:t>
      </w:r>
    </w:p>
    <w:p>
      <w:pPr>
        <w:spacing w:after="0" w:line="79" w:lineRule="exact"/>
        <w:rPr>
          <w:sz w:val="20"/>
          <w:szCs w:val="20"/>
          <w:color w:val="auto"/>
        </w:rPr>
      </w:pPr>
    </w:p>
    <w:p>
      <w:pPr>
        <w:ind w:left="640" w:right="300"/>
        <w:spacing w:after="0" w:line="264" w:lineRule="auto"/>
        <w:rPr>
          <w:sz w:val="20"/>
          <w:szCs w:val="20"/>
          <w:color w:val="auto"/>
        </w:rPr>
      </w:pPr>
      <w:r>
        <w:rPr>
          <w:rFonts w:ascii="Arial" w:cs="Arial" w:eastAsia="Arial" w:hAnsi="Arial"/>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3" w:lineRule="exact"/>
        <w:rPr>
          <w:sz w:val="20"/>
          <w:szCs w:val="20"/>
          <w:color w:val="auto"/>
        </w:rPr>
      </w:pPr>
    </w:p>
    <w:p>
      <w:pPr>
        <w:ind w:left="640" w:right="40"/>
        <w:spacing w:after="0" w:line="297" w:lineRule="auto"/>
        <w:rPr>
          <w:sz w:val="20"/>
          <w:szCs w:val="20"/>
          <w:color w:val="auto"/>
        </w:rPr>
      </w:pPr>
      <w:r>
        <w:rPr>
          <w:rFonts w:ascii="Arial" w:cs="Arial" w:eastAsia="Arial" w:hAnsi="Arial"/>
          <w:sz w:val="16"/>
          <w:szCs w:val="16"/>
          <w:color w:val="auto"/>
        </w:rPr>
        <w:t>Undistributed earnings of a foreign subsidiary of the Company available for distribution to the Company of approximately $631,174 and $337,024 as at December 31, 2018 and 2017, respectively, are considered to be indefinitely reinvested. Accordingly, no provision has been made for the dividend withholding taxes that would be payable upon the distribution of those amounts to the Company. If those earnings were to be distributed or they were determined to be no longer permanently reinvested, the Company would have to record a deferred income tax liability in respect of those undistributed earnings of approximately $75,741 and $40,443 as at December 31, 2018 and 2017, respectively.</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An evaluation of the tax positions for recognition was conducted by the Group by determining if the weight of available evidence indicates it is more likely than not that the positions will be sustained on audit, including resolution of related appeals or litigation processes, if any. Uncertain tax benefits associated with the tax positions were measured based solely on the technical merits of being sustained on examinations. The Group concluded that there were no significant uncertain tax positions requiring recognition in the consolidated financial statements for the years ended December 31, 2018, 2017 and 2016 and there are no material unrecognized tax benefits which would favorably affect the effective income tax rates in future periods. As of December 31, 2018 and 2017, there were no interest and penalties related to uncertain tax positions recognized in the consolidated financial statements. The Group does not anticipate any significant increases or decreases to its liability for unrecognized tax benefits within the next twelve months.</w:t>
      </w:r>
    </w:p>
    <w:p>
      <w:pPr>
        <w:spacing w:after="0" w:line="70" w:lineRule="exact"/>
        <w:rPr>
          <w:rFonts w:ascii="Arial" w:cs="Arial" w:eastAsia="Arial" w:hAnsi="Arial"/>
          <w:sz w:val="18"/>
          <w:szCs w:val="18"/>
          <w:b w:val="1"/>
          <w:bCs w:val="1"/>
          <w:color w:val="auto"/>
        </w:rPr>
      </w:pPr>
    </w:p>
    <w:p>
      <w:pPr>
        <w:ind w:left="64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Income tax returns of the Company’s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6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provides defined contribution plans for its employees in Macau. Certain executive officers of the Group are members of defined contribution plan in Hong Kong operated by Melco. During the years ended December 31, 2018, 2017 and 2016, the Group’s contributions into these plans were $(324), $85 and $11, respectively.</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6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subsidiaries of the Company incorporated in Macau are required to set aside a minimum of 25% of the entity’s profit after taxation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 of directors of the relevant subsidiaries. As of December 31, 2018 and 2017, the balance of the reserve amounted to $6 and $6, respectively.</w:t>
      </w:r>
    </w:p>
    <w:p>
      <w:pPr>
        <w:spacing w:after="0" w:line="85" w:lineRule="exact"/>
        <w:rPr>
          <w:rFonts w:ascii="Arial" w:cs="Arial" w:eastAsia="Arial" w:hAnsi="Arial"/>
          <w:sz w:val="18"/>
          <w:szCs w:val="18"/>
          <w:b w:val="1"/>
          <w:bCs w:val="1"/>
          <w:color w:val="auto"/>
        </w:rPr>
      </w:pPr>
    </w:p>
    <w:p>
      <w:pPr>
        <w:ind w:left="6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borrowings, subject to certain exceptions and conditions, contain certain restrictions on paying dividends and other distributions, as defined in the respective indentures governing the relevant senior notes, credit facility agreements and other associated agreements, details of which are disclosed in Note 7 under each of the respective borrowings.</w:t>
      </w:r>
    </w:p>
    <w:p>
      <w:pPr>
        <w:spacing w:after="0" w:line="73" w:lineRule="exact"/>
        <w:rPr>
          <w:rFonts w:ascii="Arial" w:cs="Arial" w:eastAsia="Arial" w:hAnsi="Arial"/>
          <w:sz w:val="18"/>
          <w:szCs w:val="18"/>
          <w:b w:val="1"/>
          <w:bCs w:val="1"/>
          <w:color w:val="auto"/>
        </w:rPr>
      </w:pPr>
    </w:p>
    <w:p>
      <w:pPr>
        <w:ind w:left="6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2018, 2017 and 2016, the Company did not declare or pay any cash dividends on the ordinary shares. No dividends have been proposed since the end of the reporting period.</w:t>
      </w:r>
    </w:p>
    <w:p>
      <w:pPr>
        <w:spacing w:after="0" w:line="315" w:lineRule="exact"/>
        <w:rPr>
          <w:rFonts w:ascii="Arial" w:cs="Arial" w:eastAsia="Arial" w:hAnsi="Arial"/>
          <w:sz w:val="18"/>
          <w:szCs w:val="18"/>
          <w:b w:val="1"/>
          <w:bCs w:val="1"/>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28"/>
        </w:numPr>
        <w:rPr>
          <w:rFonts w:ascii="Arial" w:cs="Arial" w:eastAsia="Arial" w:hAnsi="Arial"/>
          <w:sz w:val="18"/>
          <w:szCs w:val="18"/>
          <w:color w:val="auto"/>
        </w:rPr>
      </w:pPr>
      <w:r>
        <w:rPr>
          <w:rFonts w:ascii="Arial" w:cs="Arial" w:eastAsia="Arial" w:hAnsi="Arial"/>
          <w:sz w:val="18"/>
          <w:szCs w:val="18"/>
          <w:b w:val="1"/>
          <w:bCs w:val="1"/>
          <w:color w:val="auto"/>
        </w:rPr>
        <w:t>Capital Commitments</w:t>
      </w:r>
    </w:p>
    <w:p>
      <w:pPr>
        <w:spacing w:after="0" w:line="121" w:lineRule="exact"/>
        <w:rPr>
          <w:rFonts w:ascii="Arial" w:cs="Arial" w:eastAsia="Arial" w:hAnsi="Arial"/>
          <w:sz w:val="18"/>
          <w:szCs w:val="18"/>
          <w:color w:val="auto"/>
        </w:rPr>
      </w:pPr>
    </w:p>
    <w:p>
      <w:pPr>
        <w:ind w:left="1080" w:right="5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2018, the Group had capital commitments contracted for but not incurred for the construction and acquisition of property and equipment for Studio City totaling $38,696.</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right="7760" w:hanging="444"/>
        <w:spacing w:after="0" w:line="425" w:lineRule="auto"/>
        <w:tabs>
          <w:tab w:leader="none" w:pos="1063" w:val="left"/>
        </w:tabs>
        <w:numPr>
          <w:ilvl w:val="1"/>
          <w:numId w:val="129"/>
        </w:numPr>
        <w:rPr>
          <w:rFonts w:ascii="Arial" w:cs="Arial" w:eastAsia="Arial" w:hAnsi="Arial"/>
          <w:sz w:val="16"/>
          <w:szCs w:val="16"/>
          <w:color w:val="auto"/>
        </w:rPr>
      </w:pPr>
      <w:r>
        <w:rPr>
          <w:rFonts w:ascii="Arial" w:cs="Arial" w:eastAsia="Arial" w:hAnsi="Arial"/>
          <w:sz w:val="16"/>
          <w:szCs w:val="16"/>
          <w:b w:val="1"/>
          <w:bCs w:val="1"/>
          <w:color w:val="auto"/>
        </w:rPr>
        <w:t>Operating Lease Commitments Lessor Arrangements</w:t>
      </w:r>
    </w:p>
    <w:p>
      <w:pPr>
        <w:ind w:left="1080" w:right="420"/>
        <w:spacing w:after="0" w:line="264" w:lineRule="auto"/>
        <w:rPr>
          <w:rFonts w:ascii="Arial" w:cs="Arial" w:eastAsia="Arial" w:hAnsi="Arial"/>
          <w:sz w:val="16"/>
          <w:szCs w:val="16"/>
          <w:color w:val="auto"/>
        </w:rPr>
      </w:pPr>
      <w:r>
        <w:rPr>
          <w:rFonts w:ascii="Arial" w:cs="Arial" w:eastAsia="Arial" w:hAnsi="Arial"/>
          <w:sz w:val="18"/>
          <w:szCs w:val="18"/>
          <w:color w:val="auto"/>
        </w:rPr>
        <w:t>The Group entered into non-cancellable operating agreements mainly for mall spaces in Studio City with various retailers that expire at various dates through November 2026. Certain of the operating agreements include minimum base fees with escalated contingent fee clauses.</w:t>
      </w:r>
    </w:p>
    <w:p>
      <w:pPr>
        <w:spacing w:after="0" w:line="73"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As of December 31, 2018, minimum future fees to be received under all non-cancellable operating agreements were as follows: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19,127</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2020</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12,691</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2022</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Over 2023</w:t>
            </w:r>
          </w:p>
        </w:tc>
        <w:tc>
          <w:tcPr>
            <w:tcW w:w="3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w:t>
            </w:r>
          </w:p>
        </w:tc>
        <w:tc>
          <w:tcPr>
            <w:tcW w:w="8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80" w:right="300"/>
        <w:spacing w:after="0" w:line="277" w:lineRule="auto"/>
        <w:rPr>
          <w:sz w:val="20"/>
          <w:szCs w:val="20"/>
          <w:color w:val="auto"/>
        </w:rPr>
      </w:pPr>
      <w:r>
        <w:rPr>
          <w:rFonts w:ascii="Arial" w:cs="Arial" w:eastAsia="Arial" w:hAnsi="Arial"/>
          <w:sz w:val="18"/>
          <w:szCs w:val="18"/>
          <w:color w:val="auto"/>
        </w:rPr>
        <w:t>The total minimum future fees do not include the escalated contingent fee clauses. During the years ended December 31, 2018, 2017 and 2016, the Group earned contingent fees of $9,301, $10,216 and $9,732, respectively.</w:t>
      </w:r>
    </w:p>
    <w:p>
      <w:pPr>
        <w:spacing w:after="0" w:line="72" w:lineRule="exact"/>
        <w:rPr>
          <w:sz w:val="20"/>
          <w:szCs w:val="20"/>
          <w:color w:val="auto"/>
        </w:rPr>
      </w:pPr>
    </w:p>
    <w:p>
      <w:pPr>
        <w:ind w:left="1060" w:hanging="424"/>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Other Commitment</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Land Concession Contract</w:t>
      </w:r>
    </w:p>
    <w:p>
      <w:pPr>
        <w:spacing w:after="0" w:line="121" w:lineRule="exact"/>
        <w:rPr>
          <w:rFonts w:ascii="Arial" w:cs="Arial" w:eastAsia="Arial" w:hAnsi="Arial"/>
          <w:sz w:val="18"/>
          <w:szCs w:val="18"/>
          <w:color w:val="auto"/>
        </w:rPr>
      </w:pPr>
    </w:p>
    <w:p>
      <w:pPr>
        <w:ind w:left="1080" w:right="80"/>
        <w:spacing w:after="0" w:line="290" w:lineRule="auto"/>
        <w:rPr>
          <w:rFonts w:ascii="Arial" w:cs="Arial" w:eastAsia="Arial" w:hAnsi="Arial"/>
          <w:sz w:val="18"/>
          <w:szCs w:val="18"/>
          <w:color w:val="auto"/>
        </w:rPr>
      </w:pPr>
      <w:r>
        <w:rPr>
          <w:rFonts w:ascii="Arial" w:cs="Arial" w:eastAsia="Arial" w:hAnsi="Arial"/>
          <w:sz w:val="16"/>
          <w:szCs w:val="16"/>
          <w:color w:val="auto"/>
        </w:rPr>
        <w:t>One of the Company’s subsidiaries has entered into a concession contract for the land in Macau on which Studio City is located (“Studio City Land”). The title to the land lease right is obtained once the related land concession contract is published in the Macau official gazette. The contract has a term of 25 years, which is renewable for further consecutive periods of 10 years, subject to applicable legislation in Macau. The Company’s land holding subsidiary is required to i) pay an upfront land premium, which is recognized as a land use right in the consolidated balance sheets and an annual government land use fee, which is recognized as general and administrative expense and may be adjusted every five years; and ii) place a guarantee deposit upon acceptance of the land lease terms, which is subject to adjustments from time to time in line with the amounts paid as annual land use fee. During the land concession term, amendments may be sought which may result in revisions to the development conditions, land premium and government land use fees.</w:t>
      </w:r>
    </w:p>
    <w:p>
      <w:pPr>
        <w:spacing w:after="0" w:line="58" w:lineRule="exact"/>
        <w:rPr>
          <w:rFonts w:ascii="Arial" w:cs="Arial" w:eastAsia="Arial" w:hAnsi="Arial"/>
          <w:sz w:val="18"/>
          <w:szCs w:val="18"/>
          <w:color w:val="auto"/>
        </w:rPr>
      </w:pPr>
    </w:p>
    <w:p>
      <w:pPr>
        <w:ind w:left="1080" w:right="20"/>
        <w:spacing w:after="0" w:line="273" w:lineRule="auto"/>
        <w:rPr>
          <w:rFonts w:ascii="Arial" w:cs="Arial" w:eastAsia="Arial" w:hAnsi="Arial"/>
          <w:sz w:val="18"/>
          <w:szCs w:val="18"/>
          <w:color w:val="auto"/>
        </w:rPr>
      </w:pPr>
      <w:r>
        <w:rPr>
          <w:rFonts w:ascii="Arial" w:cs="Arial" w:eastAsia="Arial" w:hAnsi="Arial"/>
          <w:sz w:val="17"/>
          <w:szCs w:val="17"/>
          <w:color w:val="auto"/>
        </w:rPr>
        <w:t>On September 23, 2015, the Macau Government published in the Macau official gazette the final amendment for revision of the land concession contract for Studio City Land. According to the revised land amendment, the government land use fees were approximately $490 per annum during the development period of Studio City; and approximately $1,100 per annum after the development period. In February 2018, the Macau Government granted an extension of the development period under the land concession contract for Studio City Land to July 24, 2021. As of December 31, 2018, the Group’s total commitment for government land use fees for the Studio City site to be paid during the initial term of the land concession contract which expires in October 2026 was $8,226.</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31"/>
        </w:numPr>
        <w:rPr>
          <w:rFonts w:ascii="Arial" w:cs="Arial" w:eastAsia="Arial" w:hAnsi="Arial"/>
          <w:sz w:val="18"/>
          <w:szCs w:val="18"/>
          <w:color w:val="auto"/>
        </w:rPr>
      </w:pPr>
      <w:r>
        <w:rPr>
          <w:rFonts w:ascii="Arial" w:cs="Arial" w:eastAsia="Arial" w:hAnsi="Arial"/>
          <w:sz w:val="18"/>
          <w:szCs w:val="18"/>
          <w:b w:val="1"/>
          <w:bCs w:val="1"/>
          <w:color w:val="auto"/>
        </w:rPr>
        <w:t>Guarantee</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Except as disclosed in Note 7, the Group has made the following significant guarantee as of December 31, 2018:</w:t>
      </w:r>
    </w:p>
    <w:p>
      <w:pPr>
        <w:spacing w:after="0" w:line="11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Trade Credit Facility</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In October 2013, one of the Company’s subsidiaries entered into a trade credit facility agreement for HK$200,000,000 (equivalent to</w:t>
      </w:r>
    </w:p>
    <w:p>
      <w:pPr>
        <w:spacing w:after="0" w:line="34" w:lineRule="exact"/>
        <w:rPr>
          <w:rFonts w:ascii="Arial" w:cs="Arial" w:eastAsia="Arial" w:hAnsi="Arial"/>
          <w:sz w:val="18"/>
          <w:szCs w:val="18"/>
          <w:color w:val="auto"/>
        </w:rPr>
      </w:pPr>
    </w:p>
    <w:p>
      <w:pPr>
        <w:ind w:left="1080" w:right="380"/>
        <w:spacing w:after="0" w:line="255" w:lineRule="auto"/>
        <w:rPr>
          <w:rFonts w:ascii="Arial" w:cs="Arial" w:eastAsia="Arial" w:hAnsi="Arial"/>
          <w:sz w:val="18"/>
          <w:szCs w:val="18"/>
          <w:color w:val="auto"/>
        </w:rPr>
      </w:pPr>
      <w:r>
        <w:rPr>
          <w:rFonts w:ascii="Arial" w:cs="Arial" w:eastAsia="Arial" w:hAnsi="Arial"/>
          <w:sz w:val="18"/>
          <w:szCs w:val="18"/>
          <w:color w:val="auto"/>
        </w:rPr>
        <w:t>$25,538) (“Trade Credit Facility”) with a bank to meet certain payment obligations of the Studio City project. The Trade Credit Facility which matured on August 31, 2017 was further extended to August 31, 2019, and is guaranteed by Studio City Company. As of December 31, 2018, approximately $638 of the Trade Credit Facility had been utilized.</w:t>
      </w:r>
    </w:p>
    <w:p>
      <w:pPr>
        <w:spacing w:after="0" w:line="91" w:lineRule="exact"/>
        <w:rPr>
          <w:rFonts w:ascii="Arial" w:cs="Arial" w:eastAsia="Arial" w:hAnsi="Arial"/>
          <w:sz w:val="18"/>
          <w:szCs w:val="18"/>
          <w:color w:val="auto"/>
        </w:rPr>
      </w:pPr>
    </w:p>
    <w:p>
      <w:pPr>
        <w:ind w:left="1060" w:hanging="424"/>
        <w:spacing w:after="0"/>
        <w:tabs>
          <w:tab w:leader="none" w:pos="1060" w:val="left"/>
        </w:tabs>
        <w:numPr>
          <w:ilvl w:val="1"/>
          <w:numId w:val="131"/>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color w:val="auto"/>
        </w:rPr>
      </w:pPr>
    </w:p>
    <w:p>
      <w:pPr>
        <w:ind w:left="1080" w:right="14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2018, the Group is a party to certain legal proceedings which relate to matters arising out of the ordinary course of its business. Management believes that the outcome of such proceedings would have no material impact on the Group’s consolidated financial statements as a whole.</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2018, 2017 and 2016, the Group entered into the following significant related party transactions:</w:t>
      </w:r>
    </w:p>
    <w:p>
      <w:pPr>
        <w:spacing w:after="0" w:line="264"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3240" w:type="dxa"/>
            <w:vAlign w:val="bottom"/>
            <w:gridSpan w:val="3"/>
            <w:vMerge w:val="restart"/>
          </w:tcPr>
          <w:p>
            <w:pPr>
              <w:spacing w:after="0"/>
              <w:rPr>
                <w:sz w:val="20"/>
                <w:szCs w:val="20"/>
                <w:color w:val="auto"/>
              </w:rPr>
            </w:pPr>
            <w:r>
              <w:rPr>
                <w:rFonts w:ascii="Arial" w:cs="Arial" w:eastAsia="Arial" w:hAnsi="Arial"/>
                <w:sz w:val="18"/>
                <w:szCs w:val="18"/>
                <w:color w:val="auto"/>
              </w:rPr>
              <w:t>Related companies</w:t>
            </w:r>
          </w:p>
        </w:tc>
        <w:tc>
          <w:tcPr>
            <w:tcW w:w="4160" w:type="dxa"/>
            <w:vAlign w:val="bottom"/>
            <w:gridSpan w:val="2"/>
            <w:vMerge w:val="restart"/>
          </w:tcPr>
          <w:p>
            <w:pPr>
              <w:ind w:left="560"/>
              <w:spacing w:after="0"/>
              <w:rPr>
                <w:sz w:val="20"/>
                <w:szCs w:val="20"/>
                <w:color w:val="auto"/>
              </w:rPr>
            </w:pPr>
            <w:r>
              <w:rPr>
                <w:rFonts w:ascii="Arial" w:cs="Arial" w:eastAsia="Arial" w:hAnsi="Arial"/>
                <w:sz w:val="18"/>
                <w:szCs w:val="18"/>
                <w:color w:val="auto"/>
              </w:rPr>
              <w:t>Nature of transactions</w:t>
            </w:r>
          </w:p>
        </w:tc>
        <w:tc>
          <w:tcPr>
            <w:tcW w:w="200" w:type="dxa"/>
            <w:vAlign w:val="bottom"/>
          </w:tcPr>
          <w:p>
            <w:pPr>
              <w:spacing w:after="0"/>
              <w:rPr>
                <w:sz w:val="20"/>
                <w:szCs w:val="20"/>
                <w:color w:val="auto"/>
              </w:rPr>
            </w:pPr>
          </w:p>
        </w:tc>
        <w:tc>
          <w:tcPr>
            <w:tcW w:w="3000" w:type="dxa"/>
            <w:vAlign w:val="bottom"/>
            <w:gridSpan w:val="6"/>
          </w:tcPr>
          <w:p>
            <w:pPr>
              <w:ind w:left="5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3"/>
        </w:trPr>
        <w:tc>
          <w:tcPr>
            <w:tcW w:w="3240" w:type="dxa"/>
            <w:vAlign w:val="bottom"/>
            <w:gridSpan w:val="3"/>
            <w:vMerge w:val="continue"/>
          </w:tcPr>
          <w:p>
            <w:pPr>
              <w:spacing w:after="0"/>
              <w:rPr>
                <w:sz w:val="17"/>
                <w:szCs w:val="17"/>
                <w:color w:val="auto"/>
              </w:rPr>
            </w:pPr>
          </w:p>
        </w:tc>
        <w:tc>
          <w:tcPr>
            <w:tcW w:w="4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2018</w:t>
            </w:r>
          </w:p>
        </w:tc>
        <w:tc>
          <w:tcPr>
            <w:tcW w:w="1060" w:type="dxa"/>
            <w:vAlign w:val="bottom"/>
            <w:tcBorders>
              <w:top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2017</w:t>
            </w:r>
          </w:p>
        </w:tc>
        <w:tc>
          <w:tcPr>
            <w:tcW w:w="1080" w:type="dxa"/>
            <w:vAlign w:val="bottom"/>
            <w:tcBorders>
              <w:top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Transactions with affiliated companies</w:t>
            </w:r>
          </w:p>
        </w:tc>
        <w:tc>
          <w:tcPr>
            <w:tcW w:w="5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3240" w:type="dxa"/>
            <w:vAlign w:val="bottom"/>
            <w:gridSpan w:val="3"/>
          </w:tcPr>
          <w:p>
            <w:pPr>
              <w:spacing w:after="0"/>
              <w:rPr>
                <w:sz w:val="20"/>
                <w:szCs w:val="20"/>
                <w:color w:val="auto"/>
              </w:rPr>
            </w:pPr>
            <w:r>
              <w:rPr>
                <w:rFonts w:ascii="Arial" w:cs="Arial" w:eastAsia="Arial" w:hAnsi="Arial"/>
                <w:sz w:val="17"/>
                <w:szCs w:val="17"/>
                <w:color w:val="auto"/>
              </w:rPr>
              <w:t>Melco and its subsidiaries</w:t>
            </w:r>
          </w:p>
        </w:tc>
        <w:tc>
          <w:tcPr>
            <w:tcW w:w="4160" w:type="dxa"/>
            <w:vAlign w:val="bottom"/>
            <w:gridSpan w:val="2"/>
          </w:tcPr>
          <w:p>
            <w:pPr>
              <w:ind w:left="560"/>
              <w:spacing w:after="0"/>
              <w:rPr>
                <w:sz w:val="20"/>
                <w:szCs w:val="20"/>
                <w:color w:val="auto"/>
              </w:rPr>
            </w:pPr>
            <w:r>
              <w:rPr>
                <w:rFonts w:ascii="Arial" w:cs="Arial" w:eastAsia="Arial" w:hAnsi="Arial"/>
                <w:sz w:val="17"/>
                <w:szCs w:val="17"/>
                <w:b w:val="1"/>
                <w:bCs w:val="1"/>
                <w:color w:val="auto"/>
              </w:rPr>
              <w:t>Revenues (services provided by the Group):</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Provision of gaming related services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339,924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295,638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151,597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60" w:type="dxa"/>
            <w:vAlign w:val="bottom"/>
            <w:gridSpan w:val="2"/>
          </w:tcPr>
          <w:p>
            <w:pPr>
              <w:ind w:left="560"/>
              <w:spacing w:after="0" w:line="6" w:lineRule="exact"/>
              <w:rPr>
                <w:sz w:val="20"/>
                <w:szCs w:val="20"/>
                <w:color w:val="auto"/>
              </w:rPr>
            </w:pPr>
            <w:r>
              <w:rPr>
                <w:rFonts w:ascii="Arial" w:cs="Arial" w:eastAsia="Arial" w:hAnsi="Arial"/>
                <w:sz w:val="1"/>
                <w:szCs w:val="1"/>
                <w:color w:val="auto"/>
              </w:rPr>
              <w:t>Rooms and food and beverage</w:t>
            </w:r>
          </w:p>
        </w:tc>
        <w:tc>
          <w:tcPr>
            <w:tcW w:w="980" w:type="dxa"/>
            <w:vAlign w:val="bottom"/>
            <w:gridSpan w:val="2"/>
          </w:tcPr>
          <w:p>
            <w:pPr>
              <w:jc w:val="right"/>
              <w:spacing w:after="0" w:line="6" w:lineRule="exact"/>
              <w:rPr>
                <w:sz w:val="20"/>
                <w:szCs w:val="20"/>
                <w:color w:val="auto"/>
              </w:rPr>
            </w:pPr>
            <w:r>
              <w:rPr>
                <w:rFonts w:ascii="Arial" w:cs="Arial" w:eastAsia="Arial" w:hAnsi="Arial"/>
                <w:sz w:val="1"/>
                <w:szCs w:val="1"/>
                <w:color w:val="auto"/>
              </w:rPr>
              <w:t>89,862</w:t>
            </w:r>
          </w:p>
        </w:tc>
        <w:tc>
          <w:tcPr>
            <w:tcW w:w="1060" w:type="dxa"/>
            <w:vAlign w:val="bottom"/>
            <w:gridSpan w:val="2"/>
          </w:tcPr>
          <w:p>
            <w:pPr>
              <w:jc w:val="right"/>
              <w:spacing w:after="0" w:line="6" w:lineRule="exact"/>
              <w:rPr>
                <w:sz w:val="20"/>
                <w:szCs w:val="20"/>
                <w:color w:val="auto"/>
              </w:rPr>
            </w:pPr>
            <w:r>
              <w:rPr>
                <w:rFonts w:ascii="Arial" w:cs="Arial" w:eastAsia="Arial" w:hAnsi="Arial"/>
                <w:sz w:val="1"/>
                <w:szCs w:val="1"/>
                <w:color w:val="auto"/>
              </w:rPr>
              <w:t>82,862</w:t>
            </w:r>
          </w:p>
        </w:tc>
        <w:tc>
          <w:tcPr>
            <w:tcW w:w="1080" w:type="dxa"/>
            <w:vAlign w:val="bottom"/>
            <w:gridSpan w:val="2"/>
          </w:tcPr>
          <w:p>
            <w:pPr>
              <w:jc w:val="right"/>
              <w:spacing w:after="0" w:line="6" w:lineRule="exact"/>
              <w:rPr>
                <w:sz w:val="20"/>
                <w:szCs w:val="20"/>
                <w:color w:val="auto"/>
              </w:rPr>
            </w:pPr>
            <w:r>
              <w:rPr>
                <w:rFonts w:ascii="Arial" w:cs="Arial" w:eastAsia="Arial" w:hAnsi="Arial"/>
                <w:sz w:val="1"/>
                <w:szCs w:val="1"/>
                <w:color w:val="auto"/>
              </w:rPr>
              <w:t>71,688</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gridSpan w:val="2"/>
          </w:tcPr>
          <w:p>
            <w:pPr>
              <w:ind w:left="2640"/>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20" w:type="dxa"/>
            <w:vAlign w:val="bottom"/>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160" w:type="dxa"/>
            <w:vAlign w:val="bottom"/>
            <w:gridSpan w:val="2"/>
            <w:shd w:val="clear" w:color="auto" w:fill="CCEEFF"/>
          </w:tcPr>
          <w:p>
            <w:pPr>
              <w:ind w:left="560"/>
              <w:spacing w:after="0"/>
              <w:rPr>
                <w:sz w:val="20"/>
                <w:szCs w:val="20"/>
                <w:color w:val="auto"/>
              </w:rPr>
            </w:pPr>
            <w:r>
              <w:rPr>
                <w:rFonts w:ascii="Arial" w:cs="Arial" w:eastAsia="Arial" w:hAnsi="Arial"/>
                <w:sz w:val="1"/>
                <w:szCs w:val="1"/>
                <w:color w:val="auto"/>
              </w:rPr>
              <w:t>Services fee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39,126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39,971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51,842</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2"/>
            <w:shd w:val="clear" w:color="auto" w:fill="CCEEFF"/>
          </w:tcPr>
          <w:p>
            <w:pPr>
              <w:ind w:left="1400"/>
              <w:spacing w:after="0"/>
              <w:rPr>
                <w:sz w:val="20"/>
                <w:szCs w:val="20"/>
                <w:color w:val="auto"/>
              </w:rPr>
            </w:pPr>
            <w:r>
              <w:rPr>
                <w:rFonts w:ascii="Arial" w:cs="Arial" w:eastAsia="Arial" w:hAnsi="Arial"/>
                <w:sz w:val="15"/>
                <w:szCs w:val="15"/>
                <w:color w:val="auto"/>
              </w:rPr>
              <w:t>(2)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60" w:type="dxa"/>
            <w:vAlign w:val="bottom"/>
            <w:gridSpan w:val="2"/>
          </w:tcPr>
          <w:p>
            <w:pPr>
              <w:ind w:left="560"/>
              <w:spacing w:after="0"/>
              <w:rPr>
                <w:sz w:val="20"/>
                <w:szCs w:val="20"/>
                <w:color w:val="auto"/>
              </w:rPr>
            </w:pPr>
            <w:r>
              <w:rPr>
                <w:rFonts w:ascii="Arial" w:cs="Arial" w:eastAsia="Arial" w:hAnsi="Arial"/>
                <w:sz w:val="1"/>
                <w:szCs w:val="1"/>
                <w:color w:val="auto"/>
              </w:rPr>
              <w:t>Entertainment</w:t>
            </w:r>
          </w:p>
        </w:tc>
        <w:tc>
          <w:tcPr>
            <w:tcW w:w="980" w:type="dxa"/>
            <w:vAlign w:val="bottom"/>
            <w:gridSpan w:val="2"/>
          </w:tcPr>
          <w:p>
            <w:pPr>
              <w:jc w:val="right"/>
              <w:spacing w:after="0"/>
              <w:rPr>
                <w:sz w:val="20"/>
                <w:szCs w:val="20"/>
                <w:color w:val="auto"/>
              </w:rPr>
            </w:pPr>
            <w:r>
              <w:rPr>
                <w:rFonts w:ascii="Arial" w:cs="Arial" w:eastAsia="Arial" w:hAnsi="Arial"/>
                <w:sz w:val="1"/>
                <w:szCs w:val="1"/>
                <w:color w:val="auto"/>
              </w:rPr>
              <w:t>1,191</w:t>
            </w:r>
          </w:p>
        </w:tc>
        <w:tc>
          <w:tcPr>
            <w:tcW w:w="1060" w:type="dxa"/>
            <w:vAlign w:val="bottom"/>
            <w:gridSpan w:val="2"/>
          </w:tcPr>
          <w:p>
            <w:pPr>
              <w:jc w:val="right"/>
              <w:spacing w:after="0"/>
              <w:rPr>
                <w:sz w:val="20"/>
                <w:szCs w:val="20"/>
                <w:color w:val="auto"/>
              </w:rPr>
            </w:pPr>
            <w:r>
              <w:rPr>
                <w:rFonts w:ascii="Arial" w:cs="Arial" w:eastAsia="Arial" w:hAnsi="Arial"/>
                <w:sz w:val="1"/>
                <w:szCs w:val="1"/>
                <w:color w:val="auto"/>
              </w:rPr>
              <w:t>1,328</w:t>
            </w:r>
          </w:p>
        </w:tc>
        <w:tc>
          <w:tcPr>
            <w:tcW w:w="1080" w:type="dxa"/>
            <w:vAlign w:val="bottom"/>
            <w:gridSpan w:val="2"/>
          </w:tcPr>
          <w:p>
            <w:pPr>
              <w:jc w:val="right"/>
              <w:spacing w:after="0"/>
              <w:rPr>
                <w:sz w:val="20"/>
                <w:szCs w:val="20"/>
                <w:color w:val="auto"/>
              </w:rPr>
            </w:pPr>
            <w:r>
              <w:rPr>
                <w:rFonts w:ascii="Arial" w:cs="Arial" w:eastAsia="Arial" w:hAnsi="Arial"/>
                <w:sz w:val="1"/>
                <w:szCs w:val="1"/>
                <w:color w:val="auto"/>
              </w:rPr>
              <w:t>5,465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160" w:type="dxa"/>
            <w:vAlign w:val="bottom"/>
            <w:gridSpan w:val="2"/>
          </w:tcPr>
          <w:p>
            <w:pPr>
              <w:ind w:left="1540"/>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4160" w:type="dxa"/>
            <w:vAlign w:val="bottom"/>
            <w:gridSpan w:val="2"/>
            <w:shd w:val="clear" w:color="auto" w:fill="CCEEFF"/>
          </w:tcPr>
          <w:p>
            <w:pPr>
              <w:ind w:left="560"/>
              <w:spacing w:after="0" w:line="179" w:lineRule="exact"/>
              <w:rPr>
                <w:sz w:val="20"/>
                <w:szCs w:val="20"/>
                <w:color w:val="auto"/>
              </w:rPr>
            </w:pPr>
            <w:r>
              <w:rPr>
                <w:rFonts w:ascii="Arial" w:cs="Arial" w:eastAsia="Arial" w:hAnsi="Arial"/>
                <w:sz w:val="17"/>
                <w:szCs w:val="17"/>
                <w:b w:val="1"/>
                <w:bCs w:val="1"/>
                <w:color w:val="auto"/>
                <w:w w:val="96"/>
              </w:rPr>
              <w:t>Costs and expenses (services provided to the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Group):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60" w:type="dxa"/>
            <w:vAlign w:val="bottom"/>
            <w:gridSpan w:val="2"/>
          </w:tcPr>
          <w:p>
            <w:pPr>
              <w:ind w:left="560"/>
              <w:spacing w:after="0" w:line="8" w:lineRule="exact"/>
              <w:rPr>
                <w:sz w:val="20"/>
                <w:szCs w:val="20"/>
                <w:color w:val="auto"/>
              </w:rPr>
            </w:pPr>
            <w:r>
              <w:rPr>
                <w:rFonts w:ascii="Arial" w:cs="Arial" w:eastAsia="Arial" w:hAnsi="Arial"/>
                <w:sz w:val="1"/>
                <w:szCs w:val="1"/>
                <w:color w:val="auto"/>
              </w:rPr>
              <w:t>Staff costs recharges</w:t>
            </w:r>
          </w:p>
        </w:tc>
        <w:tc>
          <w:tcPr>
            <w:tcW w:w="980" w:type="dxa"/>
            <w:vAlign w:val="bottom"/>
            <w:gridSpan w:val="2"/>
          </w:tcPr>
          <w:p>
            <w:pPr>
              <w:jc w:val="right"/>
              <w:spacing w:after="0" w:line="8" w:lineRule="exact"/>
              <w:rPr>
                <w:sz w:val="20"/>
                <w:szCs w:val="20"/>
                <w:color w:val="auto"/>
              </w:rPr>
            </w:pPr>
            <w:r>
              <w:rPr>
                <w:rFonts w:ascii="Arial" w:cs="Arial" w:eastAsia="Arial" w:hAnsi="Arial"/>
                <w:sz w:val="1"/>
                <w:szCs w:val="1"/>
                <w:color w:val="auto"/>
              </w:rPr>
              <w:t>92,214</w:t>
            </w:r>
          </w:p>
        </w:tc>
        <w:tc>
          <w:tcPr>
            <w:tcW w:w="1060" w:type="dxa"/>
            <w:vAlign w:val="bottom"/>
            <w:gridSpan w:val="2"/>
          </w:tcPr>
          <w:p>
            <w:pPr>
              <w:jc w:val="right"/>
              <w:spacing w:after="0" w:line="8" w:lineRule="exact"/>
              <w:rPr>
                <w:sz w:val="20"/>
                <w:szCs w:val="20"/>
                <w:color w:val="auto"/>
              </w:rPr>
            </w:pPr>
            <w:r>
              <w:rPr>
                <w:rFonts w:ascii="Arial" w:cs="Arial" w:eastAsia="Arial" w:hAnsi="Arial"/>
                <w:sz w:val="1"/>
                <w:szCs w:val="1"/>
                <w:color w:val="auto"/>
              </w:rPr>
              <w:t>98,622</w:t>
            </w:r>
          </w:p>
        </w:tc>
        <w:tc>
          <w:tcPr>
            <w:tcW w:w="1080" w:type="dxa"/>
            <w:vAlign w:val="bottom"/>
            <w:gridSpan w:val="2"/>
          </w:tcPr>
          <w:p>
            <w:pPr>
              <w:jc w:val="right"/>
              <w:spacing w:after="0" w:line="8" w:lineRule="exact"/>
              <w:rPr>
                <w:sz w:val="20"/>
                <w:szCs w:val="20"/>
                <w:color w:val="auto"/>
              </w:rPr>
            </w:pPr>
            <w:r>
              <w:rPr>
                <w:rFonts w:ascii="Arial" w:cs="Arial" w:eastAsia="Arial" w:hAnsi="Arial"/>
                <w:sz w:val="1"/>
                <w:szCs w:val="1"/>
                <w:color w:val="auto"/>
              </w:rPr>
              <w:t>111,327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gridSpan w:val="2"/>
          </w:tcPr>
          <w:p>
            <w:pPr>
              <w:ind w:left="1980"/>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Corporate services</w:t>
            </w:r>
            <w:r>
              <w:rPr>
                <w:rFonts w:ascii="Arial" w:cs="Arial" w:eastAsia="Arial" w:hAnsi="Arial"/>
                <w:sz w:val="14"/>
                <w:szCs w:val="14"/>
                <w:color w:val="auto"/>
              </w:rPr>
              <w:t>(4)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33,256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33,453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160" w:type="dxa"/>
            <w:vAlign w:val="bottom"/>
            <w:gridSpan w:val="2"/>
          </w:tcPr>
          <w:p>
            <w:pPr>
              <w:ind w:left="560"/>
              <w:spacing w:after="0"/>
              <w:rPr>
                <w:sz w:val="20"/>
                <w:szCs w:val="20"/>
                <w:color w:val="auto"/>
              </w:rPr>
            </w:pPr>
            <w:r>
              <w:rPr>
                <w:rFonts w:ascii="Arial" w:cs="Arial" w:eastAsia="Arial" w:hAnsi="Arial"/>
                <w:sz w:val="17"/>
                <w:szCs w:val="17"/>
                <w:color w:val="auto"/>
              </w:rPr>
              <w:t>Pre-opening costs and other services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12,498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11,043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13,188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160" w:type="dxa"/>
            <w:vAlign w:val="bottom"/>
            <w:gridSpan w:val="2"/>
            <w:shd w:val="clear" w:color="auto" w:fill="CCEEFF"/>
          </w:tcPr>
          <w:p>
            <w:pPr>
              <w:ind w:left="560"/>
              <w:spacing w:after="0" w:line="185" w:lineRule="exact"/>
              <w:rPr>
                <w:sz w:val="20"/>
                <w:szCs w:val="20"/>
                <w:color w:val="auto"/>
              </w:rPr>
            </w:pPr>
            <w:r>
              <w:rPr>
                <w:rFonts w:ascii="Arial" w:cs="Arial" w:eastAsia="Arial" w:hAnsi="Arial"/>
                <w:sz w:val="17"/>
                <w:szCs w:val="17"/>
                <w:color w:val="auto"/>
                <w:w w:val="92"/>
              </w:rPr>
              <w:t>Staff and related costs capitalized in construction in</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progress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160" w:type="dxa"/>
            <w:vAlign w:val="bottom"/>
            <w:gridSpan w:val="2"/>
          </w:tcPr>
          <w:p>
            <w:pPr>
              <w:ind w:left="560"/>
              <w:spacing w:after="0"/>
              <w:rPr>
                <w:sz w:val="20"/>
                <w:szCs w:val="20"/>
                <w:color w:val="auto"/>
              </w:rPr>
            </w:pPr>
            <w:r>
              <w:rPr>
                <w:rFonts w:ascii="Arial" w:cs="Arial" w:eastAsia="Arial" w:hAnsi="Arial"/>
                <w:sz w:val="17"/>
                <w:szCs w:val="17"/>
                <w:color w:val="auto"/>
              </w:rPr>
              <w:t>Purchases of goods and services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310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312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160" w:type="dxa"/>
            <w:vAlign w:val="bottom"/>
            <w:gridSpan w:val="2"/>
            <w:shd w:val="clear" w:color="auto" w:fill="CCEEFF"/>
          </w:tcPr>
          <w:p>
            <w:pPr>
              <w:ind w:left="560"/>
              <w:spacing w:after="0"/>
              <w:rPr>
                <w:sz w:val="20"/>
                <w:szCs w:val="20"/>
                <w:color w:val="auto"/>
              </w:rPr>
            </w:pPr>
            <w:r>
              <w:rPr>
                <w:rFonts w:ascii="Arial" w:cs="Arial" w:eastAsia="Arial" w:hAnsi="Arial"/>
                <w:sz w:val="17"/>
                <w:szCs w:val="17"/>
                <w:b w:val="1"/>
                <w:bCs w:val="1"/>
                <w:color w:val="auto"/>
              </w:rPr>
              <w:t>Sale and purchase of 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160" w:type="dxa"/>
            <w:vAlign w:val="bottom"/>
            <w:gridSpan w:val="2"/>
          </w:tcPr>
          <w:p>
            <w:pPr>
              <w:ind w:left="560"/>
              <w:spacing w:after="0"/>
              <w:rPr>
                <w:sz w:val="20"/>
                <w:szCs w:val="20"/>
                <w:color w:val="auto"/>
              </w:rPr>
            </w:pPr>
            <w:r>
              <w:rPr>
                <w:rFonts w:ascii="Arial" w:cs="Arial" w:eastAsia="Arial" w:hAnsi="Arial"/>
                <w:sz w:val="17"/>
                <w:szCs w:val="17"/>
                <w:color w:val="auto"/>
              </w:rPr>
              <w:t>Transfer-in of other long-term assets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15,246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2,584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11,150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160" w:type="dxa"/>
            <w:vAlign w:val="bottom"/>
            <w:gridSpan w:val="2"/>
            <w:shd w:val="clear" w:color="auto" w:fill="CCEEFF"/>
          </w:tcPr>
          <w:p>
            <w:pPr>
              <w:ind w:left="560"/>
              <w:spacing w:after="0" w:line="6" w:lineRule="exact"/>
              <w:rPr>
                <w:sz w:val="20"/>
                <w:szCs w:val="20"/>
                <w:color w:val="auto"/>
              </w:rPr>
            </w:pPr>
            <w:r>
              <w:rPr>
                <w:rFonts w:ascii="Arial" w:cs="Arial" w:eastAsia="Arial" w:hAnsi="Arial"/>
                <w:sz w:val="1"/>
                <w:szCs w:val="1"/>
                <w:color w:val="auto"/>
              </w:rPr>
              <w:t>Purchases of property and equipment</w:t>
            </w:r>
          </w:p>
        </w:tc>
        <w:tc>
          <w:tcPr>
            <w:tcW w:w="9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41</w:t>
            </w:r>
          </w:p>
        </w:tc>
        <w:tc>
          <w:tcPr>
            <w:tcW w:w="106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282</w:t>
            </w:r>
          </w:p>
        </w:tc>
        <w:tc>
          <w:tcPr>
            <w:tcW w:w="10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457</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160" w:type="dxa"/>
            <w:vAlign w:val="bottom"/>
            <w:gridSpan w:val="2"/>
            <w:shd w:val="clear" w:color="auto" w:fill="CCEEFF"/>
          </w:tcPr>
          <w:p>
            <w:pPr>
              <w:ind w:left="3100"/>
              <w:spacing w:after="0"/>
              <w:rPr>
                <w:sz w:val="20"/>
                <w:szCs w:val="20"/>
                <w:color w:val="auto"/>
              </w:rPr>
            </w:pPr>
            <w:r>
              <w:rPr>
                <w:rFonts w:ascii="Arial" w:cs="Arial" w:eastAsia="Arial" w:hAnsi="Arial"/>
                <w:sz w:val="15"/>
                <w:szCs w:val="15"/>
                <w:color w:val="auto"/>
              </w:rPr>
              <w:t>(5)</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60" w:type="dxa"/>
            <w:vAlign w:val="bottom"/>
            <w:gridSpan w:val="2"/>
          </w:tcPr>
          <w:p>
            <w:pPr>
              <w:ind w:left="560"/>
              <w:spacing w:after="0" w:line="185" w:lineRule="exact"/>
              <w:rPr>
                <w:sz w:val="20"/>
                <w:szCs w:val="20"/>
                <w:color w:val="auto"/>
              </w:rPr>
            </w:pPr>
            <w:r>
              <w:rPr>
                <w:rFonts w:ascii="Arial" w:cs="Arial" w:eastAsia="Arial" w:hAnsi="Arial"/>
                <w:sz w:val="17"/>
                <w:szCs w:val="17"/>
                <w:color w:val="auto"/>
                <w:w w:val="91"/>
              </w:rPr>
              <w:t>Sale of property and equipment and other long-term</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7"/>
                <w:szCs w:val="17"/>
                <w:color w:val="auto"/>
              </w:rPr>
              <w:t>assets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9,112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1,667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80" w:type="dxa"/>
            <w:vAlign w:val="bottom"/>
          </w:tcPr>
          <w:p>
            <w:pPr>
              <w:ind w:left="1080"/>
              <w:spacing w:after="0"/>
              <w:rPr>
                <w:sz w:val="20"/>
                <w:szCs w:val="20"/>
                <w:color w:val="auto"/>
              </w:rPr>
            </w:pPr>
            <w:r>
              <w:rPr>
                <w:rFonts w:ascii="Arial" w:cs="Arial" w:eastAsia="Arial" w:hAnsi="Arial"/>
                <w:sz w:val="18"/>
                <w:szCs w:val="18"/>
                <w:color w:val="auto"/>
              </w:rPr>
              <w:t>F-35</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2920"/>
        <w:spacing w:after="0"/>
        <w:rPr>
          <w:sz w:val="20"/>
          <w:szCs w:val="20"/>
          <w:color w:val="auto"/>
        </w:rPr>
      </w:pPr>
      <w:r>
        <w:rPr>
          <w:rFonts w:ascii="Arial" w:cs="Arial" w:eastAsia="Arial" w:hAnsi="Arial"/>
          <w:sz w:val="17"/>
          <w:szCs w:val="17"/>
          <w:b w:val="1"/>
          <w:bCs w:val="1"/>
          <w:color w:val="auto"/>
        </w:rPr>
        <w:t xml:space="preserve">NOTES TO CONSOLIDATED FINANCIAL STATEMENTS </w:t>
      </w:r>
      <w:r>
        <w:rPr>
          <w:rFonts w:ascii="Arial" w:cs="Arial" w:eastAsia="Arial" w:hAnsi="Arial"/>
          <w:sz w:val="17"/>
          <w:szCs w:val="17"/>
          <w:color w:val="auto"/>
        </w:rPr>
        <w:t>- continued</w:t>
      </w:r>
    </w:p>
    <w:p>
      <w:pPr>
        <w:spacing w:after="0" w:line="39"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351" w:lineRule="exact"/>
        <w:rPr>
          <w:sz w:val="20"/>
          <w:szCs w:val="20"/>
          <w:color w:val="auto"/>
        </w:rPr>
      </w:pPr>
    </w:p>
    <w:p>
      <w:pPr>
        <w:ind w:left="640"/>
        <w:spacing w:after="0"/>
        <w:tabs>
          <w:tab w:leader="none" w:pos="4720" w:val="left"/>
        </w:tabs>
        <w:rPr>
          <w:sz w:val="20"/>
          <w:szCs w:val="20"/>
          <w:color w:val="auto"/>
        </w:rPr>
      </w:pPr>
      <w:r>
        <w:rPr>
          <w:rFonts w:ascii="Arial" w:cs="Arial" w:eastAsia="Arial" w:hAnsi="Arial"/>
          <w:sz w:val="18"/>
          <w:szCs w:val="18"/>
          <w:u w:val="single" w:color="auto"/>
          <w:color w:val="auto"/>
        </w:rPr>
        <w:t>Related companies</w:t>
      </w:r>
      <w:r>
        <w:rPr>
          <w:sz w:val="20"/>
          <w:szCs w:val="20"/>
          <w:color w:val="auto"/>
        </w:rPr>
        <w:tab/>
      </w:r>
      <w:r>
        <w:rPr>
          <w:rFonts w:ascii="Arial" w:cs="Arial" w:eastAsia="Arial" w:hAnsi="Arial"/>
          <w:sz w:val="16"/>
          <w:szCs w:val="16"/>
          <w:color w:val="auto"/>
        </w:rPr>
        <w:t>Nature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23495</wp:posOffset>
            </wp:positionV>
            <wp:extent cx="20326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Transactions with affiliated companies - </w:t>
      </w:r>
      <w:r>
        <w:rPr>
          <w:rFonts w:ascii="Arial" w:cs="Arial" w:eastAsia="Arial" w:hAnsi="Arial"/>
          <w:sz w:val="17"/>
          <w:szCs w:val="17"/>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671512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671512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p>
      <w:pPr>
        <w:spacing w:after="0"/>
        <w:tabs>
          <w:tab w:leader="none" w:pos="1120" w:val="left"/>
          <w:tab w:leader="none" w:pos="218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u w:val="single" w:color="auto"/>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14605</wp:posOffset>
            </wp:positionV>
            <wp:extent cx="3086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14605</wp:posOffset>
            </wp:positionV>
            <wp:extent cx="3086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-130810</wp:posOffset>
            </wp:positionV>
            <wp:extent cx="1672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8500" w:space="100"/>
            <w:col w:w="2640"/>
          </w:cols>
          <w:pgMar w:left="240" w:top="459" w:right="419" w:bottom="1440" w:gutter="0" w:footer="0" w:header="0"/>
        </w:sectPr>
      </w:pPr>
    </w:p>
    <w:tbl>
      <w:tblPr>
        <w:tblLayout w:type="fixed"/>
        <w:tblInd w:w="640" w:type="dxa"/>
        <w:tblCellMar>
          <w:top w:w="0" w:type="dxa"/>
          <w:left w:w="0" w:type="dxa"/>
          <w:bottom w:w="0" w:type="dxa"/>
          <w:right w:w="0" w:type="dxa"/>
        </w:tblCellMar>
      </w:tblPr>
      <w:tr>
        <w:trPr>
          <w:trHeight w:val="203"/>
        </w:trPr>
        <w:tc>
          <w:tcPr>
            <w:tcW w:w="3600" w:type="dxa"/>
            <w:vAlign w:val="bottom"/>
            <w:gridSpan w:val="2"/>
          </w:tcPr>
          <w:p>
            <w:pPr>
              <w:jc w:val="center"/>
              <w:ind w:right="1172"/>
              <w:spacing w:after="0"/>
              <w:rPr>
                <w:sz w:val="20"/>
                <w:szCs w:val="20"/>
                <w:color w:val="auto"/>
              </w:rPr>
            </w:pPr>
            <w:r>
              <w:rPr>
                <w:rFonts w:ascii="Arial" w:cs="Arial" w:eastAsia="Arial" w:hAnsi="Arial"/>
                <w:sz w:val="17"/>
                <w:szCs w:val="17"/>
                <w:color w:val="auto"/>
                <w:w w:val="92"/>
              </w:rPr>
              <w:t>A joint venture and a subsidiary of</w:t>
            </w:r>
          </w:p>
        </w:tc>
        <w:tc>
          <w:tcPr>
            <w:tcW w:w="3940" w:type="dxa"/>
            <w:vAlign w:val="bottom"/>
          </w:tcPr>
          <w:p>
            <w:pPr>
              <w:ind w:left="500"/>
              <w:spacing w:after="0"/>
              <w:rPr>
                <w:sz w:val="20"/>
                <w:szCs w:val="20"/>
                <w:color w:val="auto"/>
              </w:rPr>
            </w:pPr>
            <w:r>
              <w:rPr>
                <w:rFonts w:ascii="Arial" w:cs="Arial" w:eastAsia="Arial" w:hAnsi="Arial"/>
                <w:sz w:val="17"/>
                <w:szCs w:val="17"/>
                <w:b w:val="1"/>
                <w:bCs w:val="1"/>
                <w:color w:val="auto"/>
              </w:rPr>
              <w:t>Costs and expenses (services provided to</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7"/>
                <w:szCs w:val="17"/>
                <w:color w:val="auto"/>
              </w:rPr>
              <w:t>MECOM Power and Construction Limited</w:t>
            </w:r>
          </w:p>
        </w:tc>
        <w:tc>
          <w:tcPr>
            <w:tcW w:w="3940" w:type="dxa"/>
            <w:vAlign w:val="bottom"/>
          </w:tcPr>
          <w:p>
            <w:pPr>
              <w:ind w:left="680"/>
              <w:spacing w:after="0"/>
              <w:rPr>
                <w:sz w:val="20"/>
                <w:szCs w:val="20"/>
                <w:color w:val="auto"/>
              </w:rPr>
            </w:pPr>
            <w:r>
              <w:rPr>
                <w:rFonts w:ascii="Arial" w:cs="Arial" w:eastAsia="Arial" w:hAnsi="Arial"/>
                <w:sz w:val="17"/>
                <w:szCs w:val="17"/>
                <w:b w:val="1"/>
                <w:bCs w:val="1"/>
                <w:color w:val="auto"/>
              </w:rPr>
              <w:t>the Group):</w:t>
            </w:r>
          </w:p>
        </w:tc>
        <w:tc>
          <w:tcPr>
            <w:tcW w:w="1160" w:type="dxa"/>
            <w:vAlign w:val="bottom"/>
            <w:vMerge w:val="restart"/>
          </w:tcPr>
          <w:p>
            <w:pPr>
              <w:jc w:val="right"/>
              <w:ind w:right="235"/>
              <w:spacing w:after="0"/>
              <w:rPr>
                <w:sz w:val="20"/>
                <w:szCs w:val="20"/>
                <w:color w:val="auto"/>
              </w:rPr>
            </w:pPr>
            <w:r>
              <w:rPr>
                <w:rFonts w:ascii="Arial" w:cs="Arial" w:eastAsia="Arial" w:hAnsi="Arial"/>
                <w:sz w:val="17"/>
                <w:szCs w:val="17"/>
                <w:color w:val="auto"/>
              </w:rPr>
              <w:t>$2,878</w:t>
            </w:r>
          </w:p>
        </w:tc>
        <w:tc>
          <w:tcPr>
            <w:tcW w:w="1140" w:type="dxa"/>
            <w:vAlign w:val="bottom"/>
            <w:vMerge w:val="restart"/>
          </w:tcPr>
          <w:p>
            <w:pPr>
              <w:jc w:val="right"/>
              <w:ind w:right="235"/>
              <w:spacing w:after="0"/>
              <w:rPr>
                <w:sz w:val="20"/>
                <w:szCs w:val="20"/>
                <w:color w:val="auto"/>
              </w:rPr>
            </w:pPr>
            <w:r>
              <w:rPr>
                <w:rFonts w:ascii="Arial" w:cs="Arial" w:eastAsia="Arial" w:hAnsi="Arial"/>
                <w:sz w:val="17"/>
                <w:szCs w:val="17"/>
                <w:color w:val="auto"/>
              </w:rPr>
              <w:t>$  568</w:t>
            </w:r>
          </w:p>
        </w:tc>
        <w:tc>
          <w:tcPr>
            <w:tcW w:w="760" w:type="dxa"/>
            <w:vAlign w:val="bottom"/>
            <w:vMerge w:val="restart"/>
          </w:tcPr>
          <w:p>
            <w:pPr>
              <w:jc w:val="right"/>
              <w:ind w:right="75"/>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80" w:type="dxa"/>
            <w:vAlign w:val="bottom"/>
          </w:tcPr>
          <w:p>
            <w:pPr>
              <w:ind w:left="160"/>
              <w:spacing w:after="0"/>
              <w:rPr>
                <w:sz w:val="20"/>
                <w:szCs w:val="20"/>
                <w:color w:val="auto"/>
              </w:rPr>
            </w:pPr>
            <w:r>
              <w:rPr>
                <w:rFonts w:ascii="Arial" w:cs="Arial" w:eastAsia="Arial" w:hAnsi="Arial"/>
                <w:sz w:val="2"/>
                <w:szCs w:val="2"/>
                <w:color w:val="auto"/>
              </w:rPr>
              <w:t>(“MECOM”)</w:t>
            </w:r>
          </w:p>
        </w:tc>
        <w:tc>
          <w:tcPr>
            <w:tcW w:w="3940" w:type="dxa"/>
            <w:vAlign w:val="bottom"/>
          </w:tcPr>
          <w:p>
            <w:pPr>
              <w:ind w:left="500"/>
              <w:spacing w:after="0"/>
              <w:rPr>
                <w:sz w:val="20"/>
                <w:szCs w:val="20"/>
                <w:color w:val="auto"/>
              </w:rPr>
            </w:pPr>
            <w:r>
              <w:rPr>
                <w:rFonts w:ascii="Arial" w:cs="Arial" w:eastAsia="Arial" w:hAnsi="Arial"/>
                <w:sz w:val="2"/>
                <w:szCs w:val="2"/>
                <w:color w:val="auto"/>
              </w:rPr>
              <w:t>Consultancy fee</w:t>
            </w:r>
          </w:p>
        </w:tc>
        <w:tc>
          <w:tcPr>
            <w:tcW w:w="116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gridSpan w:val="2"/>
          </w:tcPr>
          <w:p>
            <w:pPr>
              <w:jc w:val="right"/>
              <w:ind w:right="2292"/>
              <w:spacing w:after="0"/>
              <w:rPr>
                <w:sz w:val="20"/>
                <w:szCs w:val="20"/>
                <w:color w:val="auto"/>
              </w:rPr>
            </w:pPr>
            <w:r>
              <w:rPr>
                <w:rFonts w:ascii="Arial" w:cs="Arial" w:eastAsia="Arial" w:hAnsi="Arial"/>
                <w:sz w:val="15"/>
                <w:szCs w:val="15"/>
                <w:color w:val="auto"/>
              </w:rPr>
              <w:t>(6)</w:t>
            </w:r>
          </w:p>
        </w:tc>
        <w:tc>
          <w:tcPr>
            <w:tcW w:w="3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94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Purchase of assets:</w:t>
            </w: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940" w:type="dxa"/>
            <w:vAlign w:val="bottom"/>
          </w:tcPr>
          <w:p>
            <w:pPr>
              <w:ind w:left="500"/>
              <w:spacing w:after="0" w:line="185" w:lineRule="exact"/>
              <w:rPr>
                <w:sz w:val="20"/>
                <w:szCs w:val="20"/>
                <w:color w:val="auto"/>
              </w:rPr>
            </w:pPr>
            <w:r>
              <w:rPr>
                <w:rFonts w:ascii="Arial" w:cs="Arial" w:eastAsia="Arial" w:hAnsi="Arial"/>
                <w:sz w:val="17"/>
                <w:szCs w:val="17"/>
                <w:color w:val="auto"/>
              </w:rPr>
              <w:t>Construction and renovation work performed</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940" w:type="dxa"/>
            <w:vAlign w:val="bottom"/>
          </w:tcPr>
          <w:p>
            <w:pPr>
              <w:ind w:left="680"/>
              <w:spacing w:after="0"/>
              <w:rPr>
                <w:sz w:val="20"/>
                <w:szCs w:val="20"/>
                <w:color w:val="auto"/>
              </w:rPr>
            </w:pPr>
            <w:r>
              <w:rPr>
                <w:rFonts w:ascii="Arial" w:cs="Arial" w:eastAsia="Arial" w:hAnsi="Arial"/>
                <w:sz w:val="17"/>
                <w:szCs w:val="17"/>
                <w:color w:val="auto"/>
              </w:rPr>
              <w:t>and recognized as property and equipment</w:t>
            </w:r>
          </w:p>
        </w:tc>
        <w:tc>
          <w:tcPr>
            <w:tcW w:w="1160" w:type="dxa"/>
            <w:vAlign w:val="bottom"/>
          </w:tcPr>
          <w:p>
            <w:pPr>
              <w:jc w:val="right"/>
              <w:ind w:right="235"/>
              <w:spacing w:after="0"/>
              <w:rPr>
                <w:sz w:val="20"/>
                <w:szCs w:val="20"/>
                <w:color w:val="auto"/>
              </w:rPr>
            </w:pPr>
            <w:r>
              <w:rPr>
                <w:rFonts w:ascii="Arial" w:cs="Arial" w:eastAsia="Arial" w:hAnsi="Arial"/>
                <w:sz w:val="17"/>
                <w:szCs w:val="17"/>
                <w:color w:val="auto"/>
              </w:rPr>
              <w:t>3,741</w:t>
            </w:r>
          </w:p>
        </w:tc>
        <w:tc>
          <w:tcPr>
            <w:tcW w:w="1140" w:type="dxa"/>
            <w:vAlign w:val="bottom"/>
          </w:tcPr>
          <w:p>
            <w:pPr>
              <w:jc w:val="right"/>
              <w:ind w:right="235"/>
              <w:spacing w:after="0"/>
              <w:rPr>
                <w:sz w:val="20"/>
                <w:szCs w:val="20"/>
                <w:color w:val="auto"/>
              </w:rPr>
            </w:pPr>
            <w:r>
              <w:rPr>
                <w:rFonts w:ascii="Arial" w:cs="Arial" w:eastAsia="Arial" w:hAnsi="Arial"/>
                <w:sz w:val="17"/>
                <w:szCs w:val="17"/>
                <w:color w:val="auto"/>
              </w:rPr>
              <w:t>5,101</w:t>
            </w:r>
          </w:p>
        </w:tc>
        <w:tc>
          <w:tcPr>
            <w:tcW w:w="7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1060" w:right="40" w:hanging="424"/>
        <w:spacing w:after="0" w:line="265"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These revenues primarily represented the retail values (before the adoption of the New Revenue Standard) or standalone selling prices (upon the adoption of the New Revenue Standard) of the complimentary services (including rooms, food and beverage and entertainment services) provided to Studio City Casino’s gaming patrons and charged to Melco Resorts Macau. For the years ended December 31, 2018, 2017 and 2016, the related party rooms and food and beverage revenues and entertainment revenues aggregated to $91,053, $84,190, and $77,153, respectively, of which $81,267, $74,326, and $61,784 related to Studio City Casino’s gaming patrons and $9,786, $9,864 and $15,369 related to non-Studio City Casino’s gaming patrons, respectively.</w:t>
      </w:r>
    </w:p>
    <w:p>
      <w:pPr>
        <w:spacing w:after="0" w:line="1" w:lineRule="exact"/>
        <w:rPr>
          <w:rFonts w:ascii="Arial" w:cs="Arial" w:eastAsia="Arial" w:hAnsi="Arial"/>
          <w:sz w:val="17"/>
          <w:szCs w:val="17"/>
          <w:color w:val="auto"/>
        </w:rPr>
      </w:pPr>
    </w:p>
    <w:p>
      <w:pPr>
        <w:ind w:left="1060" w:right="260" w:hanging="424"/>
        <w:spacing w:after="0" w:line="250"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Services provided by the Group to Melco and its subsidiaries mainly include, but are not limited to, certain shared administrative services and shuttle bus transportation services provided to Studio City Casino.</w:t>
      </w:r>
    </w:p>
    <w:p>
      <w:pPr>
        <w:ind w:left="1060" w:right="40" w:hanging="424"/>
        <w:spacing w:after="0" w:line="250"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Staff costs are recharged by Melco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spacing w:after="0" w:line="1" w:lineRule="exact"/>
        <w:rPr>
          <w:rFonts w:ascii="Arial" w:cs="Arial" w:eastAsia="Arial" w:hAnsi="Arial"/>
          <w:sz w:val="18"/>
          <w:szCs w:val="18"/>
          <w:color w:val="auto"/>
        </w:rPr>
      </w:pPr>
    </w:p>
    <w:p>
      <w:pPr>
        <w:ind w:left="1060" w:right="120" w:hanging="424"/>
        <w:spacing w:after="0" w:line="250"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Corporate services are provided to the Group by Melco and its subsidiaries. These services include, but are not limited to, general corporate services and senior executive management services for operational purposes.</w:t>
      </w:r>
    </w:p>
    <w:p>
      <w:pPr>
        <w:ind w:left="1060" w:right="340" w:hanging="424"/>
        <w:spacing w:after="0" w:line="250" w:lineRule="auto"/>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During the year ended December 31, 2016, certain property and equipment with nil aggregate carrying amounts were purchased from an affiliated company at a total consideration of $139 and the Group recognized a loss on purchase of property and equipment of $139 as additional paid-in capital.</w:t>
      </w:r>
    </w:p>
    <w:p>
      <w:pPr>
        <w:spacing w:after="0" w:line="1" w:lineRule="exact"/>
        <w:rPr>
          <w:rFonts w:ascii="Arial" w:cs="Arial" w:eastAsia="Arial" w:hAnsi="Arial"/>
          <w:sz w:val="18"/>
          <w:szCs w:val="18"/>
          <w:color w:val="auto"/>
        </w:rPr>
      </w:pPr>
    </w:p>
    <w:p>
      <w:pPr>
        <w:ind w:left="1060" w:hanging="424"/>
        <w:spacing w:after="0"/>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company in which Mr. Lawrence Yau Lung Ho, the Company’s director, has a shareholding interest of approximately 20%.</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Commitments with Related Parties</w:t>
      </w:r>
    </w:p>
    <w:p>
      <w:pPr>
        <w:spacing w:after="0" w:line="12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color w:val="auto"/>
        </w:rPr>
        <w:t>As of December 31, 2018, the Group had capital commitments contracted but not incurred with a joint venture and a subsidiary of MECOM mainly for the construction for Studio City totaling $1,883.</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34"/>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rFonts w:ascii="Arial" w:cs="Arial" w:eastAsia="Arial" w:hAnsi="Arial"/>
          <w:sz w:val="18"/>
          <w:szCs w:val="18"/>
          <w:color w:val="auto"/>
        </w:rPr>
      </w:pPr>
    </w:p>
    <w:p>
      <w:pPr>
        <w:ind w:left="1080" w:right="240"/>
        <w:spacing w:after="0" w:line="277" w:lineRule="auto"/>
        <w:rPr>
          <w:rFonts w:ascii="Arial" w:cs="Arial" w:eastAsia="Arial" w:hAnsi="Arial"/>
          <w:sz w:val="18"/>
          <w:szCs w:val="18"/>
          <w:color w:val="auto"/>
        </w:rPr>
      </w:pPr>
      <w:r>
        <w:rPr>
          <w:rFonts w:ascii="Arial" w:cs="Arial" w:eastAsia="Arial" w:hAnsi="Arial"/>
          <w:sz w:val="18"/>
          <w:szCs w:val="18"/>
          <w:color w:val="auto"/>
        </w:rPr>
        <w:t>The outstanding balances mainly arising from operating income or prepayment of operating expenses as of December 31, 2018 and 2017, are unsecured, non-interest bearing and repayable on demand with details as follows:</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8"/>
                <w:szCs w:val="18"/>
                <w:color w:val="auto"/>
              </w:rPr>
              <w:t>December 31,</w:t>
            </w:r>
          </w:p>
        </w:tc>
      </w:tr>
      <w:tr>
        <w:trPr>
          <w:trHeight w:val="210"/>
        </w:trPr>
        <w:tc>
          <w:tcPr>
            <w:tcW w:w="476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2018</w:t>
            </w:r>
          </w:p>
        </w:tc>
        <w:tc>
          <w:tcPr>
            <w:tcW w:w="6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2017</w:t>
            </w:r>
          </w:p>
        </w:tc>
        <w:tc>
          <w:tcPr>
            <w:tcW w:w="6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Melco’s subsidiaries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42,338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60" w:type="dxa"/>
            <w:vAlign w:val="bottom"/>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Others</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37,826</w:t>
            </w:r>
          </w:p>
        </w:tc>
        <w:tc>
          <w:tcPr>
            <w:tcW w:w="6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60" w:hanging="424"/>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The outstanding balances mainly arising from construction and renovation work performed and operating expenses as of December 31,</w:t>
      </w:r>
    </w:p>
    <w:p>
      <w:pPr>
        <w:spacing w:after="0" w:line="46"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2018 and 2017, are unsecured, non-interest bearing and repayable on demand with details as follows:</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8"/>
                <w:szCs w:val="18"/>
                <w:color w:val="auto"/>
              </w:rPr>
              <w:t>December 31,</w:t>
            </w:r>
          </w:p>
        </w:tc>
      </w:tr>
      <w:tr>
        <w:trPr>
          <w:trHeight w:val="210"/>
        </w:trPr>
        <w:tc>
          <w:tcPr>
            <w:tcW w:w="8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2018</w:t>
            </w:r>
          </w:p>
        </w:tc>
        <w:tc>
          <w:tcPr>
            <w:tcW w:w="6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2017</w:t>
            </w:r>
          </w:p>
        </w:tc>
        <w:tc>
          <w:tcPr>
            <w:tcW w:w="60" w:type="dxa"/>
            <w:vAlign w:val="bottom"/>
            <w:tcBorders>
              <w:bottom w:val="single" w:sz="8" w:color="CCEEFF"/>
            </w:tcBorders>
          </w:tcPr>
          <w:p>
            <w:pPr>
              <w:spacing w:after="0"/>
              <w:rPr>
                <w:sz w:val="18"/>
                <w:szCs w:val="18"/>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Melco and its subsidiaries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18,543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17,168</w:t>
            </w:r>
          </w:p>
        </w:tc>
        <w:tc>
          <w:tcPr>
            <w:tcW w:w="6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A joint venture and a subsidiary of MECOM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2,302</w:t>
            </w:r>
          </w:p>
        </w:tc>
        <w:tc>
          <w:tcPr>
            <w:tcW w:w="6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r>
      <w:tr>
        <w:trPr>
          <w:trHeight w:val="223"/>
        </w:trPr>
        <w:tc>
          <w:tcPr>
            <w:tcW w:w="8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21,953</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w:t>
            </w:r>
          </w:p>
        </w:tc>
        <w:tc>
          <w:tcPr>
            <w:tcW w:w="6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jc w:val="both"/>
        <w:ind w:left="64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principal operating activities are engaged in the hospitality business and provision of gaming related services in Macau. The Group monitors its operations and evaluates earnings by reviewing the assets and operations of Studio City as one operating segment. Accordingly, the Group does not present separate segment information. As of December 31, 2018 and 2017, the Group operated in one geographical area, Macau, where it derives its revenue and its long-lived assets are located.</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rFonts w:ascii="Arial" w:cs="Arial" w:eastAsia="Arial" w:hAnsi="Arial"/>
          <w:sz w:val="18"/>
          <w:szCs w:val="18"/>
          <w:b w:val="1"/>
          <w:bCs w:val="1"/>
          <w:color w:val="auto"/>
        </w:rPr>
      </w:pPr>
    </w:p>
    <w:p>
      <w:pPr>
        <w:ind w:left="1060" w:right="560" w:hanging="424"/>
        <w:spacing w:after="0" w:line="277" w:lineRule="auto"/>
        <w:tabs>
          <w:tab w:leader="none" w:pos="10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January 2019, Melco Resorts Macau informed the Group that it will cease VIP rolling chip operations at the Studio City Casino on January 15, 2020.</w:t>
      </w:r>
    </w:p>
    <w:p>
      <w:pPr>
        <w:spacing w:after="0" w:line="75" w:lineRule="exact"/>
        <w:rPr>
          <w:rFonts w:ascii="Arial" w:cs="Arial" w:eastAsia="Arial" w:hAnsi="Arial"/>
          <w:sz w:val="18"/>
          <w:szCs w:val="18"/>
          <w:color w:val="auto"/>
        </w:rPr>
      </w:pPr>
    </w:p>
    <w:p>
      <w:pPr>
        <w:ind w:left="1060" w:right="220" w:hanging="424"/>
        <w:spacing w:after="0" w:line="302" w:lineRule="auto"/>
        <w:tabs>
          <w:tab w:leader="none" w:pos="10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On January 22, 2019, Studio City Finance initiated a conditional tender offer (the “Conditional Tender Offer”) to purchase the outstanding 2012 Studio City Notes in aggregate principal amount of $425,000, with accrued interest. The Conditional Tender Offer was conditional upon sufficient funding from completion of one or more debt financing transactions, together with cash on hand. The Conditional Tender Offer expired on February 4, 2019 with $216,534 aggregate principal amount of the 2012 Studio City Notes tendered.</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1060" w:hanging="424"/>
        <w:spacing w:after="0" w:line="297" w:lineRule="auto"/>
        <w:tabs>
          <w:tab w:leader="none" w:pos="10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On February 11, 2019, Studio City Finance issued $600,000 in aggregate principal amount of 7.250% senior notes due 2024 and priced at 100% (the “2019 Studio City Notes”). The net proceeds from the 2019 Studio City Notes were partly used to fund the Conditional Tender Offer, and to redeem in full the remaining outstanding 2012 Studio City Notes in aggregate principal amount of $208,466, with accrued interest on March 13, 2019. All of the existing subsidiaries of Studio City Finance and any other future restricted subsidiaries as defined in the 2019 Studio City Notes are guarantors to guarantee the indebtedness under the 2019 Studio City Notes.</w:t>
      </w:r>
    </w:p>
    <w:p>
      <w:pPr>
        <w:spacing w:after="0" w:line="50"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color w:val="auto"/>
        </w:rPr>
        <w:t>In preparing the consolidated financial statements, the Group has evaluated events and transactions for potential recognition and disclosure through March 29, 2019, the date the consolidated financial statements were available to be issued.</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60"/>
          </w:cols>
          <w:pgMar w:left="240" w:top="460" w:right="5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4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Bank deposit with original maturity over three months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Amounts due from subsidiaries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843,472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140" w:type="dxa"/>
            <w:vAlign w:val="bottom"/>
            <w:gridSpan w:val="2"/>
          </w:tcPr>
          <w:p>
            <w:pPr>
              <w:spacing w:after="0"/>
              <w:rPr>
                <w:sz w:val="20"/>
                <w:szCs w:val="20"/>
                <w:color w:val="auto"/>
              </w:rPr>
            </w:pPr>
            <w:r>
              <w:rPr>
                <w:rFonts w:ascii="Arial" w:cs="Arial" w:eastAsia="Arial" w:hAnsi="Arial"/>
                <w:sz w:val="18"/>
                <w:szCs w:val="18"/>
                <w:color w:val="auto"/>
              </w:rPr>
              <w:t>LOAN TO A SUBSIDIARY</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8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849,443</w:t>
            </w:r>
          </w:p>
        </w:tc>
        <w:tc>
          <w:tcPr>
            <w:tcW w:w="4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747,424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vMerge w:val="restart"/>
          </w:tcPr>
          <w:p>
            <w:pPr>
              <w:spacing w:after="0"/>
              <w:rPr>
                <w:sz w:val="4"/>
                <w:szCs w:val="4"/>
                <w:color w:val="auto"/>
              </w:rPr>
            </w:pPr>
          </w:p>
        </w:tc>
        <w:tc>
          <w:tcPr>
            <w:tcW w:w="8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subsidiaries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ordinary shares, par value $0.0001; 1,927,488,240 shares authorized; 241,818,016 and 181,279,400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 outstanding</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3"/>
              </w:rPr>
              <w:t>Class B ordinary shares, par value $0.0001; 72,511,760 shares authorized; 72,511,760 and nil shares issued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and outstanding</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1,655,602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1,512,705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(14,063)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(798,098)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(773,168)</w:t>
            </w: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843,472</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740,043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849,443</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5320"/>
              <w:spacing w:after="0"/>
              <w:rPr>
                <w:sz w:val="20"/>
                <w:szCs w:val="20"/>
                <w:color w:val="auto"/>
              </w:rPr>
            </w:pPr>
            <w:r>
              <w:rPr>
                <w:rFonts w:ascii="Arial" w:cs="Arial" w:eastAsia="Arial" w:hAnsi="Arial"/>
                <w:sz w:val="18"/>
                <w:szCs w:val="18"/>
                <w:color w:val="auto"/>
              </w:rPr>
              <w:t>F-39</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20" w:right="252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OPERATIONS (In thousands of U.S. dollars)</w:t>
      </w:r>
    </w:p>
    <w:p>
      <w:pPr>
        <w:spacing w:after="0" w:line="200" w:lineRule="exact"/>
        <w:rPr>
          <w:sz w:val="20"/>
          <w:szCs w:val="20"/>
          <w:color w:val="auto"/>
        </w:rPr>
      </w:pP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Property charges and other</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 net</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Share of results of subsidiaries</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(22,183)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(76,154)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(241,780)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(21,465)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(241,763)</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3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(21,598)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(76,437)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(242,789)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(21,598</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(242,789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40" w:type="dxa"/>
            <w:vAlign w:val="bottom"/>
            <w:gridSpan w:val="2"/>
          </w:tcPr>
          <w:p>
            <w:pPr>
              <w:jc w:val="right"/>
              <w:ind w:right="1985"/>
              <w:spacing w:after="0"/>
              <w:rPr>
                <w:sz w:val="20"/>
                <w:szCs w:val="20"/>
                <w:color w:val="auto"/>
              </w:rPr>
            </w:pPr>
            <w:r>
              <w:rPr>
                <w:rFonts w:ascii="Arial" w:cs="Arial" w:eastAsia="Arial" w:hAnsi="Arial"/>
                <w:sz w:val="18"/>
                <w:szCs w:val="18"/>
                <w:color w:val="auto"/>
              </w:rPr>
              <w:t>F-40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20" w:right="252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COMPREHENSIVE LOSS (In thousands of U.S. dollars)</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gridSpan w:val="6"/>
          </w:tcPr>
          <w:p>
            <w:pPr>
              <w:jc w:val="right"/>
              <w:ind w:right="780"/>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2017</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$(21,598)</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$(76,437)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$(242,789)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 before and after tax</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Changes in fair values of interest rate swap agreements, before and after tax</w:t>
            </w:r>
          </w:p>
        </w:tc>
        <w:tc>
          <w:tcPr>
            <w:tcW w:w="940" w:type="dxa"/>
            <w:vAlign w:val="bottom"/>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9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(36,149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(76,437</w:t>
            </w:r>
          </w:p>
        </w:tc>
        <w:tc>
          <w:tcPr>
            <w:tcW w:w="340" w:type="dxa"/>
            <w:vAlign w:val="bottom"/>
          </w:tcPr>
          <w:p>
            <w:pPr>
              <w:jc w:val="right"/>
              <w:ind w:right="260"/>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(242,728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vMerge w:val="restart"/>
          </w:tcPr>
          <w:p>
            <w:pPr>
              <w:ind w:left="5320"/>
              <w:spacing w:after="0"/>
              <w:rPr>
                <w:sz w:val="20"/>
                <w:szCs w:val="20"/>
                <w:color w:val="auto"/>
              </w:rPr>
            </w:pPr>
            <w:r>
              <w:rPr>
                <w:rFonts w:ascii="Arial" w:cs="Arial" w:eastAsia="Arial" w:hAnsi="Arial"/>
                <w:sz w:val="18"/>
                <w:szCs w:val="18"/>
                <w:color w:val="auto"/>
              </w:rPr>
              <w:t>F-41</w:t>
            </w:r>
          </w:p>
        </w:tc>
        <w:tc>
          <w:tcPr>
            <w:tcW w:w="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20" w:right="252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CASH FLOWS (In thousands of U.S. dollars)</w:t>
      </w:r>
    </w:p>
    <w:p>
      <w:pPr>
        <w:spacing w:after="0" w:line="200" w:lineRule="exact"/>
        <w:rPr>
          <w:sz w:val="20"/>
          <w:szCs w:val="20"/>
          <w:color w:val="auto"/>
        </w:rPr>
      </w:pP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Year Ended December 31,</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2017</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2016</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(2,346)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Advances to subsidiaries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(423,553)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Withdrawal of bank deposit with original maturity over three months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Placement of bank deposit with original maturity over three months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(5,000)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0"/>
              </w:rPr>
              <w:t>(418,553)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(5,006)</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(2,088)</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CASH FLOW FROM A FINANCING ACTIVITY</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share capital</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405,152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Cash provided by a financing activity</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405,152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(15,747)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(5,327)</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27,044</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30,274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3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21,717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27,044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ACTIVITY</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Offering expenses capitalized for the issuance of share capital included in accrued expenses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other current liabilities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3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00" w:type="dxa"/>
            <w:vAlign w:val="bottom"/>
            <w:gridSpan w:val="12"/>
          </w:tcPr>
          <w:p>
            <w:pPr>
              <w:spacing w:after="0"/>
              <w:rPr>
                <w:sz w:val="20"/>
                <w:szCs w:val="20"/>
                <w:color w:val="auto"/>
              </w:rPr>
            </w:pPr>
            <w:r>
              <w:rPr>
                <w:rFonts w:ascii="Arial" w:cs="Arial" w:eastAsia="Arial" w:hAnsi="Arial"/>
                <w:sz w:val="18"/>
                <w:szCs w:val="18"/>
                <w:color w:val="auto"/>
              </w:rPr>
              <w:t>RECONCILIATION OF CASH, CASH EQUIVALENTS AND RESTRICTED CASH TO THE CONDENSED BALANCE SHEETS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9"/>
          </w:tcPr>
          <w:p>
            <w:pPr>
              <w:jc w:val="right"/>
              <w:ind w:right="6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2017</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Restricted cash</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21,703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5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5320"/>
              <w:spacing w:after="0"/>
              <w:rPr>
                <w:sz w:val="20"/>
                <w:szCs w:val="20"/>
                <w:color w:val="auto"/>
              </w:rPr>
            </w:pPr>
            <w:r>
              <w:rPr>
                <w:rFonts w:ascii="Arial" w:cs="Arial" w:eastAsia="Arial" w:hAnsi="Arial"/>
                <w:sz w:val="18"/>
                <w:szCs w:val="18"/>
                <w:color w:val="auto"/>
              </w:rPr>
              <w:t>F-42</w:t>
            </w: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520" w:right="2400"/>
        <w:spacing w:after="0" w:line="261" w:lineRule="auto"/>
        <w:rPr>
          <w:sz w:val="20"/>
          <w:szCs w:val="20"/>
          <w:color w:val="auto"/>
        </w:rPr>
      </w:pPr>
      <w:r>
        <w:rPr>
          <w:rFonts w:ascii="Arial" w:cs="Arial" w:eastAsia="Arial" w:hAnsi="Arial"/>
          <w:sz w:val="18"/>
          <w:szCs w:val="18"/>
          <w:b w:val="1"/>
          <w:bCs w:val="1"/>
          <w:color w:val="auto"/>
        </w:rPr>
        <w:t>ADDITIONAL INFORMATION—FINANCIAL STATEMENT SCHEDULE 1 FINANCIAL INFORMATION OF PARENT COMPANY NOTES TO CONDENSED FINANCIAL STATEMENT SCHEDULE 1 (In thousands of U.S. dollars, except share and per share data)</w:t>
      </w:r>
    </w:p>
    <w:p>
      <w:pPr>
        <w:spacing w:after="0" w:line="90" w:lineRule="exact"/>
        <w:rPr>
          <w:sz w:val="20"/>
          <w:szCs w:val="20"/>
          <w:color w:val="auto"/>
        </w:rPr>
      </w:pPr>
    </w:p>
    <w:p>
      <w:pPr>
        <w:ind w:left="640" w:hanging="436"/>
        <w:spacing w:after="0" w:line="272"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end of the most recently completed fiscal year. As of December 31, 2018, approximately $1,117,000 of the restricted net assets were not available for distribution, and as such, the condensed financial information of the Company has been presented for the years ended December 31, 2018, 2017 and 2016. The Company did not receive any cash dividend from its subsidiary during the years ended December 31, 2018, 2017 and 2016.</w:t>
      </w:r>
    </w:p>
    <w:p>
      <w:pPr>
        <w:spacing w:after="0" w:line="326" w:lineRule="exact"/>
        <w:rPr>
          <w:rFonts w:ascii="Arial" w:cs="Arial" w:eastAsia="Arial" w:hAnsi="Arial"/>
          <w:sz w:val="17"/>
          <w:szCs w:val="17"/>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17" w:lineRule="exact"/>
        <w:rPr>
          <w:rFonts w:ascii="Arial" w:cs="Arial" w:eastAsia="Arial" w:hAnsi="Arial"/>
          <w:sz w:val="18"/>
          <w:szCs w:val="18"/>
          <w:color w:val="auto"/>
        </w:rPr>
      </w:pPr>
    </w:p>
    <w:p>
      <w:pPr>
        <w:ind w:left="640" w:right="280"/>
        <w:spacing w:after="0" w:line="308" w:lineRule="auto"/>
        <w:rPr>
          <w:rFonts w:ascii="Arial" w:cs="Arial" w:eastAsia="Arial" w:hAnsi="Arial"/>
          <w:sz w:val="18"/>
          <w:szCs w:val="18"/>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the parent company has used equity method to account for its investments in subsidiaries.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240" w:top="460" w:right="5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(2018 REVISION)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(adopted by Special Resolution dated 15 October 2018 upon the continuation of Studio City International Holdings Limited from the British Virgin Islands to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71755</wp:posOffset>
            </wp:positionV>
            <wp:extent cx="848995" cy="9861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www.verify.gov.ky File#: 343696</w:t>
      </w:r>
    </w:p>
    <w:p>
      <w:pPr>
        <w:sectPr>
          <w:pgSz w:w="11900" w:h="16838" w:orient="portrait"/>
          <w:cols w:equalWidth="0" w:num="1">
            <w:col w:w="11020"/>
          </w:cols>
          <w:pgMar w:left="440" w:top="121" w:right="4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8640" w:type="dxa"/>
            <w:vAlign w:val="bottom"/>
          </w:tcPr>
          <w:p>
            <w:pPr>
              <w:ind w:left="45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45"/>
        </w:trPr>
        <w:tc>
          <w:tcPr>
            <w:tcW w:w="8640" w:type="dxa"/>
            <w:vAlign w:val="bottom"/>
          </w:tcPr>
          <w:p>
            <w:pPr>
              <w:spacing w:after="0"/>
              <w:rPr>
                <w:sz w:val="20"/>
                <w:szCs w:val="20"/>
                <w:color w:val="auto"/>
              </w:rPr>
            </w:pPr>
            <w:r>
              <w:rPr>
                <w:rFonts w:ascii="Arial" w:cs="Arial" w:eastAsia="Arial" w:hAnsi="Arial"/>
                <w:sz w:val="18"/>
                <w:szCs w:val="18"/>
                <w:color w:val="auto"/>
              </w:rPr>
              <w:t>TABLE A</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INTERPRETATION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PRELIMINARY</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ISSUE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CLASS B ORDINARY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REGISTER OF MEMBERS AND SHARE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TRANSFER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REDEMPTION AND PURCHASE OF OWN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VARIATIONS OF RIGHTS ATTACHING TO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COMMISSION ON SALE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FRACTIONAL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LIEN</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CALLS ON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FORFEITURE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REGISTRATION OF EMPOWERING INSTRUMENTS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TRANSMISSION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ALTERATION OF CAPITAL</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TREASURY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FIXING RECORD DATE</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GENERAL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VOTES OF MEMBERS</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CORPORATIONS ACTING BY REPRESENTATIVES AT MEETINGS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WRITTEN RESOLUTIONS OF MEMBERS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APPOINTMENT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OBSERVER</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ALTERNATE DIRECTOR</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POWERS AND DUTIES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BORROWING POWERS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THE SEAL</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DISQUALIFICATION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REGISTER OF DIRECTORS AND OFFICERS</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PROCEEDINGS OF DIRECTORS</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PRESUMPTION OF ASSENT</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DIVIDENDS, DISTRIBUTIONS AND RESERVE</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BOOK OF ACCOUNTS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ANNUAL RETURNS AND FILINGS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AUDIT</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OFFICERS AND AGENTS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CONFLICT OF INTERESTS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CAPITALISATION OF RESERVES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SHARE PREMIUM ACCOUNT</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INDEMNITY</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FINANCIAL YEAR</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WINDING UP</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94615</wp:posOffset>
            </wp:positionV>
            <wp:extent cx="848995" cy="9861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AMENDMENT OF ARTICLES OF ASSOCIATION</w:t>
            </w:r>
          </w:p>
        </w:tc>
        <w:tc>
          <w:tcPr>
            <w:tcW w:w="2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UNSUITABLE PERSONS AND SALE OR COMPULSORY REDEMPTION</w:t>
            </w:r>
          </w:p>
        </w:tc>
        <w:tc>
          <w:tcPr>
            <w:tcW w:w="2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REGISTRATION BY WAY OF CONTINUATION</w:t>
            </w:r>
          </w:p>
        </w:tc>
        <w:tc>
          <w:tcPr>
            <w:tcW w:w="2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MERGERS AND CONSOLIDATION</w:t>
            </w:r>
          </w:p>
        </w:tc>
        <w:tc>
          <w:tcPr>
            <w:tcW w:w="2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DISCLOSURE</w:t>
            </w:r>
          </w:p>
        </w:tc>
        <w:tc>
          <w:tcPr>
            <w:tcW w:w="2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SUPREMACY OF INITIAL SHAREHOLDERS AGREEMENT</w:t>
            </w:r>
          </w:p>
        </w:tc>
        <w:tc>
          <w:tcPr>
            <w:tcW w:w="2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CORPORATE OPPORTUNITY</w:t>
            </w:r>
          </w:p>
        </w:tc>
        <w:tc>
          <w:tcPr>
            <w:tcW w:w="27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94615</wp:posOffset>
            </wp:positionV>
            <wp:extent cx="848995" cy="9861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www.verify.gov.ky File#: 343696</w:t>
      </w:r>
    </w:p>
    <w:p>
      <w:pPr>
        <w:sectPr>
          <w:pgSz w:w="11900" w:h="16838" w:orient="portrait"/>
          <w:cols w:equalWidth="0" w:num="1">
            <w:col w:w="10980"/>
          </w:cols>
          <w:pgMar w:left="440" w:top="274" w:right="47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(2018 REVISION) (AS AMENDED)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33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(adopted by Special Resolution dated 15 October 2018 upon the continuation of Studio City International Holdings Limited from the British Virgin Islands to the Cayman Islands)</w:t>
      </w:r>
    </w:p>
    <w:p>
      <w:pPr>
        <w:spacing w:after="0" w:line="67" w:lineRule="exact"/>
        <w:rPr>
          <w:sz w:val="20"/>
          <w:szCs w:val="20"/>
          <w:color w:val="auto"/>
        </w:rPr>
      </w:pPr>
    </w:p>
    <w:p>
      <w:pPr>
        <w:ind w:left="440" w:hanging="436"/>
        <w:spacing w:after="0"/>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Studio City International Holdings Limited</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40" w:right="240" w:hanging="436"/>
        <w:spacing w:after="0" w:line="342" w:lineRule="auto"/>
        <w:tabs>
          <w:tab w:leader="none" w:pos="4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registered office of the Company will be situated at the offices of Vistra (Cayman) Limited, P.O. Box 31119 Grand Pavilion, Hibiscus Way, 802 West Bay Road, Grand Cayman, KY1-1205, Cayman Islands or at such other location as the Directors may from time to time determine.</w:t>
      </w:r>
    </w:p>
    <w:p>
      <w:pPr>
        <w:spacing w:after="0" w:line="29" w:lineRule="exact"/>
        <w:rPr>
          <w:rFonts w:ascii="Arial" w:cs="Arial" w:eastAsia="Arial" w:hAnsi="Arial"/>
          <w:sz w:val="16"/>
          <w:szCs w:val="16"/>
          <w:color w:val="auto"/>
        </w:rPr>
      </w:pPr>
    </w:p>
    <w:p>
      <w:pPr>
        <w:ind w:left="440" w:right="120" w:hanging="436"/>
        <w:spacing w:after="0" w:line="264" w:lineRule="auto"/>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was first incorporated on 2 August 2000 under the name of CYBER ONE AGENTS LIMITED in the British Virgin Islands. The Company registered by way of continuation as an exempted company limited by shares under the Companies Law (2018 Revision) (as amended) of the Cayman Islands (the “</w:t>
      </w:r>
      <w:r>
        <w:rPr>
          <w:rFonts w:ascii="Arial" w:cs="Arial" w:eastAsia="Arial" w:hAnsi="Arial"/>
          <w:sz w:val="18"/>
          <w:szCs w:val="18"/>
          <w:b w:val="1"/>
          <w:bCs w:val="1"/>
          <w:color w:val="auto"/>
        </w:rPr>
        <w:t>Law</w:t>
      </w:r>
      <w:r>
        <w:rPr>
          <w:rFonts w:ascii="Arial" w:cs="Arial" w:eastAsia="Arial" w:hAnsi="Arial"/>
          <w:sz w:val="18"/>
          <w:szCs w:val="18"/>
          <w:color w:val="auto"/>
        </w:rPr>
        <w:t>”) on 15 October 2018.</w:t>
      </w:r>
    </w:p>
    <w:p>
      <w:pPr>
        <w:spacing w:after="0" w:line="86" w:lineRule="exact"/>
        <w:rPr>
          <w:rFonts w:ascii="Arial" w:cs="Arial" w:eastAsia="Arial" w:hAnsi="Arial"/>
          <w:sz w:val="18"/>
          <w:szCs w:val="18"/>
          <w:color w:val="auto"/>
        </w:rPr>
      </w:pPr>
    </w:p>
    <w:p>
      <w:pPr>
        <w:ind w:left="440" w:right="20" w:hanging="436"/>
        <w:spacing w:after="0" w:line="277" w:lineRule="auto"/>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any law as provided by Section 7(4) of the Law.</w:t>
      </w:r>
    </w:p>
    <w:p>
      <w:pPr>
        <w:spacing w:after="0" w:line="75" w:lineRule="exact"/>
        <w:rPr>
          <w:rFonts w:ascii="Arial" w:cs="Arial" w:eastAsia="Arial" w:hAnsi="Arial"/>
          <w:sz w:val="18"/>
          <w:szCs w:val="18"/>
          <w:color w:val="auto"/>
        </w:rPr>
      </w:pPr>
    </w:p>
    <w:p>
      <w:pPr>
        <w:ind w:left="440" w:hanging="436"/>
        <w:spacing w:after="0" w:line="277" w:lineRule="auto"/>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have and be capable of exercising all the functions of a natural person of full capacity irrespective of any question of corporate benefit as provided by Section 27(2) of the Law.</w:t>
      </w:r>
    </w:p>
    <w:p>
      <w:pPr>
        <w:spacing w:after="0" w:line="75" w:lineRule="exact"/>
        <w:rPr>
          <w:rFonts w:ascii="Arial" w:cs="Arial" w:eastAsia="Arial" w:hAnsi="Arial"/>
          <w:sz w:val="18"/>
          <w:szCs w:val="18"/>
          <w:color w:val="auto"/>
        </w:rPr>
      </w:pPr>
    </w:p>
    <w:p>
      <w:pPr>
        <w:ind w:left="440" w:right="260" w:hanging="436"/>
        <w:spacing w:after="0" w:line="259" w:lineRule="auto"/>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liability of the members of the Company is limited to the amount, if any, unpaid on the shares respectively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109220</wp:posOffset>
            </wp:positionV>
            <wp:extent cx="848995" cy="9861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97" w:name="page198"/>
    <w:bookmarkEnd w:id="197"/>
    <w:p>
      <w:pPr>
        <w:ind w:left="436" w:hanging="436"/>
        <w:spacing w:after="0" w:line="272" w:lineRule="auto"/>
        <w:tabs>
          <w:tab w:leader="none" w:pos="436"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authorised share capital of the Company is US$200,000 divided into 2,000,000,000 shares comprising of (i) 1,927,488,240 Class A Ordinary Shares of a par value of US$0.0001 each and (ii) 72,511,760 Class B Ordinary Shares of a par value of US$0.0001 each; provided always that subject to the provisions of the Law and the Articles,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83" w:lineRule="exact"/>
        <w:rPr>
          <w:rFonts w:ascii="Arial" w:cs="Arial" w:eastAsia="Arial" w:hAnsi="Arial"/>
          <w:sz w:val="17"/>
          <w:szCs w:val="17"/>
          <w:color w:val="auto"/>
        </w:rPr>
      </w:pPr>
    </w:p>
    <w:p>
      <w:pPr>
        <w:ind w:left="436" w:right="400" w:hanging="436"/>
        <w:spacing w:after="0" w:line="277" w:lineRule="auto"/>
        <w:tabs>
          <w:tab w:leader="none" w:pos="4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may exercise the power contained in Section 206 of the Law to deregister in the Cayman Islands and be registered by way of continuation in some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74295</wp:posOffset>
            </wp:positionV>
            <wp:extent cx="848995" cy="9861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ind w:left="569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96"/>
          </w:cols>
          <w:pgMar w:left="444" w:top="274" w:right="55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(2018 REVISION) (AS AMENDED)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CAYMAN ISLANDS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33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(adopted by Special Resolution dated 15 October 2018 upon the continuation of Studio City International Holdings Limited from the British Virgin Islands to the Cayman Islands)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Regulations contained or incorporated in Table “A” in the First Schedule of the Law shall not apply to the Company and the following Articles shall comprise the Articles of Association of the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440" w:right="1000" w:hanging="436"/>
        <w:spacing w:after="0" w:line="373" w:lineRule="auto"/>
        <w:tabs>
          <w:tab w:leader="none" w:pos="43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 “</w:t>
      </w:r>
      <w:r>
        <w:rPr>
          <w:rFonts w:ascii="Arial" w:cs="Arial" w:eastAsia="Arial" w:hAnsi="Arial"/>
          <w:sz w:val="18"/>
          <w:szCs w:val="18"/>
          <w:b w:val="1"/>
          <w:bCs w:val="1"/>
          <w:color w:val="auto"/>
        </w:rPr>
        <w:t>ADS</w:t>
      </w:r>
      <w:r>
        <w:rPr>
          <w:rFonts w:ascii="Arial" w:cs="Arial" w:eastAsia="Arial" w:hAnsi="Arial"/>
          <w:sz w:val="18"/>
          <w:szCs w:val="18"/>
          <w:color w:val="auto"/>
        </w:rPr>
        <w:t>” means an American Depositary Share, each representing four (4) Class A Ordinary Shares;</w:t>
      </w:r>
    </w:p>
    <w:p>
      <w:pPr>
        <w:ind w:left="440" w:right="2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who, directly or indirectly, through one or more intermediaries, controls, is controlled by or is under common control with, a specified Person. For the purpose of the definition of Affiliate, “control”, “controlled by” and “under common control with” means the possession, direct or indirect, of the power to direct or cause the direction of the management and policies of a Person, whether through ownership of voting shares, by agreement, contract or otherwise;</w:t>
      </w:r>
    </w:p>
    <w:p>
      <w:pPr>
        <w:spacing w:after="0" w:line="71" w:lineRule="exact"/>
        <w:rPr>
          <w:rFonts w:ascii="Arial" w:cs="Arial" w:eastAsia="Arial" w:hAnsi="Arial"/>
          <w:sz w:val="18"/>
          <w:szCs w:val="18"/>
          <w:color w:val="auto"/>
        </w:rPr>
      </w:pPr>
    </w:p>
    <w:p>
      <w:pPr>
        <w:ind w:left="440" w:right="240"/>
        <w:spacing w:after="0" w:line="28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Affiliated Companies”</w:t>
      </w:r>
      <w:r>
        <w:rPr>
          <w:rFonts w:ascii="Arial" w:cs="Arial" w:eastAsia="Arial" w:hAnsi="Arial"/>
          <w:sz w:val="17"/>
          <w:szCs w:val="17"/>
          <w:color w:val="auto"/>
        </w:rPr>
        <w:t xml:space="preserve"> means those partnerships, corporations, limited liability companies, trusts or other entities that are Affiliates of the Company, including, without limitation, subsidiaries, holding companies and intermediary companies (as those and similar terms are defined in the Gaming Laws of the applicable Gaming Jurisdictions) that are registered or licensed under applicable Gaming Laws;</w:t>
      </w:r>
    </w:p>
    <w:p>
      <w:pPr>
        <w:spacing w:after="0" w:line="50" w:lineRule="exact"/>
        <w:rPr>
          <w:rFonts w:ascii="Arial" w:cs="Arial" w:eastAsia="Arial" w:hAnsi="Arial"/>
          <w:sz w:val="18"/>
          <w:szCs w:val="18"/>
          <w:color w:val="auto"/>
        </w:rPr>
      </w:pPr>
    </w:p>
    <w:p>
      <w:pPr>
        <w:ind w:left="440" w:right="60"/>
        <w:spacing w:after="0" w:line="353"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means any law or legal or regulatory compliance requirement, including at common law, in equity, under any statute, regulation or by-law and any decision, directive, guidance, guideline or requirement of any Governmental Agency or the relevant stock exchange; “</w:t>
      </w:r>
      <w:r>
        <w:rPr>
          <w:rFonts w:ascii="Arial" w:cs="Arial" w:eastAsia="Arial" w:hAnsi="Arial"/>
          <w:sz w:val="17"/>
          <w:szCs w:val="17"/>
          <w:b w:val="1"/>
          <w:bCs w:val="1"/>
          <w:color w:val="auto"/>
        </w:rPr>
        <w:t>Articles</w:t>
      </w:r>
      <w:r>
        <w:rPr>
          <w:rFonts w:ascii="Arial" w:cs="Arial" w:eastAsia="Arial" w:hAnsi="Arial"/>
          <w:sz w:val="17"/>
          <w:szCs w:val="17"/>
          <w:color w:val="auto"/>
        </w:rPr>
        <w:t>” means these articles of association of the Company as amended or substituted from time to time;</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Branch Register”</w:t>
      </w:r>
      <w:r>
        <w:rPr>
          <w:rFonts w:ascii="Arial" w:cs="Arial" w:eastAsia="Arial" w:hAnsi="Arial"/>
          <w:sz w:val="16"/>
          <w:szCs w:val="16"/>
          <w:color w:val="auto"/>
        </w:rPr>
        <w:t xml:space="preserve"> means any branch Register of such category or categories of Members as the Company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126365</wp:posOffset>
            </wp:positionV>
            <wp:extent cx="848995" cy="9861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capital</w:t>
      </w:r>
      <w:r>
        <w:rPr>
          <w:rFonts w:ascii="Arial" w:cs="Arial" w:eastAsia="Arial" w:hAnsi="Arial"/>
          <w:sz w:val="18"/>
          <w:szCs w:val="18"/>
          <w:color w:val="auto"/>
        </w:rPr>
        <w:t>” means the share capital from time to time of the Company;</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Ordinary Shares”</w:t>
      </w:r>
      <w:r>
        <w:rPr>
          <w:rFonts w:ascii="Arial" w:cs="Arial" w:eastAsia="Arial" w:hAnsi="Arial"/>
          <w:sz w:val="18"/>
          <w:szCs w:val="18"/>
          <w:color w:val="auto"/>
        </w:rPr>
        <w:t xml:space="preserve"> means the Class A Ordinary Shares of a par value of US$0.0001 per share in the capital of the Company, having the rights provided for in these Articles;</w:t>
      </w:r>
    </w:p>
    <w:p>
      <w:pPr>
        <w:spacing w:after="0" w:line="5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Ordinary Shares”</w:t>
      </w:r>
      <w:r>
        <w:rPr>
          <w:rFonts w:ascii="Arial" w:cs="Arial" w:eastAsia="Arial" w:hAnsi="Arial"/>
          <w:sz w:val="18"/>
          <w:szCs w:val="18"/>
          <w:color w:val="auto"/>
        </w:rPr>
        <w:t xml:space="preserve"> means Class B Ordinary Shares of a par value of US$0.0001 per share in the capital of the Company, having the rights provided for in these Articles;</w:t>
      </w:r>
    </w:p>
    <w:p>
      <w:pPr>
        <w:spacing w:after="0" w:line="5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xml:space="preserve"> means in relation to the period of a notice that period excluding the day when the notice is given or deemed to be given and the day for which it is given or on which it is to take effect;</w:t>
      </w:r>
    </w:p>
    <w:p>
      <w:pPr>
        <w:spacing w:after="0" w:line="5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clearing house”</w:t>
      </w:r>
      <w:r>
        <w:rPr>
          <w:rFonts w:ascii="Arial" w:cs="Arial" w:eastAsia="Arial" w:hAnsi="Arial"/>
          <w:sz w:val="18"/>
          <w:szCs w:val="18"/>
          <w:color w:val="auto"/>
        </w:rPr>
        <w:t xml:space="preserve"> means a clearing house or central depository recognised by the laws of the jurisdiction in which the shares of the Company are listed or quoted on a stock exchange in such jurisdiction;</w:t>
      </w:r>
    </w:p>
    <w:p>
      <w:pPr>
        <w:spacing w:after="0" w:line="5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Securities and Exchange Commission of the United States of America or any other federal agency for the time being administering the Securities 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Studio City International Holdings Limited, a Cayman Islands exempted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Subsidiary”</w:t>
      </w:r>
      <w:r>
        <w:rPr>
          <w:rFonts w:ascii="Arial" w:cs="Arial" w:eastAsia="Arial" w:hAnsi="Arial"/>
          <w:sz w:val="18"/>
          <w:szCs w:val="18"/>
          <w:color w:val="auto"/>
        </w:rPr>
        <w:t xml:space="preserve"> means any company which is or becomes a Subsidiary of the Company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Website”</w:t>
      </w:r>
      <w:r>
        <w:rPr>
          <w:rFonts w:ascii="Arial" w:cs="Arial" w:eastAsia="Arial" w:hAnsi="Arial"/>
          <w:sz w:val="18"/>
          <w:szCs w:val="18"/>
          <w:color w:val="auto"/>
        </w:rPr>
        <w:t xml:space="preserve"> means the website of the Company;</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and “</w:t>
      </w:r>
      <w:r>
        <w:rPr>
          <w:rFonts w:ascii="Arial" w:cs="Arial" w:eastAsia="Arial" w:hAnsi="Arial"/>
          <w:sz w:val="18"/>
          <w:szCs w:val="18"/>
          <w:b w:val="1"/>
          <w:bCs w:val="1"/>
          <w:color w:val="auto"/>
        </w:rPr>
        <w:t>Board of Directors”</w:t>
      </w:r>
      <w:r>
        <w:rPr>
          <w:rFonts w:ascii="Arial" w:cs="Arial" w:eastAsia="Arial" w:hAnsi="Arial"/>
          <w:sz w:val="18"/>
          <w:szCs w:val="18"/>
          <w:color w:val="auto"/>
        </w:rPr>
        <w:t xml:space="preserve"> and “</w:t>
      </w:r>
      <w:r>
        <w:rPr>
          <w:rFonts w:ascii="Arial" w:cs="Arial" w:eastAsia="Arial" w:hAnsi="Arial"/>
          <w:sz w:val="18"/>
          <w:szCs w:val="18"/>
          <w:b w:val="1"/>
          <w:bCs w:val="1"/>
          <w:color w:val="auto"/>
        </w:rPr>
        <w:t>Board</w:t>
      </w:r>
      <w:r>
        <w:rPr>
          <w:rFonts w:ascii="Arial" w:cs="Arial" w:eastAsia="Arial" w:hAnsi="Arial"/>
          <w:sz w:val="18"/>
          <w:szCs w:val="18"/>
          <w:color w:val="auto"/>
        </w:rPr>
        <w:t>” means the Directors of the Company for the time being, or as the case may be, the Directors assembled as a Board or as a committee thereof;</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w:t>
      </w:r>
      <w:r>
        <w:rPr>
          <w:rFonts w:ascii="Arial" w:cs="Arial" w:eastAsia="Arial" w:hAnsi="Arial"/>
          <w:sz w:val="18"/>
          <w:szCs w:val="18"/>
          <w:color w:val="auto"/>
        </w:rPr>
        <w:t>” shall have the meaning given to it in the Electronic Transactions Law (2003 Revision) of the Cayman Islands;</w:t>
      </w:r>
    </w:p>
    <w:p>
      <w:pPr>
        <w:spacing w:after="0" w:line="117"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communication”</w:t>
      </w:r>
      <w:r>
        <w:rPr>
          <w:rFonts w:ascii="Arial" w:cs="Arial" w:eastAsia="Arial" w:hAnsi="Arial"/>
          <w:sz w:val="17"/>
          <w:szCs w:val="17"/>
          <w:color w:val="auto"/>
        </w:rPr>
        <w:t xml:space="preserve"> means electronic posting to the Company’s Website, transmission to any number, address or internet website or other electronic delivery methods as otherwise decided and approved by not less than two-thirds of the vote of the Board;</w:t>
      </w:r>
    </w:p>
    <w:p>
      <w:pPr>
        <w:spacing w:after="0" w:line="3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xml:space="preserve"> means, with respect to any Person, equity securities or any securities convertible into or exchangeable or exercisable for any equity securities of such Person;</w:t>
      </w:r>
    </w:p>
    <w:p>
      <w:pPr>
        <w:spacing w:after="0" w:line="54"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Gaming Activities”</w:t>
      </w:r>
      <w:r>
        <w:rPr>
          <w:rFonts w:ascii="Arial" w:cs="Arial" w:eastAsia="Arial" w:hAnsi="Arial"/>
          <w:sz w:val="17"/>
          <w:szCs w:val="17"/>
          <w:color w:val="auto"/>
        </w:rPr>
        <w:t xml:space="preserve"> mean the conduct of gaming and gambling activities by the Company or its Affiliated Companies, or the use of gaming devices, equipment and supplies in the operation of a casino or other enterprise by the Company or its Affiliated Companies;</w:t>
      </w:r>
    </w:p>
    <w:p>
      <w:pPr>
        <w:spacing w:after="0" w:line="3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xml:space="preserve"> means any regulatory and licensing body or agency with authority over gaming including, but not limited to, the conduct of Gaming Activities, to whose jurisdiction the Company, its Subsidiaries or Affiliates are subject;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Gaming Jurisdiction”</w:t>
      </w:r>
      <w:r>
        <w:rPr>
          <w:rFonts w:ascii="Arial" w:cs="Arial" w:eastAsia="Arial" w:hAnsi="Arial"/>
          <w:sz w:val="17"/>
          <w:szCs w:val="17"/>
          <w:color w:val="auto"/>
        </w:rPr>
        <w:t xml:space="preserve"> means all jurisdictions, including their political subdivisions, in which Gaming Activities are lawfully conducted;</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xml:space="preserve"> means all laws, statutes, ordinances and regulations pursuant to which any Gaming Authority possesses regulatory and licensing authority over Gaming Activities within any Gaming Jurisdiction, and all orders, decrees, rules and regulations promulgated by such Gaming Authority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80645</wp:posOffset>
            </wp:positionV>
            <wp:extent cx="848995" cy="9861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0" w:right="479" w:bottom="1440" w:gutter="0" w:footer="0" w:header="0"/>
        </w:sectPr>
      </w:pPr>
    </w:p>
    <w:bookmarkStart w:id="200" w:name="page201"/>
    <w:bookmarkEnd w:id="200"/>
    <w:p>
      <w:pPr>
        <w:ind w:right="8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Gaming License”</w:t>
      </w:r>
      <w:r>
        <w:rPr>
          <w:rFonts w:ascii="Arial" w:cs="Arial" w:eastAsia="Arial" w:hAnsi="Arial"/>
          <w:sz w:val="16"/>
          <w:szCs w:val="16"/>
          <w:color w:val="auto"/>
        </w:rPr>
        <w:t xml:space="preserve"> means all licenses, permits, approvals, authorizations, registrations, findings of suitability, franchises, concessions, subconcessions, entitlements or other authorizations issued by a Gaming Authority necessary for or relating to the conduct of Gaming Activities;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Agency”</w:t>
      </w:r>
      <w:r>
        <w:rPr>
          <w:rFonts w:ascii="Arial" w:cs="Arial" w:eastAsia="Arial" w:hAnsi="Arial"/>
          <w:sz w:val="18"/>
          <w:szCs w:val="18"/>
          <w:color w:val="auto"/>
        </w:rPr>
        <w:t xml:space="preserve"> means:</w:t>
      </w:r>
    </w:p>
    <w:p>
      <w:pPr>
        <w:spacing w:after="0" w:line="135" w:lineRule="exact"/>
        <w:rPr>
          <w:sz w:val="20"/>
          <w:szCs w:val="20"/>
          <w:color w:val="auto"/>
        </w:rPr>
      </w:pPr>
    </w:p>
    <w:p>
      <w:pPr>
        <w:ind w:left="980" w:hanging="538"/>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government, whether foreign, federal, state, territorial or local;</w:t>
      </w:r>
    </w:p>
    <w:p>
      <w:pPr>
        <w:spacing w:after="0" w:line="130" w:lineRule="exact"/>
        <w:rPr>
          <w:rFonts w:ascii="Arial" w:cs="Arial" w:eastAsia="Arial" w:hAnsi="Arial"/>
          <w:sz w:val="18"/>
          <w:szCs w:val="18"/>
          <w:color w:val="auto"/>
        </w:rPr>
      </w:pPr>
    </w:p>
    <w:p>
      <w:pPr>
        <w:ind w:left="980" w:hanging="538"/>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department, office, or minister of a government acting in that capacity; or</w:t>
      </w:r>
    </w:p>
    <w:p>
      <w:pPr>
        <w:spacing w:after="0" w:line="130" w:lineRule="exact"/>
        <w:rPr>
          <w:rFonts w:ascii="Arial" w:cs="Arial" w:eastAsia="Arial" w:hAnsi="Arial"/>
          <w:sz w:val="18"/>
          <w:szCs w:val="18"/>
          <w:color w:val="auto"/>
        </w:rPr>
      </w:pPr>
    </w:p>
    <w:p>
      <w:pPr>
        <w:ind w:left="980" w:right="520" w:hanging="538"/>
        <w:spacing w:after="0" w:line="277" w:lineRule="auto"/>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commission, delegate, instrumentality, agency, board or other governmental or semi-governmental, judicial, administrative, monetary, regulatory, fiscal or tax authority, whether statutory or not;</w:t>
      </w:r>
    </w:p>
    <w:p>
      <w:pPr>
        <w:spacing w:after="0" w:line="58" w:lineRule="exact"/>
        <w:rPr>
          <w:sz w:val="20"/>
          <w:szCs w:val="20"/>
          <w:color w:val="auto"/>
        </w:rPr>
      </w:pPr>
    </w:p>
    <w:p>
      <w:pPr>
        <w:ind w:right="2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xml:space="preserve">” means the Company and the Company Subsidiaries from time to time and the expression </w:t>
      </w:r>
      <w:r>
        <w:rPr>
          <w:rFonts w:ascii="Arial" w:cs="Arial" w:eastAsia="Arial" w:hAnsi="Arial"/>
          <w:sz w:val="16"/>
          <w:szCs w:val="16"/>
          <w:b w:val="1"/>
          <w:bCs w:val="1"/>
          <w:color w:val="auto"/>
        </w:rPr>
        <w:t>Group Company</w:t>
      </w:r>
      <w:r>
        <w:rPr>
          <w:rFonts w:ascii="Arial" w:cs="Arial" w:eastAsia="Arial" w:hAnsi="Arial"/>
          <w:sz w:val="16"/>
          <w:szCs w:val="16"/>
          <w:color w:val="auto"/>
        </w:rPr>
        <w:t xml:space="preserve"> means any one of them; “</w:t>
      </w:r>
      <w:r>
        <w:rPr>
          <w:rFonts w:ascii="Arial" w:cs="Arial" w:eastAsia="Arial" w:hAnsi="Arial"/>
          <w:sz w:val="16"/>
          <w:szCs w:val="16"/>
          <w:b w:val="1"/>
          <w:bCs w:val="1"/>
          <w:color w:val="auto"/>
        </w:rPr>
        <w:t>Independent Director”</w:t>
      </w:r>
      <w:r>
        <w:rPr>
          <w:rFonts w:ascii="Arial" w:cs="Arial" w:eastAsia="Arial" w:hAnsi="Arial"/>
          <w:sz w:val="16"/>
          <w:szCs w:val="16"/>
          <w:color w:val="auto"/>
        </w:rPr>
        <w:t xml:space="preserve"> means a Director who is an independent director as defined in the NYSE Rules as amended from time to time;</w:t>
      </w:r>
    </w:p>
    <w:p>
      <w:pPr>
        <w:spacing w:after="0" w:line="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Shareholders Agreement”</w:t>
      </w:r>
      <w:r>
        <w:rPr>
          <w:rFonts w:ascii="Arial" w:cs="Arial" w:eastAsia="Arial" w:hAnsi="Arial"/>
          <w:sz w:val="16"/>
          <w:szCs w:val="16"/>
          <w:color w:val="auto"/>
        </w:rPr>
        <w:t xml:space="preserve"> means the Shareholders Agreement dated July 27, 2011, as subsequently amended on September 25, 2012, May 17, 2013, June 3, 2014 and July 21, 2014, between MCE Cotai Investments Limited, an exempted company incorporated in the Cayman Islands, New Cotai, Melco Resorts &amp; Entertainment Limited (formerly known as Melco Crown Entertainment Limited), an exempted company incorporated in the Cayman Islands, and the Company (formerly known as CYBER ONE AGENTS LIMITED). For the avoidance of doubt, the Initial Shareholders Agreement shall not include any other amendments, restatements or amended and restated agreement thereto;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the Companies Law (2018 Revision) of the Cayman Islands;</w:t>
      </w:r>
    </w:p>
    <w:p>
      <w:pPr>
        <w:spacing w:after="0" w:line="117"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Melco Members”</w:t>
      </w:r>
      <w:r>
        <w:rPr>
          <w:rFonts w:ascii="Arial" w:cs="Arial" w:eastAsia="Arial" w:hAnsi="Arial"/>
          <w:sz w:val="16"/>
          <w:szCs w:val="16"/>
          <w:color w:val="auto"/>
        </w:rPr>
        <w:t xml:space="preserve"> means, collectively, Melco Resorts &amp; Entertainment Limited (formerly known as Melco Crown Entertainment Limited), an exempted company incorporated in the Cayman Islands, and all Members who are Affiliates of Melco Resorts &amp; Entertainment Limited;</w:t>
      </w:r>
    </w:p>
    <w:p>
      <w:pPr>
        <w:spacing w:after="0" w:line="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Melco Original Share Amount”</w:t>
      </w:r>
      <w:r>
        <w:rPr>
          <w:rFonts w:ascii="Arial" w:cs="Arial" w:eastAsia="Arial" w:hAnsi="Arial"/>
          <w:sz w:val="18"/>
          <w:szCs w:val="18"/>
          <w:color w:val="auto"/>
        </w:rPr>
        <w:t xml:space="preserve"> means the number of Securities held by the Melco Members immediately following completion of an initial underwritten public offering of the Company’s Equity Securities, or American depositary shares representing the Company’s Equity Securities, as adjusted for any split, subdivision, reverse split, consolidation, dividend or distribution in respect of Securities, including any Adjustment Event (as defined in the Participation Agreement).</w:t>
      </w:r>
    </w:p>
    <w:p>
      <w:pPr>
        <w:spacing w:after="0" w:line="72"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person who is registered as the holder of shares in the Register and includes each subscriber to the Memorandum of Association pending entry in the Register of such subscriber;</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Memorandum of Association”</w:t>
      </w:r>
      <w:r>
        <w:rPr>
          <w:rFonts w:ascii="Arial" w:cs="Arial" w:eastAsia="Arial" w:hAnsi="Arial"/>
          <w:sz w:val="17"/>
          <w:szCs w:val="17"/>
          <w:color w:val="auto"/>
        </w:rPr>
        <w:t xml:space="preserve"> means the Memorandum of Association of the Company, as amended and restated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 and Articles of Association”</w:t>
      </w:r>
      <w:r>
        <w:rPr>
          <w:rFonts w:ascii="Arial" w:cs="Arial" w:eastAsia="Arial" w:hAnsi="Arial"/>
          <w:sz w:val="18"/>
          <w:szCs w:val="18"/>
          <w:color w:val="auto"/>
        </w:rPr>
        <w:t xml:space="preserve"> means collectively the Memorandum of Association and the Articles;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111760</wp:posOffset>
            </wp:positionV>
            <wp:extent cx="848995" cy="9861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880" w:top="270" w:right="499" w:bottom="1440" w:gutter="0" w:footer="0" w:header="0"/>
        </w:sectPr>
      </w:pPr>
    </w:p>
    <w:bookmarkStart w:id="201" w:name="page202"/>
    <w:bookmarkEnd w:id="201"/>
    <w:p>
      <w:pPr>
        <w:ind w:left="4"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NYSE Rules”</w:t>
      </w:r>
      <w:r>
        <w:rPr>
          <w:rFonts w:ascii="Arial" w:cs="Arial" w:eastAsia="Arial" w:hAnsi="Arial"/>
          <w:sz w:val="18"/>
          <w:szCs w:val="18"/>
          <w:color w:val="auto"/>
        </w:rPr>
        <w:t xml:space="preserve"> means the relevant code, rules and regulations, as amended, from time to time, applicable as a result of the original and continued listing of any shares or ADSs on NYSE, including without limitation, the NYSE Rules;</w:t>
      </w:r>
    </w:p>
    <w:p>
      <w:pPr>
        <w:spacing w:after="0" w:line="54" w:lineRule="exact"/>
        <w:rPr>
          <w:sz w:val="20"/>
          <w:szCs w:val="20"/>
          <w:color w:val="auto"/>
        </w:rPr>
      </w:pPr>
    </w:p>
    <w:p>
      <w:pPr>
        <w:ind w:left="4" w:right="206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Newco</w:t>
      </w:r>
      <w:r>
        <w:rPr>
          <w:rFonts w:ascii="Arial" w:cs="Arial" w:eastAsia="Arial" w:hAnsi="Arial"/>
          <w:sz w:val="16"/>
          <w:szCs w:val="16"/>
          <w:color w:val="auto"/>
        </w:rPr>
        <w:t>” means MSC Cotai Limited, a business company limited by shares incorporated in the British Virgin Islands; “</w:t>
      </w:r>
      <w:r>
        <w:rPr>
          <w:rFonts w:ascii="Arial" w:cs="Arial" w:eastAsia="Arial" w:hAnsi="Arial"/>
          <w:sz w:val="16"/>
          <w:szCs w:val="16"/>
          <w:b w:val="1"/>
          <w:bCs w:val="1"/>
          <w:color w:val="auto"/>
        </w:rPr>
        <w:t>New Cotai”</w:t>
      </w:r>
      <w:r>
        <w:rPr>
          <w:rFonts w:ascii="Arial" w:cs="Arial" w:eastAsia="Arial" w:hAnsi="Arial"/>
          <w:sz w:val="16"/>
          <w:szCs w:val="16"/>
          <w:color w:val="auto"/>
        </w:rPr>
        <w:t xml:space="preserve"> means New Cotai, LLC, a limited liability company formed in Delaware, United States of America;</w:t>
      </w:r>
    </w:p>
    <w:p>
      <w:pPr>
        <w:spacing w:after="0" w:line="1" w:lineRule="exact"/>
        <w:rPr>
          <w:sz w:val="20"/>
          <w:szCs w:val="20"/>
          <w:color w:val="auto"/>
        </w:rPr>
      </w:pPr>
    </w:p>
    <w:p>
      <w:pPr>
        <w:ind w:left="4"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Cotai Original Share Amount”</w:t>
      </w:r>
      <w:r>
        <w:rPr>
          <w:rFonts w:ascii="Arial" w:cs="Arial" w:eastAsia="Arial" w:hAnsi="Arial"/>
          <w:sz w:val="18"/>
          <w:szCs w:val="18"/>
          <w:color w:val="auto"/>
        </w:rPr>
        <w:t xml:space="preserve"> means the number of Securities held by New Cotai immediately following the completion of an initial underwritten public offering of the Company’s Equity Securities, or American depositary shares representing the Company’s Equity Securities, as adjusted for any split, subdivision, reverse split, consolidation, dividend or distribution in respect of such Securities, including any Adjustment Event (as defined in the Participation Agreement).</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Observer</w:t>
      </w:r>
      <w:r>
        <w:rPr>
          <w:rFonts w:ascii="Arial" w:cs="Arial" w:eastAsia="Arial" w:hAnsi="Arial"/>
          <w:sz w:val="18"/>
          <w:szCs w:val="18"/>
          <w:color w:val="auto"/>
        </w:rPr>
        <w:t>” means an observer appointed to the Board in accordance with Article 100;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as required by the Law;</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officers of the Company for the time appointed pursuant to Article 163 and Article 164;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 xml:space="preserve"> means a resolution:</w:t>
      </w:r>
    </w:p>
    <w:p>
      <w:pPr>
        <w:spacing w:after="0" w:line="135" w:lineRule="exact"/>
        <w:rPr>
          <w:sz w:val="20"/>
          <w:szCs w:val="20"/>
          <w:color w:val="auto"/>
        </w:rPr>
      </w:pPr>
    </w:p>
    <w:p>
      <w:pPr>
        <w:ind w:left="424" w:right="60" w:hanging="424"/>
        <w:spacing w:after="0" w:line="259" w:lineRule="auto"/>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passed by a simple majority of such Members as, being entitled to do so, vote in person or, in the case of such Members being corporations, by their duly authorised representatives or, where proxies are allowed, by proxy at a general meeting of the Company of which notice has been duly given in accordance with these Articles and where a poll is taken regard shall be had in computing a majority to the number of votes to which each Member is entitled; or</w:t>
      </w:r>
    </w:p>
    <w:p>
      <w:pPr>
        <w:spacing w:after="0" w:line="92" w:lineRule="exact"/>
        <w:rPr>
          <w:rFonts w:ascii="Arial" w:cs="Arial" w:eastAsia="Arial" w:hAnsi="Arial"/>
          <w:sz w:val="18"/>
          <w:szCs w:val="18"/>
          <w:color w:val="auto"/>
        </w:rPr>
      </w:pPr>
    </w:p>
    <w:p>
      <w:pPr>
        <w:ind w:left="424" w:right="80" w:hanging="424"/>
        <w:spacing w:after="0" w:line="264" w:lineRule="auto"/>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 and the effective date of the resolution so adopted shall be the date on which the instrument, or the last of such instruments if more than one, is executed;</w:t>
      </w:r>
    </w:p>
    <w:p>
      <w:pPr>
        <w:spacing w:after="0" w:line="69" w:lineRule="exact"/>
        <w:rPr>
          <w:sz w:val="20"/>
          <w:szCs w:val="20"/>
          <w:color w:val="auto"/>
        </w:rPr>
      </w:pPr>
    </w:p>
    <w:p>
      <w:pPr>
        <w:ind w:left="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w:t>
      </w:r>
      <w:r>
        <w:rPr>
          <w:rFonts w:ascii="Arial" w:cs="Arial" w:eastAsia="Arial" w:hAnsi="Arial"/>
          <w:sz w:val="16"/>
          <w:szCs w:val="16"/>
          <w:color w:val="auto"/>
        </w:rPr>
        <w:t>”, “</w:t>
      </w:r>
      <w:r>
        <w:rPr>
          <w:rFonts w:ascii="Arial" w:cs="Arial" w:eastAsia="Arial" w:hAnsi="Arial"/>
          <w:sz w:val="16"/>
          <w:szCs w:val="16"/>
          <w:b w:val="1"/>
          <w:bCs w:val="1"/>
          <w:color w:val="auto"/>
        </w:rPr>
        <w:t>Ownership</w:t>
      </w:r>
      <w:r>
        <w:rPr>
          <w:rFonts w:ascii="Arial" w:cs="Arial" w:eastAsia="Arial" w:hAnsi="Arial"/>
          <w:sz w:val="16"/>
          <w:szCs w:val="16"/>
          <w:color w:val="auto"/>
        </w:rPr>
        <w:t>” or “</w:t>
      </w:r>
      <w:r>
        <w:rPr>
          <w:rFonts w:ascii="Arial" w:cs="Arial" w:eastAsia="Arial" w:hAnsi="Arial"/>
          <w:sz w:val="16"/>
          <w:szCs w:val="16"/>
          <w:b w:val="1"/>
          <w:bCs w:val="1"/>
          <w:color w:val="auto"/>
        </w:rPr>
        <w:t>Control</w:t>
      </w:r>
      <w:r>
        <w:rPr>
          <w:rFonts w:ascii="Arial" w:cs="Arial" w:eastAsia="Arial" w:hAnsi="Arial"/>
          <w:sz w:val="16"/>
          <w:szCs w:val="16"/>
          <w:color w:val="auto"/>
        </w:rPr>
        <w:t>” mean ownership of record, beneficial ownership or the possession, direct or indirect, of the power to direct or cause the direction of the management and policies of a Person or the disposition of shares, by agreement, contract, agency or other manner;</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 up”</w:t>
      </w:r>
      <w:r>
        <w:rPr>
          <w:rFonts w:ascii="Arial" w:cs="Arial" w:eastAsia="Arial" w:hAnsi="Arial"/>
          <w:sz w:val="18"/>
          <w:szCs w:val="18"/>
          <w:color w:val="auto"/>
        </w:rPr>
        <w:t xml:space="preserve"> means paid up as to the par value in respect of the issue of any shares and includes credited as paid up;</w:t>
      </w:r>
    </w:p>
    <w:p>
      <w:pPr>
        <w:spacing w:after="0" w:line="117"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 Agreement”</w:t>
      </w:r>
      <w:r>
        <w:rPr>
          <w:rFonts w:ascii="Arial" w:cs="Arial" w:eastAsia="Arial" w:hAnsi="Arial"/>
          <w:sz w:val="18"/>
          <w:szCs w:val="18"/>
          <w:color w:val="auto"/>
        </w:rPr>
        <w:t xml:space="preserve"> means the participation agreement dated 12 October 2018 between New Cotai, LLC, Newco and the Company, as the same may be amended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 Interest”</w:t>
      </w:r>
      <w:r>
        <w:rPr>
          <w:rFonts w:ascii="Arial" w:cs="Arial" w:eastAsia="Arial" w:hAnsi="Arial"/>
          <w:sz w:val="18"/>
          <w:szCs w:val="18"/>
          <w:color w:val="auto"/>
        </w:rPr>
        <w:t xml:space="preserve"> means the participation interest right in Newco provided by the Participation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corporation, limited liability company, trust or any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111760</wp:posOffset>
            </wp:positionV>
            <wp:extent cx="848995" cy="9861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3"/>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0" w:right="459" w:bottom="1440" w:gutter="0" w:footer="0" w:header="0"/>
        </w:sectPr>
      </w:pPr>
    </w:p>
    <w:bookmarkStart w:id="202" w:name="page203"/>
    <w:bookmarkEnd w:id="202"/>
    <w:p>
      <w:pPr>
        <w:ind w:right="52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Principal Register”,</w:t>
      </w:r>
      <w:r>
        <w:rPr>
          <w:rFonts w:ascii="Arial" w:cs="Arial" w:eastAsia="Arial" w:hAnsi="Arial"/>
          <w:sz w:val="16"/>
          <w:szCs w:val="16"/>
          <w:color w:val="auto"/>
        </w:rPr>
        <w:t xml:space="preserve"> where the Company has established one or more Branch Registers pursuant to the Law and these Articles, means the Register maintained by the Company pursuant to the Law and these Articles that is not designated by the Directors as a Branch Register;</w:t>
      </w:r>
    </w:p>
    <w:p>
      <w:pPr>
        <w:spacing w:after="0" w:line="8"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Date”</w:t>
      </w:r>
      <w:r>
        <w:rPr>
          <w:rFonts w:ascii="Arial" w:cs="Arial" w:eastAsia="Arial" w:hAnsi="Arial"/>
          <w:sz w:val="17"/>
          <w:szCs w:val="17"/>
          <w:color w:val="auto"/>
        </w:rPr>
        <w:t xml:space="preserve"> means the date, as reasonably determined by the Company, on which the relevant Gaming Authority requires that the shares Owned or Controlled by an Unsuitable Person or an Affiliate of an Unsuitable Person be redeemed by the Company;</w:t>
      </w:r>
    </w:p>
    <w:p>
      <w:pPr>
        <w:spacing w:after="0" w:line="3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Notice”</w:t>
      </w:r>
      <w:r>
        <w:rPr>
          <w:rFonts w:ascii="Arial" w:cs="Arial" w:eastAsia="Arial" w:hAnsi="Arial"/>
          <w:sz w:val="16"/>
          <w:szCs w:val="16"/>
          <w:color w:val="auto"/>
        </w:rPr>
        <w:t xml:space="preserve"> means that notice of redemption given by the Company to an Unsuitable Person or an Affiliate of an Unsuitable Person pursuant to Article 187. Each Redemption Notice shall set forth (i) the Redemption Date, (ii) the number and type of shares to be redeemed,</w:t>
      </w:r>
    </w:p>
    <w:p>
      <w:pPr>
        <w:spacing w:after="0" w:line="1" w:lineRule="exact"/>
        <w:rPr>
          <w:sz w:val="20"/>
          <w:szCs w:val="20"/>
          <w:color w:val="auto"/>
        </w:rPr>
      </w:pPr>
    </w:p>
    <w:p>
      <w:pPr>
        <w:ind w:right="260" w:firstLine="4"/>
        <w:spacing w:after="0" w:line="290" w:lineRule="auto"/>
        <w:tabs>
          <w:tab w:leader="none" w:pos="31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Redemption Price and the manner of payment therefor, (iv) the place where any certificates, if any, for such shares shall be surrendered against payment of the Redemption Price, and (v) any other requirements for the valid surrender of the certificates;</w:t>
      </w:r>
    </w:p>
    <w:p>
      <w:pPr>
        <w:spacing w:after="0" w:line="4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the price to be paid by the Company for the shares to be redeemed pursuant to Article 187, which shall be that price (if any) required to be paid by the Gaming Authority making the finding of Unsuitability, or if such Gaming Authority does not require a certain price to be paid, that amount determined by the Board of Directors to be the fair value of the shares to be redeemed;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price per share represented by the Redemption Price shall in no event be less than (i) the VWAP per Class A Ordinary Share over the twenty</w:t>
      </w:r>
    </w:p>
    <w:p>
      <w:pPr>
        <w:spacing w:after="0" w:line="3" w:lineRule="exact"/>
        <w:rPr>
          <w:sz w:val="20"/>
          <w:szCs w:val="20"/>
          <w:color w:val="auto"/>
        </w:rPr>
      </w:pPr>
    </w:p>
    <w:p>
      <w:pPr>
        <w:ind w:firstLine="4"/>
        <w:spacing w:after="0" w:line="286" w:lineRule="auto"/>
        <w:tabs>
          <w:tab w:leader="none" w:pos="34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consecutive Trading Day period ending on the Trading Day immediately preceding the date of the Redemption Notice or (ii) if the VWAP is not available, then the market value per share of Class A Ordinary Shares as determined in good faith and in the reasonable discretion of the Board of Directors. The Redemption Price shall be paid in cash, by promissory note, or both, as required by the applicable Gaming Authority and, if not so required, as the Board of Directors otherwise determines. Any promissory note shall contain such terms and conditions permitted by the applicable Gaming Authority as the Board of Directors reasonably determines to be necessary or advisable, including without limitation, subordination provisions, to comply with any law or regulation then applicable to the Company or any Affiliate of the Company or to prevent a default under, breach of, event of default under or acceleration of any loan, promissory note, mortgage, indenture, line of credit, or other debt or financing agreement of the Company or any Affiliate of the Company. Subject to the foregoing, the promissory note shall have a term of not more than ten years, bear interest at a rate to be reasonably determined by the Board of Directors and amortize in equal monthly or quarterly installments, and shall contain such other terms and conditions as the Board of Directors reasonably determines to be necessary or advisable.</w:t>
      </w:r>
    </w:p>
    <w:p>
      <w:pPr>
        <w:spacing w:after="0" w:line="5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 wherein holders of the shares are registered as required to be kept pursuant to the Law and includes any Branch Register(s) established by the Company in accordance with the Law;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means the common seal of the Company (if adopted) including any facsimile thereof;</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xml:space="preserve"> means the Securities Act of 1933 of the United States of America, as amended, or any similar federal statute and the rules and regulations of the Commission thereunder, all as the same shall be in effect at the time;</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fully paid share in the capital of the Company carrying the rights and obligations set out in this document, which shall include Class A Ordinary Shares and Class B Ordinary Shares.</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in the capital of the Company of any or all classes including Class A Ordinary Shares and Class B Ordinary Shares unless otherwise provided in these Articles;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signed</w:t>
      </w:r>
      <w:r>
        <w:rPr>
          <w:rFonts w:ascii="Arial" w:cs="Arial" w:eastAsia="Arial" w:hAnsi="Arial"/>
          <w:sz w:val="18"/>
          <w:szCs w:val="18"/>
          <w:color w:val="auto"/>
        </w:rPr>
        <w:t>” means a signature or representation of a signature affixed by mechanical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111760</wp:posOffset>
            </wp:positionV>
            <wp:extent cx="848995" cy="986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0" w:right="439" w:bottom="1440" w:gutter="0" w:footer="0" w:header="0"/>
        </w:sectPr>
      </w:pPr>
    </w:p>
    <w:bookmarkStart w:id="203" w:name="page204"/>
    <w:bookmarkEnd w:id="20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Special Resolution”</w:t>
      </w:r>
      <w:r>
        <w:rPr>
          <w:rFonts w:ascii="Arial" w:cs="Arial" w:eastAsia="Arial" w:hAnsi="Arial"/>
          <w:sz w:val="18"/>
          <w:szCs w:val="18"/>
          <w:color w:val="auto"/>
        </w:rPr>
        <w:t xml:space="preserve"> means a special resolution passed in accordance with the Law, being a resolution:</w:t>
      </w:r>
    </w:p>
    <w:p>
      <w:pPr>
        <w:spacing w:after="0" w:line="135" w:lineRule="exact"/>
        <w:rPr>
          <w:sz w:val="20"/>
          <w:szCs w:val="20"/>
          <w:color w:val="auto"/>
        </w:rPr>
      </w:pPr>
    </w:p>
    <w:p>
      <w:pPr>
        <w:ind w:left="424" w:right="40" w:hanging="424"/>
        <w:spacing w:after="0" w:line="257"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passed by a majority of not less than two-thirds of such Members as, being entitled to do so, vote in person or, in the case of such Members being corporations, by their respective duly authorised representatives or, where proxies are allowed, by proxy at a general meeting of the Company of which notice specifying the intention to propose the resolution as a Special Resolution has been duly given in accordance with these Articles and where a poll is taken regard shall be had in computing a majority to the number of votes to which each Member is entitled; or</w:t>
      </w:r>
    </w:p>
    <w:p>
      <w:pPr>
        <w:spacing w:after="0" w:line="93" w:lineRule="exact"/>
        <w:rPr>
          <w:rFonts w:ascii="Arial" w:cs="Arial" w:eastAsia="Arial" w:hAnsi="Arial"/>
          <w:sz w:val="18"/>
          <w:szCs w:val="18"/>
          <w:color w:val="auto"/>
        </w:rPr>
      </w:pPr>
    </w:p>
    <w:p>
      <w:pPr>
        <w:ind w:left="424" w:right="20" w:hanging="424"/>
        <w:spacing w:after="0" w:line="264"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approved in writing by all of the Members entitled to vote at a general meeting of the Company in one or more instruments each signed by one or more of the Members and the effective date of the Special Resolution so adopted shall be the date on which the instrument or the last of such instruments if more than one, is executed;</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135" w:lineRule="exact"/>
        <w:rPr>
          <w:sz w:val="20"/>
          <w:szCs w:val="20"/>
          <w:color w:val="auto"/>
        </w:rPr>
      </w:pPr>
    </w:p>
    <w:p>
      <w:pPr>
        <w:ind w:left="424" w:right="60" w:hanging="424"/>
        <w:spacing w:after="0" w:line="297" w:lineRule="auto"/>
        <w:tabs>
          <w:tab w:leader="none" w:pos="42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(i) more than 50% of the total voting power of shares of capital stock entitled (without regard to the occurrence of any contingency and after giving effect to any voting agreement or shareholders’ agreement that effectively transfers voting power) to vote in the election of directors, managers or trustees of the corporation, association or other business entity that is at the time owned or controlled, directly or indirectly, by such Person or one or more of the other Subsidiaries of such Person (or a combination thereof), or (ii) the composition of its board of directors is directly or indirectly controlled by such Person; and</w:t>
      </w:r>
    </w:p>
    <w:p>
      <w:pPr>
        <w:spacing w:after="0" w:line="63" w:lineRule="exact"/>
        <w:rPr>
          <w:rFonts w:ascii="Arial" w:cs="Arial" w:eastAsia="Arial" w:hAnsi="Arial"/>
          <w:sz w:val="16"/>
          <w:szCs w:val="16"/>
          <w:color w:val="auto"/>
        </w:rPr>
      </w:pPr>
    </w:p>
    <w:p>
      <w:pPr>
        <w:ind w:left="424" w:right="100" w:hanging="424"/>
        <w:spacing w:after="0" w:line="257" w:lineRule="auto"/>
        <w:tabs>
          <w:tab w:leader="none" w:pos="42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partnership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(ii) such Person or any Subsidiary of such Person is a controlling general partner or otherwise controls such entity;</w:t>
      </w:r>
    </w:p>
    <w:p>
      <w:pPr>
        <w:spacing w:after="0" w:line="76" w:lineRule="exact"/>
        <w:rPr>
          <w:sz w:val="20"/>
          <w:szCs w:val="20"/>
          <w:color w:val="auto"/>
        </w:rPr>
      </w:pPr>
    </w:p>
    <w:p>
      <w:pPr>
        <w:ind w:left="4" w:right="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 day on which the Class A Ordinary Shares: (a) are not suspended from trading on any national or regional securities exchange or association or over-the-counter market at the close of business; and (b) have traded at least once on the national or regional securities exchange or association or over-the-counter market that is the primary market for the trading of the Class A Ordinary Shares;</w:t>
      </w:r>
    </w:p>
    <w:p>
      <w:pPr>
        <w:spacing w:after="0" w:line="34"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Shares”</w:t>
      </w:r>
      <w:r>
        <w:rPr>
          <w:rFonts w:ascii="Arial" w:cs="Arial" w:eastAsia="Arial" w:hAnsi="Arial"/>
          <w:sz w:val="18"/>
          <w:szCs w:val="18"/>
          <w:color w:val="auto"/>
        </w:rPr>
        <w:t xml:space="preserve"> means shares that were previously issued but were purchased, redeemed, surrendered or otherwise acquired by the Company and not cancelled;</w:t>
      </w:r>
    </w:p>
    <w:p>
      <w:pPr>
        <w:spacing w:after="0" w:line="54" w:lineRule="exact"/>
        <w:rPr>
          <w:sz w:val="20"/>
          <w:szCs w:val="20"/>
          <w:color w:val="auto"/>
        </w:rPr>
      </w:pPr>
    </w:p>
    <w:p>
      <w:pPr>
        <w:ind w:left="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Unsuitable Person”</w:t>
      </w:r>
      <w:r>
        <w:rPr>
          <w:rFonts w:ascii="Arial" w:cs="Arial" w:eastAsia="Arial" w:hAnsi="Arial"/>
          <w:sz w:val="18"/>
          <w:szCs w:val="18"/>
          <w:color w:val="auto"/>
        </w:rPr>
        <w:t xml:space="preserve"> means a Person who (i) is determined by a Gaming Authority to be Unsuitable to Own or Control any shares in the Company, whether directly or indirectly, or (ii) causes the Company or any Affiliated Company to lose or to be threatened by a Gaming Authority with the loss of any Gaming License, or (iii) is determined, in good faith by the Board of Directors, to be likely to jeopardize the Company’s or any Affiliated Company’s application for, receipt of approval for, right to the use of, or entitlement to, any Gaming License, and “</w:t>
      </w:r>
      <w:r>
        <w:rPr>
          <w:rFonts w:ascii="Arial" w:cs="Arial" w:eastAsia="Arial" w:hAnsi="Arial"/>
          <w:sz w:val="18"/>
          <w:szCs w:val="18"/>
          <w:b w:val="1"/>
          <w:bCs w:val="1"/>
          <w:color w:val="auto"/>
        </w:rPr>
        <w:t>Unsuitability</w:t>
      </w:r>
      <w:r>
        <w:rPr>
          <w:rFonts w:ascii="Arial" w:cs="Arial" w:eastAsia="Arial" w:hAnsi="Arial"/>
          <w:sz w:val="18"/>
          <w:szCs w:val="18"/>
          <w:color w:val="auto"/>
        </w:rPr>
        <w:t>” and “</w:t>
      </w:r>
      <w:r>
        <w:rPr>
          <w:rFonts w:ascii="Arial" w:cs="Arial" w:eastAsia="Arial" w:hAnsi="Arial"/>
          <w:sz w:val="18"/>
          <w:szCs w:val="18"/>
          <w:b w:val="1"/>
          <w:bCs w:val="1"/>
          <w:color w:val="auto"/>
        </w:rPr>
        <w:t>Unsuitable</w:t>
      </w:r>
      <w:r>
        <w:rPr>
          <w:rFonts w:ascii="Arial" w:cs="Arial" w:eastAsia="Arial" w:hAnsi="Arial"/>
          <w:sz w:val="18"/>
          <w:szCs w:val="18"/>
          <w:color w:val="auto"/>
        </w:rPr>
        <w:t>” shall be construed accordingly.</w:t>
      </w:r>
    </w:p>
    <w:p>
      <w:pPr>
        <w:spacing w:after="0" w:line="76" w:lineRule="exact"/>
        <w:rPr>
          <w:sz w:val="20"/>
          <w:szCs w:val="20"/>
          <w:color w:val="auto"/>
        </w:rPr>
      </w:pPr>
    </w:p>
    <w:p>
      <w:pPr>
        <w:ind w:left="4" w:righ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w:t>
      </w:r>
      <w:r>
        <w:rPr>
          <w:rFonts w:ascii="Arial" w:cs="Arial" w:eastAsia="Arial" w:hAnsi="Arial"/>
          <w:sz w:val="18"/>
          <w:szCs w:val="18"/>
          <w:color w:val="auto"/>
        </w:rPr>
        <w:t>” means volume-weighted average trading price of an ADS based on quotations as reported in the principal consolidated transaction reporting system with respect to securities listed or admitted to trading on the New York Stock Exchange or, if such ADSs are not listed or admitted to trading on the New York Stock Exchange, as reported on the principal consolidated transaction reporting system with respect to securities listed on the principal national securities exchange on which such ADSs are listed or admitted to trading, in each case, divided by the number of Class A Ordinary Shares that one ADS represents;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85725</wp:posOffset>
            </wp:positionV>
            <wp:extent cx="848995" cy="9861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3"/>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4"/>
          </w:cols>
          <w:pgMar w:left="876" w:top="270" w:right="499" w:bottom="1440" w:gutter="0" w:footer="0" w:header="0"/>
        </w:sectPr>
      </w:pPr>
    </w:p>
    <w:bookmarkStart w:id="204" w:name="page205"/>
    <w:bookmarkEnd w:id="204"/>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year</w:t>
      </w:r>
      <w:r>
        <w:rPr>
          <w:rFonts w:ascii="Arial" w:cs="Arial" w:eastAsia="Arial" w:hAnsi="Arial"/>
          <w:sz w:val="18"/>
          <w:szCs w:val="18"/>
          <w:color w:val="auto"/>
        </w:rPr>
        <w:t>” means a calendar year.</w:t>
      </w:r>
    </w:p>
    <w:p>
      <w:pPr>
        <w:spacing w:after="0" w:line="135" w:lineRule="exact"/>
        <w:rPr>
          <w:sz w:val="20"/>
          <w:szCs w:val="20"/>
          <w:color w:val="auto"/>
        </w:rPr>
      </w:pPr>
    </w:p>
    <w:p>
      <w:pPr>
        <w:ind w:left="436" w:hanging="436"/>
        <w:spacing w:after="0"/>
        <w:tabs>
          <w:tab w:leader="none" w:pos="4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 and vice versa;</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words importing persons only shall include companies or associations or bodies of persons, whether corporate or not;</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130" w:lineRule="exact"/>
        <w:rPr>
          <w:rFonts w:ascii="Arial" w:cs="Arial" w:eastAsia="Arial" w:hAnsi="Arial"/>
          <w:sz w:val="18"/>
          <w:szCs w:val="18"/>
          <w:color w:val="auto"/>
        </w:rPr>
      </w:pPr>
    </w:p>
    <w:p>
      <w:pPr>
        <w:ind w:left="856" w:hanging="424"/>
        <w:spacing w:after="0" w:line="259" w:lineRule="auto"/>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law, rules and regulations;</w:t>
      </w:r>
    </w:p>
    <w:p>
      <w:pPr>
        <w:spacing w:after="0" w:line="92" w:lineRule="exact"/>
        <w:rPr>
          <w:rFonts w:ascii="Arial" w:cs="Arial" w:eastAsia="Arial" w:hAnsi="Arial"/>
          <w:sz w:val="18"/>
          <w:szCs w:val="18"/>
          <w:color w:val="auto"/>
        </w:rPr>
      </w:pPr>
    </w:p>
    <w:p>
      <w:pPr>
        <w:ind w:left="856" w:right="260" w:hanging="424"/>
        <w:spacing w:after="0" w:line="312" w:lineRule="auto"/>
        <w:tabs>
          <w:tab w:leader="none" w:pos="856" w:val="left"/>
        </w:tabs>
        <w:numPr>
          <w:ilvl w:val="1"/>
          <w:numId w:val="148"/>
        </w:numPr>
        <w:rPr>
          <w:rFonts w:ascii="Arial" w:cs="Arial" w:eastAsia="Arial" w:hAnsi="Arial"/>
          <w:sz w:val="16"/>
          <w:szCs w:val="16"/>
          <w:color w:val="auto"/>
        </w:rPr>
      </w:pPr>
      <w:r>
        <w:rPr>
          <w:rFonts w:ascii="Arial" w:cs="Arial" w:eastAsia="Arial" w:hAnsi="Arial"/>
          <w:sz w:val="16"/>
          <w:szCs w:val="16"/>
          <w:color w:val="auto"/>
        </w:rPr>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48" w:lineRule="exact"/>
        <w:rPr>
          <w:rFonts w:ascii="Arial" w:cs="Arial" w:eastAsia="Arial" w:hAnsi="Arial"/>
          <w:sz w:val="16"/>
          <w:szCs w:val="16"/>
          <w:color w:val="auto"/>
        </w:rPr>
      </w:pPr>
    </w:p>
    <w:p>
      <w:pPr>
        <w:ind w:left="856" w:hanging="424"/>
        <w:spacing w:after="0"/>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reference to “</w:t>
      </w:r>
      <w:r>
        <w:rPr>
          <w:rFonts w:ascii="Arial" w:cs="Arial" w:eastAsia="Arial" w:hAnsi="Arial"/>
          <w:sz w:val="18"/>
          <w:szCs w:val="18"/>
          <w:b w:val="1"/>
          <w:bCs w:val="1"/>
          <w:color w:val="auto"/>
        </w:rPr>
        <w:t>US$</w:t>
      </w:r>
      <w:r>
        <w:rPr>
          <w:rFonts w:ascii="Arial" w:cs="Arial" w:eastAsia="Arial" w:hAnsi="Arial"/>
          <w:sz w:val="18"/>
          <w:szCs w:val="18"/>
          <w:color w:val="auto"/>
        </w:rPr>
        <w:t>” is a reference to dollars of the United States of America;</w:t>
      </w:r>
    </w:p>
    <w:p>
      <w:pPr>
        <w:spacing w:after="0" w:line="134" w:lineRule="exact"/>
        <w:rPr>
          <w:rFonts w:ascii="Arial" w:cs="Arial" w:eastAsia="Arial" w:hAnsi="Arial"/>
          <w:sz w:val="18"/>
          <w:szCs w:val="18"/>
          <w:color w:val="auto"/>
        </w:rPr>
      </w:pPr>
    </w:p>
    <w:p>
      <w:pPr>
        <w:ind w:left="856" w:hanging="424"/>
        <w:spacing w:after="0"/>
        <w:tabs>
          <w:tab w:leader="none" w:pos="85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reference to a statutory enactment shall include reference to any amendment or re-enactment thereof for the time being in force;</w:t>
      </w:r>
    </w:p>
    <w:p>
      <w:pPr>
        <w:spacing w:after="0" w:line="142" w:lineRule="exact"/>
        <w:rPr>
          <w:rFonts w:ascii="Arial" w:cs="Arial" w:eastAsia="Arial" w:hAnsi="Arial"/>
          <w:sz w:val="17"/>
          <w:szCs w:val="17"/>
          <w:color w:val="auto"/>
        </w:rPr>
      </w:pPr>
    </w:p>
    <w:p>
      <w:pPr>
        <w:ind w:left="856" w:right="300" w:hanging="424"/>
        <w:spacing w:after="0" w:line="277" w:lineRule="auto"/>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856" w:right="220" w:hanging="424"/>
        <w:spacing w:after="0" w:line="277" w:lineRule="auto"/>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 and</w:t>
      </w:r>
    </w:p>
    <w:p>
      <w:pPr>
        <w:spacing w:after="0" w:line="75" w:lineRule="exact"/>
        <w:rPr>
          <w:rFonts w:ascii="Arial" w:cs="Arial" w:eastAsia="Arial" w:hAnsi="Arial"/>
          <w:sz w:val="18"/>
          <w:szCs w:val="18"/>
          <w:color w:val="auto"/>
        </w:rPr>
      </w:pPr>
    </w:p>
    <w:p>
      <w:pPr>
        <w:ind w:left="856" w:right="180" w:hanging="424"/>
        <w:spacing w:after="0" w:line="264" w:lineRule="auto"/>
        <w:tabs>
          <w:tab w:leader="none" w:pos="85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or photograph or represented by any other substitute or format for storage or transmission for writing or partly one and partly another.</w:t>
      </w:r>
    </w:p>
    <w:p>
      <w:pPr>
        <w:spacing w:after="0" w:line="208" w:lineRule="exact"/>
        <w:rPr>
          <w:rFonts w:ascii="Arial" w:cs="Arial" w:eastAsia="Arial" w:hAnsi="Arial"/>
          <w:sz w:val="18"/>
          <w:szCs w:val="18"/>
          <w:color w:val="auto"/>
        </w:rPr>
      </w:pPr>
    </w:p>
    <w:p>
      <w:pPr>
        <w:ind w:left="436" w:right="560" w:hanging="436"/>
        <w:spacing w:after="0" w:line="277" w:lineRule="auto"/>
        <w:tabs>
          <w:tab w:leader="none" w:pos="4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Law shall, if not inconsistent with the subject or context, bear the same meaning in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74295</wp:posOffset>
            </wp:positionV>
            <wp:extent cx="848995" cy="9861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6"/>
          </w:cols>
          <w:pgMar w:left="444" w:top="270" w:right="459" w:bottom="1440" w:gutter="0" w:footer="0" w:header="0"/>
        </w:sectPr>
      </w:pPr>
    </w:p>
    <w:bookmarkStart w:id="205" w:name="page206"/>
    <w:bookmarkEnd w:id="205"/>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w:t>
      </w:r>
    </w:p>
    <w:p>
      <w:pPr>
        <w:spacing w:after="0" w:line="256" w:lineRule="exact"/>
        <w:rPr>
          <w:sz w:val="20"/>
          <w:szCs w:val="20"/>
          <w:color w:val="auto"/>
        </w:rPr>
      </w:pPr>
    </w:p>
    <w:p>
      <w:pPr>
        <w:ind w:left="436" w:right="300" w:hanging="436"/>
        <w:spacing w:after="0" w:line="342" w:lineRule="auto"/>
        <w:tabs>
          <w:tab w:leader="none" w:pos="43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29" w:lineRule="exact"/>
        <w:rPr>
          <w:rFonts w:ascii="Arial" w:cs="Arial" w:eastAsia="Arial" w:hAnsi="Arial"/>
          <w:sz w:val="16"/>
          <w:szCs w:val="16"/>
          <w:color w:val="auto"/>
        </w:rPr>
      </w:pPr>
    </w:p>
    <w:p>
      <w:pPr>
        <w:ind w:left="436" w:right="120" w:hanging="436"/>
        <w:spacing w:after="0" w:line="264" w:lineRule="auto"/>
        <w:tabs>
          <w:tab w:leader="none" w:pos="4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shall be paid by the Company or any Subsidiary. If paid by the Company, such expenses may be amortised over such period as the Directors may determine and the amount so paid shall be charged against income and/or capital in the accounts of the Company as the Directors shall determine.</w:t>
      </w:r>
    </w:p>
    <w:p>
      <w:pPr>
        <w:spacing w:after="0" w:line="86" w:lineRule="exact"/>
        <w:rPr>
          <w:rFonts w:ascii="Arial" w:cs="Arial" w:eastAsia="Arial" w:hAnsi="Arial"/>
          <w:sz w:val="18"/>
          <w:szCs w:val="18"/>
          <w:color w:val="auto"/>
        </w:rPr>
      </w:pPr>
    </w:p>
    <w:p>
      <w:pPr>
        <w:ind w:left="436" w:right="120" w:hanging="436"/>
        <w:spacing w:after="0" w:line="279" w:lineRule="auto"/>
        <w:tabs>
          <w:tab w:leader="none" w:pos="43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Directors shall keep, or cause to be kept, the Register at such place or (subject to compliance with the Law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Law, provided always that a duplicate of such Branch Register(s) shall be maintained with the Principal Register in accordance with the Law.</w:t>
      </w:r>
    </w:p>
    <w:p>
      <w:pPr>
        <w:spacing w:after="0" w:line="384"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ISSUE OF SHARES</w:t>
      </w:r>
    </w:p>
    <w:p>
      <w:pPr>
        <w:spacing w:after="0" w:line="256" w:lineRule="exact"/>
        <w:rPr>
          <w:sz w:val="20"/>
          <w:szCs w:val="20"/>
          <w:color w:val="auto"/>
        </w:rPr>
      </w:pPr>
    </w:p>
    <w:p>
      <w:pPr>
        <w:ind w:left="436" w:right="40" w:hanging="436"/>
        <w:spacing w:after="0" w:line="264" w:lineRule="auto"/>
        <w:tabs>
          <w:tab w:leader="none" w:pos="4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Subject to these Articles, the Law, any direction that may be given by the Company in general meeting and without prejudice to any special rights or restrictions for the time being attached to any shares or any class of shares, all shares for the time being unissued shall be under the control of the Directors who may:</w:t>
      </w:r>
    </w:p>
    <w:p>
      <w:pPr>
        <w:spacing w:after="0" w:line="86" w:lineRule="exact"/>
        <w:rPr>
          <w:rFonts w:ascii="Arial" w:cs="Arial" w:eastAsia="Arial" w:hAnsi="Arial"/>
          <w:sz w:val="18"/>
          <w:szCs w:val="18"/>
          <w:color w:val="auto"/>
        </w:rPr>
      </w:pPr>
    </w:p>
    <w:p>
      <w:pPr>
        <w:ind w:left="856" w:hanging="424"/>
        <w:spacing w:after="0" w:line="342" w:lineRule="auto"/>
        <w:tabs>
          <w:tab w:leader="none" w:pos="85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designate, re-designate, offer, issue, allot and dispose of the same to such persons, in such manner, on such terms and having such rights and being subject to such restrictions as they may from time to time determine but so that no shares shall be issued at a discount; and</w:t>
      </w:r>
    </w:p>
    <w:p>
      <w:pPr>
        <w:spacing w:after="0" w:line="29" w:lineRule="exact"/>
        <w:rPr>
          <w:rFonts w:ascii="Arial" w:cs="Arial" w:eastAsia="Arial" w:hAnsi="Arial"/>
          <w:sz w:val="16"/>
          <w:szCs w:val="16"/>
          <w:color w:val="auto"/>
        </w:rPr>
      </w:pPr>
    </w:p>
    <w:p>
      <w:pPr>
        <w:jc w:val="both"/>
        <w:ind w:left="856" w:right="180" w:hanging="424"/>
        <w:spacing w:after="0" w:line="264" w:lineRule="auto"/>
        <w:tabs>
          <w:tab w:leader="none" w:pos="85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grant options with respect to such shares and issue warrants, convertible securities or securities of similar nature conferring the right upon the holders thereof to subscribe for any class of shares or securities in the capital of the Company on such terms as they may from time to time determine;</w:t>
      </w:r>
    </w:p>
    <w:p>
      <w:pPr>
        <w:spacing w:after="0" w:line="73" w:lineRule="exact"/>
        <w:rPr>
          <w:sz w:val="20"/>
          <w:szCs w:val="20"/>
          <w:color w:val="auto"/>
        </w:rPr>
      </w:pPr>
    </w:p>
    <w:p>
      <w:pPr>
        <w:ind w:left="436"/>
        <w:spacing w:after="0" w:line="264" w:lineRule="auto"/>
        <w:rPr>
          <w:sz w:val="20"/>
          <w:szCs w:val="20"/>
          <w:color w:val="auto"/>
        </w:rPr>
      </w:pPr>
      <w:r>
        <w:rPr>
          <w:rFonts w:ascii="Arial" w:cs="Arial" w:eastAsia="Arial" w:hAnsi="Arial"/>
          <w:sz w:val="18"/>
          <w:szCs w:val="18"/>
          <w:color w:val="auto"/>
        </w:rPr>
        <w:t>and, for such purposes, the Directors may reserve an appropriate number of shares for the time being unissued, PROVIDED THAT, notwithstanding anything set forth in these Articles to the contrary, no Class B Ordinary Shares in addition to the Class B Ordinary Shares in issue as of the date of adoption of these Articles may be issued except as required pursuant to Articles 11(e) or 12(e).</w:t>
      </w:r>
    </w:p>
    <w:p>
      <w:pPr>
        <w:spacing w:after="0" w:line="87" w:lineRule="exact"/>
        <w:rPr>
          <w:sz w:val="20"/>
          <w:szCs w:val="20"/>
          <w:color w:val="auto"/>
        </w:rPr>
      </w:pPr>
    </w:p>
    <w:p>
      <w:pPr>
        <w:ind w:left="436" w:hanging="436"/>
        <w:spacing w:after="0"/>
        <w:tabs>
          <w:tab w:leader="none" w:pos="4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share shall be issued to bearer.</w:t>
      </w:r>
    </w:p>
    <w:p>
      <w:pPr>
        <w:spacing w:after="0" w:line="130" w:lineRule="exact"/>
        <w:rPr>
          <w:rFonts w:ascii="Arial" w:cs="Arial" w:eastAsia="Arial" w:hAnsi="Arial"/>
          <w:sz w:val="18"/>
          <w:szCs w:val="18"/>
          <w:color w:val="auto"/>
        </w:rPr>
      </w:pPr>
    </w:p>
    <w:p>
      <w:pPr>
        <w:ind w:left="436" w:right="80" w:hanging="436"/>
        <w:spacing w:after="0" w:line="302" w:lineRule="auto"/>
        <w:tabs>
          <w:tab w:leader="none" w:pos="43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Board of Directors of the Company is authorized, subject to any limitations prescribed by Law and Article 11(e), to classify or reclassify any unissued shares (including any unissued Class A Ordinary Shares and Class B Ordinary Shares) into one or more classes or series of shares, with such voting powers, full or limited, or no voting powers, and with such designations, preferences and relative, participating, optional or other special rights and qualifications, limitations or restrictions thereon as set forth in a resolution adopted by the Board of Directors.</w:t>
      </w:r>
    </w:p>
    <w:p>
      <w:pPr>
        <w:spacing w:after="0" w:line="59" w:lineRule="exact"/>
        <w:rPr>
          <w:rFonts w:ascii="Arial" w:cs="Arial" w:eastAsia="Arial" w:hAnsi="Arial"/>
          <w:sz w:val="16"/>
          <w:szCs w:val="16"/>
          <w:color w:val="auto"/>
        </w:rPr>
      </w:pPr>
    </w:p>
    <w:p>
      <w:pPr>
        <w:ind w:left="436" w:right="280" w:hanging="436"/>
        <w:spacing w:after="0" w:line="279" w:lineRule="auto"/>
        <w:tabs>
          <w:tab w:leader="none" w:pos="43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Subject to the provisions of the Law, the Memorandum and Articles of Association, and to any special rights conferred on the holders of any shares or class of shares, any share in the Company may be issued with or have attached thereto such rights or restrictions whether in regard to dividend, voting, return of capital or otherwise as the Company may by Ordinary Resolution determine or, if there has not been any such determination or so far as the same shall not make specific provision, as the Board of Directors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74930</wp:posOffset>
            </wp:positionV>
            <wp:extent cx="848995" cy="9861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76"/>
          </w:cols>
          <w:pgMar w:left="444" w:top="270" w:right="479" w:bottom="1440" w:gutter="0" w:footer="0" w:header="0"/>
        </w:sectPr>
      </w:pPr>
    </w:p>
    <w:bookmarkStart w:id="206" w:name="page207"/>
    <w:bookmarkEnd w:id="206"/>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 A ORDINARY SHARES</w:t>
      </w:r>
    </w:p>
    <w:p>
      <w:pPr>
        <w:spacing w:after="0" w:line="256" w:lineRule="exact"/>
        <w:rPr>
          <w:sz w:val="20"/>
          <w:szCs w:val="20"/>
          <w:color w:val="auto"/>
        </w:rPr>
      </w:pPr>
    </w:p>
    <w:p>
      <w:pPr>
        <w:ind w:left="436" w:hanging="436"/>
        <w:spacing w:after="0"/>
        <w:tabs>
          <w:tab w:leader="none" w:pos="4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preferences, limitations, voting powers and relative rights of the Class A Ordinary Shares are as follows:</w:t>
      </w:r>
    </w:p>
    <w:p>
      <w:pPr>
        <w:spacing w:after="0" w:line="130" w:lineRule="exact"/>
        <w:rPr>
          <w:rFonts w:ascii="Arial" w:cs="Arial" w:eastAsia="Arial" w:hAnsi="Arial"/>
          <w:sz w:val="18"/>
          <w:szCs w:val="18"/>
          <w:color w:val="auto"/>
        </w:rPr>
      </w:pPr>
    </w:p>
    <w:p>
      <w:pPr>
        <w:ind w:left="856" w:right="180" w:hanging="424"/>
        <w:spacing w:after="0" w:line="264" w:lineRule="auto"/>
        <w:tabs>
          <w:tab w:leader="none" w:pos="856"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Class A Ordinary Shares shall carry the right to receive notice of and to attend, to speak at and to vote at any general meeting of the Company. Each Class A Ordinary Share shall entitle the registered holder thereof to one (1) vote for each Class A Ordinary Share held on all matters subject to a vote by poll at general meetings of the Company.</w:t>
      </w:r>
    </w:p>
    <w:p>
      <w:pPr>
        <w:spacing w:after="0" w:line="86" w:lineRule="exact"/>
        <w:rPr>
          <w:rFonts w:ascii="Arial" w:cs="Arial" w:eastAsia="Arial" w:hAnsi="Arial"/>
          <w:sz w:val="18"/>
          <w:szCs w:val="18"/>
          <w:color w:val="auto"/>
        </w:rPr>
      </w:pPr>
    </w:p>
    <w:p>
      <w:pPr>
        <w:ind w:left="856" w:right="540" w:hanging="424"/>
        <w:spacing w:after="0" w:line="277" w:lineRule="auto"/>
        <w:tabs>
          <w:tab w:leader="none" w:pos="856"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Class A Ordinary Shares shall be entitled to share in any dividends and other distributions paid or distributed by the Company.</w:t>
      </w:r>
    </w:p>
    <w:p>
      <w:pPr>
        <w:spacing w:after="0" w:line="75" w:lineRule="exact"/>
        <w:rPr>
          <w:rFonts w:ascii="Arial" w:cs="Arial" w:eastAsia="Arial" w:hAnsi="Arial"/>
          <w:sz w:val="18"/>
          <w:szCs w:val="18"/>
          <w:color w:val="auto"/>
        </w:rPr>
      </w:pPr>
    </w:p>
    <w:p>
      <w:pPr>
        <w:jc w:val="both"/>
        <w:ind w:left="856" w:hanging="424"/>
        <w:spacing w:after="0" w:line="264" w:lineRule="auto"/>
        <w:tabs>
          <w:tab w:leader="none" w:pos="856"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In the event of any voluntary or involuntary liquidation, dissolution or winding up of the affairs of the Company, after payment or provision for payment of the debts of the Company, the holders of all outstanding Class A Ordinary Shares shall be entitled to share in the remaining assets of the Company legally available for distribution.</w:t>
      </w:r>
    </w:p>
    <w:p>
      <w:pPr>
        <w:spacing w:after="0" w:line="86" w:lineRule="exact"/>
        <w:rPr>
          <w:rFonts w:ascii="Arial" w:cs="Arial" w:eastAsia="Arial" w:hAnsi="Arial"/>
          <w:sz w:val="18"/>
          <w:szCs w:val="18"/>
          <w:color w:val="auto"/>
        </w:rPr>
      </w:pPr>
    </w:p>
    <w:p>
      <w:pPr>
        <w:ind w:left="856" w:right="220" w:hanging="424"/>
        <w:spacing w:after="0" w:line="277" w:lineRule="auto"/>
        <w:tabs>
          <w:tab w:leader="none" w:pos="856"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Equal Status</w:t>
      </w:r>
      <w:r>
        <w:rPr>
          <w:rFonts w:ascii="Arial" w:cs="Arial" w:eastAsia="Arial" w:hAnsi="Arial"/>
          <w:sz w:val="18"/>
          <w:szCs w:val="18"/>
          <w:color w:val="auto"/>
        </w:rPr>
        <w:t>. Each Class A Ordinary Share shall have the same rights and privileges and rank equally, share ratably and be identical in all respects as to all matters.</w:t>
      </w:r>
    </w:p>
    <w:p>
      <w:pPr>
        <w:spacing w:after="0" w:line="75" w:lineRule="exact"/>
        <w:rPr>
          <w:rFonts w:ascii="Arial" w:cs="Arial" w:eastAsia="Arial" w:hAnsi="Arial"/>
          <w:sz w:val="18"/>
          <w:szCs w:val="18"/>
          <w:color w:val="auto"/>
        </w:rPr>
      </w:pPr>
    </w:p>
    <w:p>
      <w:pPr>
        <w:ind w:left="856" w:right="280" w:hanging="424"/>
        <w:spacing w:after="0" w:line="276" w:lineRule="auto"/>
        <w:tabs>
          <w:tab w:leader="none" w:pos="856"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Share Adjustment</w:t>
      </w:r>
      <w:r>
        <w:rPr>
          <w:rFonts w:ascii="Arial" w:cs="Arial" w:eastAsia="Arial" w:hAnsi="Arial"/>
          <w:sz w:val="17"/>
          <w:szCs w:val="17"/>
          <w:color w:val="auto"/>
        </w:rPr>
        <w:t xml:space="preserve">. In no event should any share dividend, share split, reverse share split, combination of shares, sub-division, reclassification or recapitalization be declared or made in respect of the Class A Ordinary Shares (each, a “Share </w:t>
      </w:r>
      <w:r>
        <w:rPr>
          <w:rFonts w:ascii="Arial" w:cs="Arial" w:eastAsia="Arial" w:hAnsi="Arial"/>
          <w:sz w:val="17"/>
          <w:szCs w:val="17"/>
          <w:b w:val="1"/>
          <w:bCs w:val="1"/>
          <w:color w:val="auto"/>
        </w:rPr>
        <w:t>Adjustment”)</w:t>
      </w:r>
      <w:r>
        <w:rPr>
          <w:rFonts w:ascii="Arial" w:cs="Arial" w:eastAsia="Arial" w:hAnsi="Arial"/>
          <w:sz w:val="17"/>
          <w:szCs w:val="17"/>
          <w:color w:val="auto"/>
        </w:rPr>
        <w:t xml:space="preserve"> unless a corresponding Share Adjustment is made to the Class B Ordinary Shares in the same proportion and the same manner (to the extent such Share Adjustment is not already required pursuant to Article 12(e)). Share dividends with respect to each class of shares of the Company may only be made with the shares of the same class as such class of shares of the Company.</w:t>
      </w:r>
    </w:p>
    <w:p>
      <w:pPr>
        <w:spacing w:after="0" w:line="38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CLASS B ORDINARY SHARES</w:t>
      </w:r>
    </w:p>
    <w:p>
      <w:pPr>
        <w:spacing w:after="0" w:line="256" w:lineRule="exact"/>
        <w:rPr>
          <w:sz w:val="20"/>
          <w:szCs w:val="20"/>
          <w:color w:val="auto"/>
        </w:rPr>
      </w:pPr>
    </w:p>
    <w:p>
      <w:pPr>
        <w:ind w:left="436" w:hanging="436"/>
        <w:spacing w:after="0"/>
        <w:tabs>
          <w:tab w:leader="none" w:pos="43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preferences, limitations, voting powers and relative rights of the Class B Ordinary Shares are as follows: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16" w:right="40" w:hanging="538"/>
        <w:spacing w:after="0" w:line="277" w:lineRule="auto"/>
        <w:tabs>
          <w:tab w:leader="none" w:pos="1416" w:val="left"/>
        </w:tabs>
        <w:numPr>
          <w:ilvl w:val="2"/>
          <w:numId w:val="153"/>
        </w:numPr>
        <w:rPr>
          <w:rFonts w:ascii="Arial" w:cs="Arial" w:eastAsia="Arial" w:hAnsi="Arial"/>
          <w:sz w:val="18"/>
          <w:szCs w:val="18"/>
          <w:color w:val="auto"/>
        </w:rPr>
      </w:pPr>
      <w:r>
        <w:rPr>
          <w:rFonts w:ascii="Arial" w:cs="Arial" w:eastAsia="Arial" w:hAnsi="Arial"/>
          <w:sz w:val="18"/>
          <w:szCs w:val="18"/>
          <w:color w:val="auto"/>
        </w:rPr>
        <w:t>The Class B Ordinary Shares shall carry the right to receive notice of and to attend, to speak at and to vote at any general meeting of the Company.</w:t>
      </w:r>
    </w:p>
    <w:p>
      <w:pPr>
        <w:spacing w:after="0" w:line="75" w:lineRule="exact"/>
        <w:rPr>
          <w:rFonts w:ascii="Arial" w:cs="Arial" w:eastAsia="Arial" w:hAnsi="Arial"/>
          <w:sz w:val="18"/>
          <w:szCs w:val="18"/>
          <w:color w:val="auto"/>
        </w:rPr>
      </w:pPr>
    </w:p>
    <w:p>
      <w:pPr>
        <w:ind w:left="1416" w:right="260" w:hanging="538"/>
        <w:spacing w:after="0" w:line="259" w:lineRule="auto"/>
        <w:tabs>
          <w:tab w:leader="none" w:pos="1416" w:val="left"/>
        </w:tabs>
        <w:numPr>
          <w:ilvl w:val="2"/>
          <w:numId w:val="153"/>
        </w:numPr>
        <w:rPr>
          <w:rFonts w:ascii="Arial" w:cs="Arial" w:eastAsia="Arial" w:hAnsi="Arial"/>
          <w:sz w:val="18"/>
          <w:szCs w:val="18"/>
          <w:color w:val="auto"/>
        </w:rPr>
      </w:pPr>
      <w:r>
        <w:rPr>
          <w:rFonts w:ascii="Arial" w:cs="Arial" w:eastAsia="Arial" w:hAnsi="Arial"/>
          <w:sz w:val="18"/>
          <w:szCs w:val="18"/>
          <w:color w:val="auto"/>
        </w:rPr>
        <w:t>Except as otherwise provided in these Articles, holders of Class A Ordinary Shares and Class B Ordinary Shares shall at all times vote together as one class on all resolutions submitted to a vote of the Members. Each Class B Ordinary Share shall entitle the registered holder thereof to one (1) vote for each Class B Ordinary Share held on all matters subject to vote by poll at general meetings of the Company.</w:t>
      </w:r>
    </w:p>
    <w:p>
      <w:pPr>
        <w:spacing w:after="0" w:line="92" w:lineRule="exact"/>
        <w:rPr>
          <w:rFonts w:ascii="Arial" w:cs="Arial" w:eastAsia="Arial" w:hAnsi="Arial"/>
          <w:sz w:val="18"/>
          <w:szCs w:val="18"/>
          <w:color w:val="auto"/>
        </w:rPr>
      </w:pPr>
    </w:p>
    <w:p>
      <w:pPr>
        <w:ind w:left="856" w:right="140" w:hanging="424"/>
        <w:spacing w:after="0" w:line="277" w:lineRule="auto"/>
        <w:tabs>
          <w:tab w:leader="none" w:pos="856"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No Dividend Rights</w:t>
      </w:r>
      <w:r>
        <w:rPr>
          <w:rFonts w:ascii="Arial" w:cs="Arial" w:eastAsia="Arial" w:hAnsi="Arial"/>
          <w:sz w:val="18"/>
          <w:szCs w:val="18"/>
          <w:color w:val="auto"/>
        </w:rPr>
        <w:t>. Holders of the Class B Ordinary Shares do not have any right to any dividends paid or distributed by the Company or to otherwise share in the profits or surplus assets of the Company.</w:t>
      </w:r>
    </w:p>
    <w:p>
      <w:pPr>
        <w:spacing w:after="0" w:line="75" w:lineRule="exact"/>
        <w:rPr>
          <w:rFonts w:ascii="Arial" w:cs="Arial" w:eastAsia="Arial" w:hAnsi="Arial"/>
          <w:sz w:val="18"/>
          <w:szCs w:val="18"/>
          <w:color w:val="auto"/>
        </w:rPr>
      </w:pPr>
    </w:p>
    <w:p>
      <w:pPr>
        <w:ind w:left="856" w:right="460" w:hanging="424"/>
        <w:spacing w:after="0" w:line="277" w:lineRule="auto"/>
        <w:tabs>
          <w:tab w:leader="none" w:pos="856"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No Distribution upon Liquidation</w:t>
      </w:r>
      <w:r>
        <w:rPr>
          <w:rFonts w:ascii="Arial" w:cs="Arial" w:eastAsia="Arial" w:hAnsi="Arial"/>
          <w:sz w:val="18"/>
          <w:szCs w:val="18"/>
          <w:color w:val="auto"/>
        </w:rPr>
        <w:t>. In the event of any voluntary or involuntary liquidation, dissolution or winding up of the Company, holders of Class B Ordinary Shares shall not be entitled to receive any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74295</wp:posOffset>
            </wp:positionV>
            <wp:extent cx="848995" cy="9861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0" w:right="459" w:bottom="1440" w:gutter="0" w:footer="0" w:header="0"/>
        </w:sectPr>
      </w:pPr>
    </w:p>
    <w:bookmarkStart w:id="207" w:name="page208"/>
    <w:bookmarkEnd w:id="207"/>
    <w:p>
      <w:pPr>
        <w:ind w:left="856" w:hanging="424"/>
        <w:spacing w:after="0"/>
        <w:tabs>
          <w:tab w:leader="none" w:pos="85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of Class B Ordinary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16" w:right="40" w:hanging="538"/>
        <w:spacing w:after="0" w:line="277" w:lineRule="auto"/>
        <w:tabs>
          <w:tab w:leader="none" w:pos="141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 Class B Ordinary Share may be transferred except in connection with the transfer of Participation Interest in accordance with the terms of the Participation Agreement.</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purported transfer of Class B Ordinary Shares in violation of this Article 12(d) shall be null and void.</w:t>
      </w:r>
    </w:p>
    <w:p>
      <w:pPr>
        <w:spacing w:after="0" w:line="130" w:lineRule="exact"/>
        <w:rPr>
          <w:rFonts w:ascii="Arial" w:cs="Arial" w:eastAsia="Arial" w:hAnsi="Arial"/>
          <w:sz w:val="18"/>
          <w:szCs w:val="18"/>
          <w:color w:val="auto"/>
        </w:rPr>
      </w:pPr>
    </w:p>
    <w:p>
      <w:pPr>
        <w:ind w:left="1416" w:right="780" w:hanging="538"/>
        <w:spacing w:after="0" w:line="277" w:lineRule="auto"/>
        <w:tabs>
          <w:tab w:leader="none" w:pos="141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Transfers of Class B Ordinary Shares that comply with the terms of Section 7.1 of the Participation Agreement shall occur automatically as provided in the Participation Agreement.</w:t>
      </w:r>
    </w:p>
    <w:p>
      <w:pPr>
        <w:spacing w:after="0" w:line="75" w:lineRule="exact"/>
        <w:rPr>
          <w:rFonts w:ascii="Arial" w:cs="Arial" w:eastAsia="Arial" w:hAnsi="Arial"/>
          <w:sz w:val="18"/>
          <w:szCs w:val="18"/>
          <w:color w:val="auto"/>
        </w:rPr>
      </w:pPr>
    </w:p>
    <w:p>
      <w:pPr>
        <w:ind w:left="856" w:right="300" w:hanging="424"/>
        <w:spacing w:after="0" w:line="342" w:lineRule="auto"/>
        <w:tabs>
          <w:tab w:leader="none" w:pos="856"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Share Adjustment</w:t>
      </w:r>
      <w:r>
        <w:rPr>
          <w:rFonts w:ascii="Arial" w:cs="Arial" w:eastAsia="Arial" w:hAnsi="Arial"/>
          <w:sz w:val="16"/>
          <w:szCs w:val="16"/>
          <w:color w:val="auto"/>
        </w:rPr>
        <w:t>. In the event that the Participation Agreement requires an adjustment to the number of issued and outstanding Class B Ordinary Shares in connection with a Class B Adjustment (as defined in the Participation Agreement), the following shall apply:</w:t>
      </w:r>
    </w:p>
    <w:p>
      <w:pPr>
        <w:spacing w:after="0" w:line="29" w:lineRule="exact"/>
        <w:rPr>
          <w:rFonts w:ascii="Arial" w:cs="Arial" w:eastAsia="Arial" w:hAnsi="Arial"/>
          <w:sz w:val="16"/>
          <w:szCs w:val="16"/>
          <w:color w:val="auto"/>
        </w:rPr>
      </w:pPr>
    </w:p>
    <w:p>
      <w:pPr>
        <w:ind w:left="1416" w:right="140" w:hanging="540"/>
        <w:spacing w:after="0" w:line="302" w:lineRule="auto"/>
        <w:rPr>
          <w:rFonts w:ascii="Arial" w:cs="Arial" w:eastAsia="Arial" w:hAnsi="Arial"/>
          <w:sz w:val="16"/>
          <w:szCs w:val="16"/>
          <w:color w:val="auto"/>
        </w:rPr>
      </w:pPr>
      <w:r>
        <w:rPr>
          <w:rFonts w:ascii="Arial" w:cs="Arial" w:eastAsia="Arial" w:hAnsi="Arial"/>
          <w:sz w:val="18"/>
          <w:szCs w:val="18"/>
          <w:color w:val="auto"/>
        </w:rPr>
        <w:t>i</w:t>
      </w:r>
      <w:r>
        <w:rPr>
          <w:rFonts w:ascii="Arial" w:cs="Arial" w:eastAsia="Arial" w:hAnsi="Arial"/>
          <w:sz w:val="16"/>
          <w:szCs w:val="16"/>
          <w:color w:val="auto"/>
        </w:rPr>
        <w:t>where the Class B Adjustment requires, pursuant to the Participation Agreement, an increase in the number of issued and outstanding Class B Ordinary Shares, the Company shall on the date of the Class B Adjustment issue to the relevant Participant(s) such number of Class B Ordinary Shares as is required pursuant to the Class B Adjustment at their par value, credited as fully paid, and the Company’s registered office service provider shall update the Register on that date to reflect such issuance; and</w:t>
      </w:r>
    </w:p>
    <w:p>
      <w:pPr>
        <w:spacing w:after="0" w:line="59" w:lineRule="exact"/>
        <w:rPr>
          <w:rFonts w:ascii="Arial" w:cs="Arial" w:eastAsia="Arial" w:hAnsi="Arial"/>
          <w:sz w:val="16"/>
          <w:szCs w:val="16"/>
          <w:color w:val="auto"/>
        </w:rPr>
      </w:pPr>
    </w:p>
    <w:p>
      <w:pPr>
        <w:ind w:left="1416" w:right="40" w:hanging="538"/>
        <w:spacing w:after="0" w:line="257" w:lineRule="auto"/>
        <w:tabs>
          <w:tab w:leader="none" w:pos="141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where the Class B Adjustment requires, pursuant to the Participation Agreement, a decrease in the number of issued and outstanding Class B Ordinary Shares, each relevant Participant shall on the date of the Class B Adjustment be deemed to have surrendered to the Company for cancellation, for no consideration, such number of Class B Ordinary Shares as is required pursuant to the Class B Adjustment and the Company’s registered office service provider shall update the Register on that date to reflect such surrender and cancellation.</w:t>
      </w:r>
    </w:p>
    <w:p>
      <w:pPr>
        <w:spacing w:after="0" w:line="40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REGISTER OF MEMBERS AND SHARE CERTIFICATES</w:t>
      </w:r>
    </w:p>
    <w:p>
      <w:pPr>
        <w:spacing w:after="0" w:line="256" w:lineRule="exact"/>
        <w:rPr>
          <w:sz w:val="20"/>
          <w:szCs w:val="20"/>
          <w:color w:val="auto"/>
        </w:rPr>
      </w:pPr>
    </w:p>
    <w:p>
      <w:pPr>
        <w:ind w:left="436" w:right="20" w:hanging="436"/>
        <w:spacing w:after="0" w:line="291" w:lineRule="auto"/>
        <w:tabs>
          <w:tab w:leader="none" w:pos="43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 shall maintain a Register of its Members and every person whose name is entered as a member in the Register shall, without payment, be entitled to a certificate (except in the case of Class B Ordinary Shares) within two months after allotment or lodgement of transfer (or within such other period as the conditions of issue shall provide)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 No share certificates shall be issued in respect of the Class B Ordinary Shares.</w:t>
      </w:r>
    </w:p>
    <w:p>
      <w:pPr>
        <w:spacing w:after="0" w:line="72" w:lineRule="exact"/>
        <w:rPr>
          <w:rFonts w:ascii="Arial" w:cs="Arial" w:eastAsia="Arial" w:hAnsi="Arial"/>
          <w:sz w:val="16"/>
          <w:szCs w:val="16"/>
          <w:color w:val="auto"/>
        </w:rPr>
      </w:pPr>
    </w:p>
    <w:p>
      <w:pPr>
        <w:ind w:left="436" w:hanging="436"/>
        <w:spacing w:after="0"/>
        <w:tabs>
          <w:tab w:leader="none" w:pos="4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Every share certificate of the Company shall bear legends required under the applicable laws, including the Securities Act.</w:t>
      </w:r>
    </w:p>
    <w:p>
      <w:pPr>
        <w:spacing w:after="0" w:line="130" w:lineRule="exact"/>
        <w:rPr>
          <w:rFonts w:ascii="Arial" w:cs="Arial" w:eastAsia="Arial" w:hAnsi="Arial"/>
          <w:sz w:val="18"/>
          <w:szCs w:val="18"/>
          <w:color w:val="auto"/>
        </w:rPr>
      </w:pPr>
    </w:p>
    <w:p>
      <w:pPr>
        <w:ind w:left="436" w:hanging="436"/>
        <w:spacing w:after="0" w:line="264" w:lineRule="auto"/>
        <w:tabs>
          <w:tab w:leader="none" w:pos="4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US$1.00 or such smaller sum as the Directors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81280</wp:posOffset>
            </wp:positionV>
            <wp:extent cx="848995" cy="9861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6"/>
          </w:cols>
          <w:pgMar w:left="444" w:top="274" w:right="459" w:bottom="1440" w:gutter="0" w:footer="0" w:header="0"/>
        </w:sectPr>
      </w:pPr>
    </w:p>
    <w:bookmarkStart w:id="208" w:name="page209"/>
    <w:bookmarkEnd w:id="208"/>
    <w:p>
      <w:pPr>
        <w:ind w:left="436" w:right="20" w:hanging="436"/>
        <w:spacing w:after="0" w:line="259" w:lineRule="auto"/>
        <w:tabs>
          <w:tab w:leader="none" w:pos="4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terms (if any) as to evidence and indemnity and the payment of out-of-pocket expenses of the Company in connection with the request as the Directors may think fit.</w:t>
      </w:r>
    </w:p>
    <w:p>
      <w:pPr>
        <w:spacing w:after="0" w:line="92" w:lineRule="exact"/>
        <w:rPr>
          <w:rFonts w:ascii="Arial" w:cs="Arial" w:eastAsia="Arial" w:hAnsi="Arial"/>
          <w:sz w:val="18"/>
          <w:szCs w:val="18"/>
          <w:color w:val="auto"/>
        </w:rPr>
      </w:pPr>
    </w:p>
    <w:p>
      <w:pPr>
        <w:ind w:left="436" w:right="560" w:hanging="436"/>
        <w:spacing w:after="0" w:line="277" w:lineRule="auto"/>
        <w:tabs>
          <w:tab w:leader="none" w:pos="4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that shares are held jointly by several persons, any request may be made by any one of the joint holders and if so made shall be binding on all of the joint holders.</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TRANSFER OF SHARES</w:t>
      </w:r>
    </w:p>
    <w:p>
      <w:pPr>
        <w:spacing w:after="0" w:line="256" w:lineRule="exact"/>
        <w:rPr>
          <w:sz w:val="20"/>
          <w:szCs w:val="20"/>
          <w:color w:val="auto"/>
        </w:rPr>
      </w:pPr>
    </w:p>
    <w:p>
      <w:pPr>
        <w:ind w:left="436" w:right="260" w:hanging="436"/>
        <w:spacing w:after="0" w:line="302" w:lineRule="auto"/>
        <w:tabs>
          <w:tab w:leader="none" w:pos="43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instrument of transfer of any share shall be in writing and in such usual or common form or such other form as the Directors may in their discretion approve and be executed by or on behalf of the transferor and shall be accompanied by the certificate of the shares to which it relates and such other evidence as the Directors may reasonably require to show the right of the transferor to make the transfer. The transferor shall be deemed to remain a holder of the share until the name of the transferee is entered in the Register in respect thereof.</w:t>
      </w:r>
    </w:p>
    <w:p>
      <w:pPr>
        <w:spacing w:after="0" w:line="59" w:lineRule="exact"/>
        <w:rPr>
          <w:rFonts w:ascii="Arial" w:cs="Arial" w:eastAsia="Arial" w:hAnsi="Arial"/>
          <w:sz w:val="16"/>
          <w:szCs w:val="16"/>
          <w:color w:val="auto"/>
        </w:rPr>
      </w:pPr>
    </w:p>
    <w:p>
      <w:pPr>
        <w:ind w:left="436" w:right="280" w:hanging="436"/>
        <w:spacing w:after="0" w:line="277" w:lineRule="auto"/>
        <w:tabs>
          <w:tab w:leader="none" w:pos="4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instruments of transfer which are registered shall be retained by the Company, but any instrument of transfer which the Directors decline to register shall (except in any case of fraud) be returned to the person depositing the same.</w:t>
      </w:r>
    </w:p>
    <w:p>
      <w:pPr>
        <w:spacing w:after="0" w:line="75" w:lineRule="exact"/>
        <w:rPr>
          <w:rFonts w:ascii="Arial" w:cs="Arial" w:eastAsia="Arial" w:hAnsi="Arial"/>
          <w:sz w:val="18"/>
          <w:szCs w:val="18"/>
          <w:color w:val="auto"/>
        </w:rPr>
      </w:pPr>
    </w:p>
    <w:p>
      <w:pPr>
        <w:ind w:left="436" w:right="120" w:hanging="436"/>
        <w:spacing w:after="0" w:line="277" w:lineRule="auto"/>
        <w:tabs>
          <w:tab w:leader="none" w:pos="4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assigning any reason, refuse to register a transfer of any share which is not fully paid up or on which the Company has a lien.</w:t>
      </w:r>
    </w:p>
    <w:p>
      <w:pPr>
        <w:spacing w:after="0" w:line="75" w:lineRule="exact"/>
        <w:rPr>
          <w:rFonts w:ascii="Arial" w:cs="Arial" w:eastAsia="Arial" w:hAnsi="Arial"/>
          <w:sz w:val="18"/>
          <w:szCs w:val="18"/>
          <w:color w:val="auto"/>
        </w:rPr>
      </w:pPr>
    </w:p>
    <w:p>
      <w:pPr>
        <w:ind w:left="436" w:hanging="436"/>
        <w:spacing w:after="0" w:line="277" w:lineRule="auto"/>
        <w:tabs>
          <w:tab w:leader="none" w:pos="4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Board shall, pursuant to Article 12(d), refuse to register any purported transfer of Class B Ordinary Shares made otherwise than in compliance with the Participation Agreement.</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Article 21, the Board may also decline to register any transfer of any shares unless (as is applicable), subject to Article 13:</w:t>
      </w:r>
    </w:p>
    <w:p>
      <w:pPr>
        <w:spacing w:after="0" w:line="130" w:lineRule="exact"/>
        <w:rPr>
          <w:rFonts w:ascii="Arial" w:cs="Arial" w:eastAsia="Arial" w:hAnsi="Arial"/>
          <w:sz w:val="18"/>
          <w:szCs w:val="18"/>
          <w:color w:val="auto"/>
        </w:rPr>
      </w:pPr>
    </w:p>
    <w:p>
      <w:pPr>
        <w:ind w:left="856" w:right="180" w:hanging="424"/>
        <w:spacing w:after="0" w:line="264" w:lineRule="auto"/>
        <w:tabs>
          <w:tab w:leader="none" w:pos="85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instrument of transfer is lodged with the Company accompanied by the certificate for the shares to which it relates (which shall upon registration of the transfer be cancelled) and such other evidence as the Board may reasonably require to show the right of the transferor to make the transfer;</w:t>
      </w:r>
    </w:p>
    <w:p>
      <w:pPr>
        <w:spacing w:after="0" w:line="86" w:lineRule="exact"/>
        <w:rPr>
          <w:rFonts w:ascii="Arial" w:cs="Arial" w:eastAsia="Arial" w:hAnsi="Arial"/>
          <w:sz w:val="18"/>
          <w:szCs w:val="18"/>
          <w:color w:val="auto"/>
        </w:rPr>
      </w:pPr>
    </w:p>
    <w:p>
      <w:pPr>
        <w:ind w:left="856" w:hanging="424"/>
        <w:spacing w:after="0"/>
        <w:tabs>
          <w:tab w:leader="none" w:pos="85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58"/>
        </w:numPr>
        <w:rPr>
          <w:rFonts w:ascii="Arial" w:cs="Arial" w:eastAsia="Arial" w:hAnsi="Arial"/>
          <w:sz w:val="17"/>
          <w:szCs w:val="17"/>
          <w:color w:val="auto"/>
        </w:rPr>
      </w:pPr>
      <w:r>
        <w:rPr>
          <w:rFonts w:ascii="Arial" w:cs="Arial" w:eastAsia="Arial" w:hAnsi="Arial"/>
          <w:sz w:val="17"/>
          <w:szCs w:val="17"/>
          <w:color w:val="auto"/>
        </w:rPr>
        <w:t>in the case of a transfer to joint holders, the number of joint holders to which the share is to be transferred does not exceed four.</w:t>
      </w:r>
    </w:p>
    <w:p>
      <w:pPr>
        <w:spacing w:after="0" w:line="142" w:lineRule="exact"/>
        <w:rPr>
          <w:rFonts w:ascii="Arial" w:cs="Arial" w:eastAsia="Arial" w:hAnsi="Arial"/>
          <w:sz w:val="17"/>
          <w:szCs w:val="17"/>
          <w:color w:val="auto"/>
        </w:rPr>
      </w:pPr>
    </w:p>
    <w:p>
      <w:pPr>
        <w:ind w:left="436" w:right="300" w:hanging="436"/>
        <w:spacing w:after="0" w:line="277" w:lineRule="auto"/>
        <w:tabs>
          <w:tab w:leader="none" w:pos="4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Directors refuse to register a transfer of any shares, they shall within two months after the date on which the transfer was lodged with the Company send to each of the transferor and the transferee notice of the refusal.</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REDEMPTION AND PURCHASE OF OWN SHARES</w:t>
      </w:r>
    </w:p>
    <w:p>
      <w:pPr>
        <w:spacing w:after="0" w:line="256" w:lineRule="exact"/>
        <w:rPr>
          <w:sz w:val="20"/>
          <w:szCs w:val="20"/>
          <w:color w:val="auto"/>
        </w:rPr>
      </w:pPr>
    </w:p>
    <w:p>
      <w:pPr>
        <w:ind w:left="436" w:hanging="436"/>
        <w:spacing w:after="0"/>
        <w:tabs>
          <w:tab w:leader="none" w:pos="4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Subject to the provisions of the applicable law and these Articles, the Company may:</w:t>
      </w:r>
    </w:p>
    <w:p>
      <w:pPr>
        <w:spacing w:after="0" w:line="130" w:lineRule="exact"/>
        <w:rPr>
          <w:rFonts w:ascii="Arial" w:cs="Arial" w:eastAsia="Arial" w:hAnsi="Arial"/>
          <w:sz w:val="18"/>
          <w:szCs w:val="18"/>
          <w:color w:val="auto"/>
        </w:rPr>
      </w:pPr>
    </w:p>
    <w:p>
      <w:pPr>
        <w:ind w:left="856" w:right="200" w:hanging="424"/>
        <w:spacing w:after="0" w:line="277" w:lineRule="auto"/>
        <w:tabs>
          <w:tab w:leader="none" w:pos="85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issue shares on terms that they are to be redeemed or are liable to be redeemed at the option of the Company or the Member on such terms and in such manner as the Directors may, before the issue of such shares,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74295</wp:posOffset>
            </wp:positionV>
            <wp:extent cx="848995" cy="9861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6"/>
          </w:cols>
          <w:pgMar w:left="444" w:top="274" w:right="439" w:bottom="1440" w:gutter="0" w:footer="0" w:header="0"/>
        </w:sectPr>
      </w:pPr>
    </w:p>
    <w:bookmarkStart w:id="209" w:name="page210"/>
    <w:bookmarkEnd w:id="209"/>
    <w:p>
      <w:pPr>
        <w:ind w:left="856" w:hanging="424"/>
        <w:spacing w:after="0"/>
        <w:tabs>
          <w:tab w:leader="none" w:pos="856" w:val="left"/>
        </w:tabs>
        <w:numPr>
          <w:ilvl w:val="0"/>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its own shares (including any redeemable shares) on such terms and in such manner as the Directors may determine; and</w:t>
      </w:r>
    </w:p>
    <w:p>
      <w:pPr>
        <w:spacing w:after="0" w:line="142" w:lineRule="exact"/>
        <w:rPr>
          <w:rFonts w:ascii="Arial" w:cs="Arial" w:eastAsia="Arial" w:hAnsi="Arial"/>
          <w:sz w:val="17"/>
          <w:szCs w:val="17"/>
          <w:color w:val="auto"/>
        </w:rPr>
      </w:pPr>
    </w:p>
    <w:p>
      <w:pPr>
        <w:ind w:left="856" w:right="220" w:hanging="424"/>
        <w:spacing w:after="0" w:line="277" w:lineRule="auto"/>
        <w:tabs>
          <w:tab w:leader="none" w:pos="8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make a payment in respect of the redemption or purchase of its own shares otherwise than out of profits or the proceeds of a fresh issue of shares.</w:t>
      </w:r>
    </w:p>
    <w:p>
      <w:pPr>
        <w:spacing w:after="0" w:line="62" w:lineRule="exact"/>
        <w:rPr>
          <w:sz w:val="20"/>
          <w:szCs w:val="20"/>
          <w:color w:val="auto"/>
        </w:rPr>
      </w:pPr>
    </w:p>
    <w:p>
      <w:pPr>
        <w:ind w:left="436"/>
        <w:spacing w:after="0" w:line="277" w:lineRule="auto"/>
        <w:rPr>
          <w:sz w:val="20"/>
          <w:szCs w:val="20"/>
          <w:color w:val="auto"/>
        </w:rPr>
      </w:pPr>
      <w:r>
        <w:rPr>
          <w:rFonts w:ascii="Arial" w:cs="Arial" w:eastAsia="Arial" w:hAnsi="Arial"/>
          <w:sz w:val="18"/>
          <w:szCs w:val="18"/>
          <w:color w:val="auto"/>
        </w:rPr>
        <w:t>Notwithstanding the foregoing and subject to Article 187 and the terms of the Participation Agreement, the Company shall not purchase or redeem any Class B Ordinary Shares.</w:t>
      </w:r>
    </w:p>
    <w:p>
      <w:pPr>
        <w:spacing w:after="0" w:line="76" w:lineRule="exact"/>
        <w:rPr>
          <w:sz w:val="20"/>
          <w:szCs w:val="20"/>
          <w:color w:val="auto"/>
        </w:rPr>
      </w:pPr>
    </w:p>
    <w:p>
      <w:pPr>
        <w:ind w:left="436" w:right="180" w:hanging="436"/>
        <w:spacing w:after="0" w:line="302" w:lineRule="auto"/>
        <w:tabs>
          <w:tab w:leader="none" w:pos="43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Upon exchange of all or part of a holder’s Participation Interest (as defined in the Participation Agreement), all Class B Ordinary Shares that correspond to the Exchanged Participation Interest (as defined in the Participation Agreement) shall be deemed surrendered and automatically cancelled (without any further action being required on the part of the holder of such Class B Ordinary Shares) and the Register shall be updated to reflect such surrender and cancellation and to record that the holder is no longer the holder of such Class B Ordinary Shares.</w:t>
      </w:r>
    </w:p>
    <w:p>
      <w:pPr>
        <w:spacing w:after="0" w:line="59" w:lineRule="exact"/>
        <w:rPr>
          <w:rFonts w:ascii="Arial" w:cs="Arial" w:eastAsia="Arial" w:hAnsi="Arial"/>
          <w:sz w:val="16"/>
          <w:szCs w:val="16"/>
          <w:color w:val="auto"/>
        </w:rPr>
      </w:pPr>
    </w:p>
    <w:p>
      <w:pPr>
        <w:ind w:left="436" w:right="220" w:hanging="436"/>
        <w:spacing w:after="0" w:line="264" w:lineRule="auto"/>
        <w:tabs>
          <w:tab w:leader="none" w:pos="4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share in respect of which any notice of redemption (including for the avoidance of doubt a Redemption Notice) has been given shall not be entitled to participate in the profits of the Company in respect of the period after the date specified as the date of redemption in the notice of redemption (or Redemption Date).</w:t>
      </w:r>
    </w:p>
    <w:p>
      <w:pPr>
        <w:spacing w:after="0" w:line="86" w:lineRule="exact"/>
        <w:rPr>
          <w:rFonts w:ascii="Arial" w:cs="Arial" w:eastAsia="Arial" w:hAnsi="Arial"/>
          <w:sz w:val="18"/>
          <w:szCs w:val="18"/>
          <w:color w:val="auto"/>
        </w:rPr>
      </w:pPr>
    </w:p>
    <w:p>
      <w:pPr>
        <w:ind w:left="436" w:hanging="436"/>
        <w:spacing w:after="0"/>
        <w:tabs>
          <w:tab w:leader="none" w:pos="4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redemption or purchase of any share shall not be deemed to give rise to the redemption or purchase of any other share.</w:t>
      </w:r>
    </w:p>
    <w:p>
      <w:pPr>
        <w:spacing w:after="0" w:line="130" w:lineRule="exact"/>
        <w:rPr>
          <w:rFonts w:ascii="Arial" w:cs="Arial" w:eastAsia="Arial" w:hAnsi="Arial"/>
          <w:sz w:val="18"/>
          <w:szCs w:val="18"/>
          <w:color w:val="auto"/>
        </w:rPr>
      </w:pPr>
    </w:p>
    <w:p>
      <w:pPr>
        <w:ind w:left="436" w:right="180" w:hanging="436"/>
        <w:spacing w:after="0" w:line="342" w:lineRule="auto"/>
        <w:tabs>
          <w:tab w:leader="none" w:pos="43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Directors may when making payments in respect of redemption or purchase of shares, if authorised by the terms of issue of the shares being redeemed or purchased or with the agreement of the holder of such shares, make such payment in any form of consideration.</w:t>
      </w:r>
    </w:p>
    <w:p>
      <w:pPr>
        <w:spacing w:after="0" w:line="336"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VARIATIONS OF RIGHTS ATTACHING TO SHARES</w:t>
      </w:r>
    </w:p>
    <w:p>
      <w:pPr>
        <w:spacing w:after="0" w:line="256" w:lineRule="exact"/>
        <w:rPr>
          <w:sz w:val="20"/>
          <w:szCs w:val="20"/>
          <w:color w:val="auto"/>
        </w:rPr>
      </w:pPr>
    </w:p>
    <w:p>
      <w:pPr>
        <w:ind w:left="436" w:right="20" w:hanging="436"/>
        <w:spacing w:after="0" w:line="255" w:lineRule="auto"/>
        <w:tabs>
          <w:tab w:leader="none" w:pos="43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If at any time the share capital is divided into different classes of shares, the rights, powers and preferences attaching to any class (unless otherwise provided by the terms of issue of the shares of that class) may, subject to these Articles, be varied or abrogated by the Company with the written consent of the holders of a majority of the issued shares of that class, or with the sanction of a resolution passed by at least a majority of the holders of shares of the class present in person or by proxy at a separate general meeting of the holders of the shares of the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without any consent or sanction of the holders of a majority of the issued shares of that class, make any adjustments, cancellations or updates required under Article 11(e) or Article 12(e). Without limiting the foregoing and to the extent that the Participation Agreement is in effect, any amendment to:</w:t>
      </w:r>
    </w:p>
    <w:p>
      <w:pPr>
        <w:spacing w:after="0" w:line="94" w:lineRule="exact"/>
        <w:rPr>
          <w:rFonts w:ascii="Arial" w:cs="Arial" w:eastAsia="Arial" w:hAnsi="Arial"/>
          <w:sz w:val="18"/>
          <w:szCs w:val="18"/>
          <w:color w:val="auto"/>
        </w:rPr>
      </w:pPr>
    </w:p>
    <w:p>
      <w:pPr>
        <w:ind w:left="856" w:right="60" w:hanging="424"/>
        <w:spacing w:after="0" w:line="257" w:lineRule="auto"/>
        <w:tabs>
          <w:tab w:leader="none" w:pos="85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second sentence of Article 12(a)ii, Article 12(e) or to the Memorandum or these Articles (other than any action in connection with any adjustment or other matter required under Article 11(e) or Article 12(e)) that would increase or decrease the aggregate number of authorised Class A Ordinary Shares or increase or decrease the par value of the Class A Ordinary Shares, or alter or change the powers, preferences, or special rights of the Class A Ordinary Shares shall require the approval of the holders of a majority of the issued Class A Ordinary Shares; and</w:t>
      </w:r>
    </w:p>
    <w:p>
      <w:pPr>
        <w:spacing w:after="0" w:line="93" w:lineRule="exact"/>
        <w:rPr>
          <w:rFonts w:ascii="Arial" w:cs="Arial" w:eastAsia="Arial" w:hAnsi="Arial"/>
          <w:sz w:val="18"/>
          <w:szCs w:val="18"/>
          <w:color w:val="auto"/>
        </w:rPr>
      </w:pPr>
    </w:p>
    <w:p>
      <w:pPr>
        <w:ind w:left="856" w:right="80" w:hanging="424"/>
        <w:spacing w:after="0" w:line="257" w:lineRule="auto"/>
        <w:tabs>
          <w:tab w:leader="none" w:pos="85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second sentence of Article 11(a) or to the Memorandum or these Articles (other than any action in connection with any adjustment or other matter required under Article 11(e) or Article 12(e)) that would increase or decrease the aggregate number of authorised Class B Ordinary Shares or increase or decrease the par value of the Class B Ordinary Shares, or alter or change the powers, preferences, or special rights of the Class B Ordinary Shares (including as set out in Article 7 and Article 12) shall require the approval of the holders of a majority of the issued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85725</wp:posOffset>
            </wp:positionV>
            <wp:extent cx="848995" cy="9861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16"/>
          </w:cols>
          <w:pgMar w:left="444" w:top="274" w:right="439" w:bottom="1440" w:gutter="0" w:footer="0" w:header="0"/>
        </w:sectPr>
      </w:pPr>
    </w:p>
    <w:bookmarkStart w:id="210" w:name="page211"/>
    <w:bookmarkEnd w:id="210"/>
    <w:p>
      <w:pPr>
        <w:ind w:left="424" w:right="20" w:hanging="424"/>
        <w:spacing w:after="0" w:line="264" w:lineRule="auto"/>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these Articles relating to general meetings shall apply to every such general meeting of the holders of one class of shares except that the necessary quorum shall be one person holding or representing by proxy at least one-third of the issued shares of the class and that any holder of shares of the class present in person or by proxy may demand a poll.</w:t>
      </w:r>
    </w:p>
    <w:p>
      <w:pPr>
        <w:spacing w:after="0" w:line="86" w:lineRule="exact"/>
        <w:rPr>
          <w:rFonts w:ascii="Arial" w:cs="Arial" w:eastAsia="Arial" w:hAnsi="Arial"/>
          <w:sz w:val="18"/>
          <w:szCs w:val="18"/>
          <w:color w:val="auto"/>
        </w:rPr>
      </w:pPr>
    </w:p>
    <w:p>
      <w:pPr>
        <w:ind w:left="424" w:hanging="424"/>
        <w:spacing w:after="0" w:line="286" w:lineRule="auto"/>
        <w:tabs>
          <w:tab w:leader="none" w:pos="4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Subject to Article 29, the rights conferred upon the holders of the shares of any class issued with preferred or other rights shall not, unless otherwise expressly provided by the terms of issue of the shares of that class, be deemed to be varied or abrogated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therewith or the redemption or purchase of shares of any class by the Company.</w:t>
      </w:r>
    </w:p>
    <w:p>
      <w:pPr>
        <w:spacing w:after="0" w:line="378" w:lineRule="exact"/>
        <w:rPr>
          <w:sz w:val="20"/>
          <w:szCs w:val="20"/>
          <w:color w:val="auto"/>
        </w:rPr>
      </w:pPr>
    </w:p>
    <w:p>
      <w:pPr>
        <w:ind w:left="3524"/>
        <w:spacing w:after="0"/>
        <w:rPr>
          <w:sz w:val="20"/>
          <w:szCs w:val="20"/>
          <w:color w:val="auto"/>
        </w:rPr>
      </w:pPr>
      <w:r>
        <w:rPr>
          <w:rFonts w:ascii="Arial" w:cs="Arial" w:eastAsia="Arial" w:hAnsi="Arial"/>
          <w:sz w:val="18"/>
          <w:szCs w:val="18"/>
          <w:b w:val="1"/>
          <w:bCs w:val="1"/>
          <w:color w:val="auto"/>
        </w:rPr>
        <w:t>COMMISSION ON SALE OF SHARES</w:t>
      </w:r>
    </w:p>
    <w:p>
      <w:pPr>
        <w:spacing w:after="0" w:line="256" w:lineRule="exact"/>
        <w:rPr>
          <w:sz w:val="20"/>
          <w:szCs w:val="20"/>
          <w:color w:val="auto"/>
        </w:rPr>
      </w:pPr>
    </w:p>
    <w:p>
      <w:pPr>
        <w:ind w:left="424" w:right="40" w:hanging="424"/>
        <w:spacing w:after="0" w:line="259" w:lineRule="auto"/>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may in so far as may be permitted by law, pay a commission to any person in consideration of his subscribing or agreeing to subscribe whether absolutely or conditionally for any shares of the Company. Such commissions may be satisfied by the payment of cash or the lodgement of fully or partly paid-up shares or partly in one way and partly in the other. The Company may also on any issue of shares pay such brokerage as may be lawful.</w:t>
      </w:r>
    </w:p>
    <w:p>
      <w:pPr>
        <w:spacing w:after="0" w:line="399" w:lineRule="exact"/>
        <w:rPr>
          <w:sz w:val="20"/>
          <w:szCs w:val="20"/>
          <w:color w:val="auto"/>
        </w:rPr>
      </w:pPr>
    </w:p>
    <w:p>
      <w:pPr>
        <w:jc w:val="center"/>
        <w:ind w:right="396"/>
        <w:spacing w:after="0"/>
        <w:rPr>
          <w:sz w:val="20"/>
          <w:szCs w:val="20"/>
          <w:color w:val="auto"/>
        </w:rPr>
      </w:pPr>
      <w:r>
        <w:rPr>
          <w:rFonts w:ascii="Arial" w:cs="Arial" w:eastAsia="Arial" w:hAnsi="Arial"/>
          <w:sz w:val="18"/>
          <w:szCs w:val="18"/>
          <w:b w:val="1"/>
          <w:bCs w:val="1"/>
          <w:color w:val="auto"/>
        </w:rPr>
        <w:t>FRACTIONAL SHARES</w:t>
      </w:r>
    </w:p>
    <w:p>
      <w:pPr>
        <w:spacing w:after="0" w:line="256" w:lineRule="exact"/>
        <w:rPr>
          <w:sz w:val="20"/>
          <w:szCs w:val="20"/>
          <w:color w:val="auto"/>
        </w:rPr>
      </w:pPr>
    </w:p>
    <w:p>
      <w:pPr>
        <w:ind w:left="424" w:right="20" w:hanging="424"/>
        <w:spacing w:after="0" w:line="259" w:lineRule="auto"/>
        <w:tabs>
          <w:tab w:leader="none" w:pos="4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Directors may issue fractions of a share of any class of shares, and, if so issued, a fraction of a share (calculated to three decimal points) shall be subject to and carry the corresponding fraction of liabilities (whether with respect to any unpaid amount thereon, contribution, calls or otherwise), limitations, preferences, privileges, qualifications, restrictions, rights (including, without limitation, voting and participation rights) and other attributes of a whole share of the same class of shares.</w:t>
      </w:r>
    </w:p>
    <w:p>
      <w:pPr>
        <w:spacing w:after="0" w:line="399" w:lineRule="exact"/>
        <w:rPr>
          <w:sz w:val="20"/>
          <w:szCs w:val="20"/>
          <w:color w:val="auto"/>
        </w:rPr>
      </w:pPr>
    </w:p>
    <w:p>
      <w:pPr>
        <w:jc w:val="center"/>
        <w:ind w:right="396"/>
        <w:spacing w:after="0"/>
        <w:rPr>
          <w:sz w:val="20"/>
          <w:szCs w:val="20"/>
          <w:color w:val="auto"/>
        </w:rPr>
      </w:pPr>
      <w:r>
        <w:rPr>
          <w:rFonts w:ascii="Arial" w:cs="Arial" w:eastAsia="Arial" w:hAnsi="Arial"/>
          <w:sz w:val="18"/>
          <w:szCs w:val="18"/>
          <w:b w:val="1"/>
          <w:bCs w:val="1"/>
          <w:color w:val="auto"/>
        </w:rPr>
        <w:t>LIEN</w:t>
      </w:r>
    </w:p>
    <w:p>
      <w:pPr>
        <w:spacing w:after="0" w:line="256" w:lineRule="exact"/>
        <w:rPr>
          <w:sz w:val="20"/>
          <w:szCs w:val="20"/>
          <w:color w:val="auto"/>
        </w:rPr>
      </w:pPr>
    </w:p>
    <w:p>
      <w:pPr>
        <w:ind w:left="424" w:hanging="424"/>
        <w:spacing w:after="0" w:line="255" w:lineRule="auto"/>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shall have a first priority lien and charge on every partly paid share for all moneys (whether presently payable or not) called or payable at a fixed time in respect of that share, and the Company shall also have a first priority lien and charge on all partly paid shares standing registered in the name of a Member (whether held solely or jointly with another person) for all moneys presently payable by him or his estate to the Company, but the Directors may at any time declare any share to be wholly or in part exempt from the provisions of this Article. The Company’s lien, if any, on a share shall extend to all distributions payable thereon. The Board of Directors may at any time, generally or in any particular case, waive any lien that has arisen or declare any share exempt in whole or in part, from the provisions of this Article.</w:t>
      </w:r>
    </w:p>
    <w:p>
      <w:pPr>
        <w:spacing w:after="0" w:line="94" w:lineRule="exact"/>
        <w:rPr>
          <w:rFonts w:ascii="Arial" w:cs="Arial" w:eastAsia="Arial" w:hAnsi="Arial"/>
          <w:sz w:val="18"/>
          <w:szCs w:val="18"/>
          <w:color w:val="auto"/>
        </w:rPr>
      </w:pPr>
    </w:p>
    <w:p>
      <w:pPr>
        <w:ind w:left="424" w:right="180" w:hanging="424"/>
        <w:spacing w:after="0" w:line="257" w:lineRule="auto"/>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may sell, in such manner as the Directors in their absolute discretion think fit, any shares on which the Company has a lien, but no sale shall be made unless an amount in respect of which the lien exists is presently payable nor until the expiration of 14 clear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93" w:lineRule="exact"/>
        <w:rPr>
          <w:rFonts w:ascii="Arial" w:cs="Arial" w:eastAsia="Arial" w:hAnsi="Arial"/>
          <w:sz w:val="18"/>
          <w:szCs w:val="18"/>
          <w:color w:val="auto"/>
        </w:rPr>
      </w:pPr>
    </w:p>
    <w:p>
      <w:pPr>
        <w:ind w:left="424" w:hanging="424"/>
        <w:spacing w:after="0" w:line="312" w:lineRule="auto"/>
        <w:tabs>
          <w:tab w:leader="none" w:pos="42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59690</wp:posOffset>
            </wp:positionV>
            <wp:extent cx="848995" cy="9861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3"/>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211" w:name="page212"/>
    <w:bookmarkEnd w:id="211"/>
    <w:p>
      <w:pPr>
        <w:ind w:left="436" w:right="20" w:hanging="436"/>
        <w:spacing w:after="0" w:line="312" w:lineRule="auto"/>
        <w:tabs>
          <w:tab w:leader="none" w:pos="436"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35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CALLS ON SHARES</w:t>
      </w:r>
    </w:p>
    <w:p>
      <w:pPr>
        <w:spacing w:after="0" w:line="256" w:lineRule="exact"/>
        <w:rPr>
          <w:sz w:val="20"/>
          <w:szCs w:val="20"/>
          <w:color w:val="auto"/>
        </w:rPr>
      </w:pPr>
    </w:p>
    <w:p>
      <w:pPr>
        <w:ind w:left="436" w:right="20" w:hanging="436"/>
        <w:spacing w:after="0" w:line="276" w:lineRule="auto"/>
        <w:tabs>
          <w:tab w:leader="none" w:pos="43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Subject to these Articles and to the terms of allotment, the Directors may from time to time make calls upon the Members in respect of any moneys unpaid on their shares (whether on account of the nominal value for the shares or by way of premium), and each Member shall (subject to receiving at least 14 clear days’ notice specifying the time or times of payment) pay to the Company at the time or times so specified the amount called on such shares. A call may be extended, postponed or revoked in whole or in part as the Board of Directors determines but no Member shall be entitled to any such extension, postponement or revocation except as a matter of grace and favour.</w:t>
      </w:r>
    </w:p>
    <w:p>
      <w:pPr>
        <w:spacing w:after="0" w:line="77" w:lineRule="exact"/>
        <w:rPr>
          <w:rFonts w:ascii="Arial" w:cs="Arial" w:eastAsia="Arial" w:hAnsi="Arial"/>
          <w:sz w:val="17"/>
          <w:szCs w:val="17"/>
          <w:color w:val="auto"/>
        </w:rPr>
      </w:pPr>
    </w:p>
    <w:p>
      <w:pPr>
        <w:ind w:left="436" w:right="40" w:hanging="436"/>
        <w:spacing w:after="0" w:line="308" w:lineRule="auto"/>
        <w:tabs>
          <w:tab w:leader="none" w:pos="43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 person upon whom a call is made shall remain liable for calls made upon him notwithstanding the subsequent transfer of the shares in respect of which the call was made. The joint holders of a share shall be jointly and severally liable to pay calls in respect thereof.</w:t>
      </w:r>
    </w:p>
    <w:p>
      <w:pPr>
        <w:spacing w:after="0" w:line="51" w:lineRule="exact"/>
        <w:rPr>
          <w:rFonts w:ascii="Arial" w:cs="Arial" w:eastAsia="Arial" w:hAnsi="Arial"/>
          <w:sz w:val="17"/>
          <w:szCs w:val="17"/>
          <w:color w:val="auto"/>
        </w:rPr>
      </w:pPr>
    </w:p>
    <w:p>
      <w:pPr>
        <w:jc w:val="both"/>
        <w:ind w:left="436" w:right="20" w:hanging="436"/>
        <w:spacing w:after="0" w:line="264" w:lineRule="auto"/>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on or before the day appointed for payment thereof, the person from whom the sum is due shall pay interest upon the sum at the rate of eight per cent. per annum from the day appointed for the payment thereof to the time of the actual payment, but the Directors shall be at liberty to waive payment of that interest wholly or in part.</w:t>
      </w:r>
    </w:p>
    <w:p>
      <w:pPr>
        <w:spacing w:after="0" w:line="86" w:lineRule="exact"/>
        <w:rPr>
          <w:rFonts w:ascii="Arial" w:cs="Arial" w:eastAsia="Arial" w:hAnsi="Arial"/>
          <w:sz w:val="18"/>
          <w:szCs w:val="18"/>
          <w:color w:val="auto"/>
        </w:rPr>
      </w:pPr>
    </w:p>
    <w:p>
      <w:pPr>
        <w:jc w:val="both"/>
        <w:ind w:left="436" w:right="40" w:hanging="436"/>
        <w:spacing w:after="0" w:line="264" w:lineRule="auto"/>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86" w:lineRule="exact"/>
        <w:rPr>
          <w:rFonts w:ascii="Arial" w:cs="Arial" w:eastAsia="Arial" w:hAnsi="Arial"/>
          <w:sz w:val="18"/>
          <w:szCs w:val="18"/>
          <w:color w:val="auto"/>
        </w:rPr>
      </w:pPr>
    </w:p>
    <w:p>
      <w:pPr>
        <w:ind w:left="436" w:right="360" w:hanging="436"/>
        <w:spacing w:after="0" w:line="277" w:lineRule="auto"/>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Directors may make arrangements on the issue of partly paid shares for a difference between the Members, or the particular shares, in the amount of calls to be paid and in the times of payment.</w:t>
      </w:r>
    </w:p>
    <w:p>
      <w:pPr>
        <w:spacing w:after="0" w:line="75" w:lineRule="exact"/>
        <w:rPr>
          <w:rFonts w:ascii="Arial" w:cs="Arial" w:eastAsia="Arial" w:hAnsi="Arial"/>
          <w:sz w:val="18"/>
          <w:szCs w:val="18"/>
          <w:color w:val="auto"/>
        </w:rPr>
      </w:pPr>
    </w:p>
    <w:p>
      <w:pPr>
        <w:ind w:left="436" w:right="60" w:hanging="436"/>
        <w:spacing w:after="0" w:line="254" w:lineRule="auto"/>
        <w:tabs>
          <w:tab w:leader="none" w:pos="43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Member willing to advance the same either in money or money’s worth all or any part of the moneys uncalled and unpaid or instalments payable upon any shares held by him, and upon all or any of the moneys so advanced may (until the same would, but for such advance, become presently payable) pay interest at such rate (not exceeding without the sanction of an Ordinary Resolution, eight per cent. per annum) as may be agreed upon between the Member paying the sum in advance and the Directors. The Board of Directors may at any time repay the amount so advanced upon giving to such Member not less than one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200" w:lineRule="exact"/>
        <w:rPr>
          <w:sz w:val="20"/>
          <w:szCs w:val="20"/>
          <w:color w:val="auto"/>
        </w:rPr>
      </w:pPr>
    </w:p>
    <w:p>
      <w:pPr>
        <w:spacing w:after="0" w:line="204"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FORFEITURE OF SHARES</w:t>
      </w:r>
    </w:p>
    <w:p>
      <w:pPr>
        <w:spacing w:after="0" w:line="256" w:lineRule="exact"/>
        <w:rPr>
          <w:sz w:val="20"/>
          <w:szCs w:val="20"/>
          <w:color w:val="auto"/>
        </w:rPr>
      </w:pPr>
    </w:p>
    <w:p>
      <w:pPr>
        <w:ind w:left="436" w:hanging="436"/>
        <w:spacing w:after="0" w:line="264" w:lineRule="auto"/>
        <w:tabs>
          <w:tab w:leader="none" w:pos="43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81280</wp:posOffset>
            </wp:positionV>
            <wp:extent cx="848995" cy="9861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16"/>
          </w:cols>
          <w:pgMar w:left="444" w:top="274" w:right="439" w:bottom="1440" w:gutter="0" w:footer="0" w:header="0"/>
        </w:sectPr>
      </w:pPr>
    </w:p>
    <w:bookmarkStart w:id="212" w:name="page213"/>
    <w:bookmarkEnd w:id="212"/>
    <w:p>
      <w:pPr>
        <w:ind w:left="440" w:right="80" w:hanging="436"/>
        <w:spacing w:after="0" w:line="259" w:lineRule="auto"/>
        <w:tabs>
          <w:tab w:leader="none" w:pos="4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shall name a further day (not earlier than the expiration of 14 clear days from the date of the notice) on or before which the payment required by the notice is to be made, and shall state that in the event of non-payment at or before the time appointed the shares in respect of which the call was made will be liable to be forfeited. Such forfeiture will include all dividends and bonuses declared in respect of the forfeited shares and not actually paid before the date of forfeiture.</w:t>
      </w:r>
    </w:p>
    <w:p>
      <w:pPr>
        <w:spacing w:after="0" w:line="92"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51" w:lineRule="exact"/>
        <w:rPr>
          <w:rFonts w:ascii="Arial" w:cs="Arial" w:eastAsia="Arial" w:hAnsi="Arial"/>
          <w:sz w:val="17"/>
          <w:szCs w:val="17"/>
          <w:color w:val="auto"/>
        </w:rPr>
      </w:pPr>
    </w:p>
    <w:p>
      <w:pPr>
        <w:ind w:left="440" w:hanging="436"/>
        <w:spacing w:after="0" w:line="277" w:lineRule="auto"/>
        <w:tabs>
          <w:tab w:leader="none" w:pos="4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75" w:lineRule="exact"/>
        <w:rPr>
          <w:rFonts w:ascii="Arial" w:cs="Arial" w:eastAsia="Arial" w:hAnsi="Arial"/>
          <w:sz w:val="18"/>
          <w:szCs w:val="18"/>
          <w:color w:val="auto"/>
        </w:rPr>
      </w:pPr>
    </w:p>
    <w:p>
      <w:pPr>
        <w:ind w:left="440" w:right="140" w:hanging="436"/>
        <w:spacing w:after="0" w:line="312" w:lineRule="auto"/>
        <w:tabs>
          <w:tab w:leader="none" w:pos="4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person whose shares have been forfeited shall cease to be a Member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52" w:lineRule="exact"/>
        <w:rPr>
          <w:rFonts w:ascii="Arial" w:cs="Arial" w:eastAsia="Arial" w:hAnsi="Arial"/>
          <w:sz w:val="16"/>
          <w:szCs w:val="16"/>
          <w:color w:val="auto"/>
        </w:rPr>
      </w:pPr>
    </w:p>
    <w:p>
      <w:pPr>
        <w:ind w:left="440" w:right="180" w:hanging="436"/>
        <w:spacing w:after="0" w:line="277" w:lineRule="auto"/>
        <w:tabs>
          <w:tab w:leader="none" w:pos="4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statutory declaration in writing that the declarant is a Director, and that a share has been duly forfeited on a date stated in the declaration, shall be conclusive evidence of the facts in the declaration as against all persons claiming to be entitled to the share.</w:t>
      </w:r>
    </w:p>
    <w:p>
      <w:pPr>
        <w:spacing w:after="0" w:line="75" w:lineRule="exact"/>
        <w:rPr>
          <w:rFonts w:ascii="Arial" w:cs="Arial" w:eastAsia="Arial" w:hAnsi="Arial"/>
          <w:sz w:val="18"/>
          <w:szCs w:val="18"/>
          <w:color w:val="auto"/>
        </w:rPr>
      </w:pPr>
    </w:p>
    <w:p>
      <w:pPr>
        <w:ind w:left="440" w:hanging="436"/>
        <w:spacing w:after="0" w:line="279" w:lineRule="auto"/>
        <w:tabs>
          <w:tab w:leader="none" w:pos="4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76" w:lineRule="exact"/>
        <w:rPr>
          <w:rFonts w:ascii="Arial" w:cs="Arial" w:eastAsia="Arial" w:hAnsi="Arial"/>
          <w:sz w:val="17"/>
          <w:szCs w:val="17"/>
          <w:color w:val="auto"/>
        </w:rPr>
      </w:pPr>
    </w:p>
    <w:p>
      <w:pPr>
        <w:ind w:left="440" w:right="80" w:hanging="436"/>
        <w:spacing w:after="0" w:line="264" w:lineRule="auto"/>
        <w:tabs>
          <w:tab w:leader="none" w:pos="4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EMPOWERING INSTRUMENTS</w:t>
      </w:r>
    </w:p>
    <w:p>
      <w:pPr>
        <w:spacing w:after="0" w:line="256" w:lineRule="exact"/>
        <w:rPr>
          <w:sz w:val="20"/>
          <w:szCs w:val="20"/>
          <w:color w:val="auto"/>
        </w:rPr>
      </w:pPr>
    </w:p>
    <w:p>
      <w:pPr>
        <w:ind w:left="440" w:right="220" w:hanging="436"/>
        <w:spacing w:after="0" w:line="277" w:lineRule="auto"/>
        <w:tabs>
          <w:tab w:leader="none" w:pos="4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56" w:lineRule="exact"/>
        <w:rPr>
          <w:sz w:val="20"/>
          <w:szCs w:val="20"/>
          <w:color w:val="auto"/>
        </w:rPr>
      </w:pPr>
    </w:p>
    <w:p>
      <w:pPr>
        <w:ind w:left="440" w:hanging="436"/>
        <w:spacing w:after="0" w:line="286" w:lineRule="auto"/>
        <w:tabs>
          <w:tab w:leader="none" w:pos="4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70" w:lineRule="exact"/>
        <w:rPr>
          <w:rFonts w:ascii="Arial" w:cs="Arial" w:eastAsia="Arial" w:hAnsi="Arial"/>
          <w:sz w:val="17"/>
          <w:szCs w:val="17"/>
          <w:color w:val="auto"/>
        </w:rPr>
      </w:pPr>
    </w:p>
    <w:p>
      <w:pPr>
        <w:ind w:left="440" w:right="40" w:hanging="436"/>
        <w:spacing w:after="0" w:line="257" w:lineRule="auto"/>
        <w:tabs>
          <w:tab w:leader="none" w:pos="4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Member shall upon such evidence being produced as may from time to time be required by the Directors, have the right either to be registered as a Member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85725</wp:posOffset>
            </wp:positionV>
            <wp:extent cx="848995" cy="9861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13" w:name="page214"/>
    <w:bookmarkEnd w:id="213"/>
    <w:p>
      <w:pPr>
        <w:ind w:left="440" w:right="500" w:hanging="436"/>
        <w:spacing w:after="0" w:line="259" w:lineRule="auto"/>
        <w:tabs>
          <w:tab w:leader="none" w:pos="4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person becoming entitled to a share by reason of the death or bankruptcy of the holder shall be entitled to the same dividends and other advantages to which he would be entitled if he were the registered holder of such share, except that he shall not, before being registered as a Member in respect of the share, be entitled in respect of it to exercise any right conferred by membership in relation to meetings of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56" w:lineRule="exact"/>
        <w:rPr>
          <w:sz w:val="20"/>
          <w:szCs w:val="20"/>
          <w:color w:val="auto"/>
        </w:rPr>
      </w:pPr>
    </w:p>
    <w:p>
      <w:pPr>
        <w:ind w:left="440" w:hanging="436"/>
        <w:spacing w:after="0"/>
        <w:tabs>
          <w:tab w:leader="none" w:pos="4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Article 29, the Company may from time to time by Ordinary Resolution: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increase its share capital by such sum, to be divided into shares of such classes and amount, as the resolution shall prescribe;</w:t>
      </w:r>
    </w:p>
    <w:p>
      <w:pPr>
        <w:spacing w:after="0" w:line="130" w:lineRule="exact"/>
        <w:rPr>
          <w:rFonts w:ascii="Arial" w:cs="Arial" w:eastAsia="Arial" w:hAnsi="Arial"/>
          <w:sz w:val="18"/>
          <w:szCs w:val="18"/>
          <w:color w:val="auto"/>
        </w:rPr>
      </w:pPr>
    </w:p>
    <w:p>
      <w:pPr>
        <w:ind w:left="860" w:right="60" w:hanging="424"/>
        <w:spacing w:after="0" w:line="277" w:lineRule="auto"/>
        <w:tabs>
          <w:tab w:leader="none" w:pos="8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subject to Article 11(e) and Article 12(e), consolidate and divide all or any of its share capital into shares of a larger amount than its existing shares;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convert all or any of its paid up shares into shares and reconvert that shares into paid up shares of any denomination;</w:t>
      </w:r>
    </w:p>
    <w:p>
      <w:pPr>
        <w:spacing w:after="0" w:line="130" w:lineRule="exact"/>
        <w:rPr>
          <w:rFonts w:ascii="Arial" w:cs="Arial" w:eastAsia="Arial" w:hAnsi="Arial"/>
          <w:sz w:val="18"/>
          <w:szCs w:val="18"/>
          <w:color w:val="auto"/>
        </w:rPr>
      </w:pPr>
    </w:p>
    <w:p>
      <w:pPr>
        <w:ind w:left="860" w:right="80" w:hanging="424"/>
        <w:spacing w:after="0" w:line="297" w:lineRule="auto"/>
        <w:tabs>
          <w:tab w:leader="none" w:pos="86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subject to Article 11(e) and Article 12(e), 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 or</w:t>
      </w:r>
    </w:p>
    <w:p>
      <w:pPr>
        <w:spacing w:after="0" w:line="63" w:lineRule="exact"/>
        <w:rPr>
          <w:rFonts w:ascii="Arial" w:cs="Arial" w:eastAsia="Arial" w:hAnsi="Arial"/>
          <w:sz w:val="16"/>
          <w:szCs w:val="16"/>
          <w:color w:val="auto"/>
        </w:rPr>
      </w:pPr>
    </w:p>
    <w:p>
      <w:pPr>
        <w:ind w:left="860" w:right="200" w:hanging="424"/>
        <w:spacing w:after="0" w:line="277" w:lineRule="auto"/>
        <w:tabs>
          <w:tab w:leader="none" w:pos="8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share capital by the amount of the shares so cancelled.</w:t>
      </w:r>
    </w:p>
    <w:p>
      <w:pPr>
        <w:spacing w:after="0" w:line="62" w:lineRule="exact"/>
        <w:rPr>
          <w:sz w:val="20"/>
          <w:szCs w:val="20"/>
          <w:color w:val="auto"/>
        </w:rPr>
      </w:pPr>
    </w:p>
    <w:p>
      <w:pPr>
        <w:ind w:left="440"/>
        <w:spacing w:after="0" w:line="297" w:lineRule="auto"/>
        <w:rPr>
          <w:sz w:val="20"/>
          <w:szCs w:val="20"/>
          <w:color w:val="auto"/>
        </w:rPr>
      </w:pPr>
      <w:r>
        <w:rPr>
          <w:rFonts w:ascii="Arial" w:cs="Arial" w:eastAsia="Arial" w:hAnsi="Arial"/>
          <w:sz w:val="16"/>
          <w:szCs w:val="16"/>
          <w:color w:val="auto"/>
        </w:rPr>
        <w:t>PROVIDED THAT to the extent that the Participation Agreement is in effect, any action by the Company (other than any action, adjustment or other matter required under Article 11(e) or Article 12(e)) that would have the effect of increasing or decreasing the aggregate number of Class B Ordinary Shares in the Company’s authorised share capital or any subdivision, consolidation or other action by the Company that would have the effect of increasing or decreasing the nominal or par value of the Class B Ordinary Shares (including any amendment to the Memorandum or these Articles to reflect any such action) shall require the approval of the holders of a majority of the issued Class B Ordinary Shares.</w:t>
      </w:r>
    </w:p>
    <w:p>
      <w:pPr>
        <w:spacing w:after="0" w:line="64" w:lineRule="exact"/>
        <w:rPr>
          <w:sz w:val="20"/>
          <w:szCs w:val="20"/>
          <w:color w:val="auto"/>
        </w:rPr>
      </w:pPr>
    </w:p>
    <w:p>
      <w:pPr>
        <w:ind w:left="440" w:right="160" w:hanging="436"/>
        <w:spacing w:after="0" w:line="277" w:lineRule="auto"/>
        <w:tabs>
          <w:tab w:leader="none" w:pos="4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Subject to the terms of the Participation Agreement, the Company may by Special Resolution reduce its share capital and any capital redemption reserve in any manner authorised by law.</w:t>
      </w:r>
    </w:p>
    <w:p>
      <w:pPr>
        <w:spacing w:after="0" w:line="75" w:lineRule="exact"/>
        <w:rPr>
          <w:rFonts w:ascii="Arial" w:cs="Arial" w:eastAsia="Arial" w:hAnsi="Arial"/>
          <w:sz w:val="18"/>
          <w:szCs w:val="18"/>
          <w:color w:val="auto"/>
        </w:rPr>
      </w:pPr>
    </w:p>
    <w:p>
      <w:pPr>
        <w:ind w:left="440" w:right="500" w:hanging="436"/>
        <w:spacing w:after="0" w:line="277" w:lineRule="auto"/>
        <w:tabs>
          <w:tab w:leader="none" w:pos="4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new shares created hereunder shall be subject to the same provisions with reference to the payment of calls, liens, transfer, transmission, forfeiture and otherwise.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TREASURY SHARES</w:t>
      </w:r>
    </w:p>
    <w:p>
      <w:pPr>
        <w:spacing w:after="0" w:line="256" w:lineRule="exact"/>
        <w:rPr>
          <w:sz w:val="20"/>
          <w:szCs w:val="20"/>
          <w:color w:val="auto"/>
        </w:rPr>
      </w:pPr>
    </w:p>
    <w:p>
      <w:pPr>
        <w:ind w:left="440" w:right="60" w:hanging="436"/>
        <w:spacing w:after="0" w:line="264" w:lineRule="auto"/>
        <w:tabs>
          <w:tab w:leader="none" w:pos="4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Shares that the Company purchases, redeems or acquires (by way of surrender or otherwise) may, at the option of the Company, be cancelled immediately or held as Treasury Shares in accordance with the Law. In the event that the Directors do not specify that the relevant shares are to be held as Treasury Shares, such shares shall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81280</wp:posOffset>
            </wp:positionV>
            <wp:extent cx="848995" cy="9861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14" w:name="page215"/>
    <w:bookmarkEnd w:id="214"/>
    <w:p>
      <w:pPr>
        <w:ind w:left="436" w:right="60" w:hanging="436"/>
        <w:spacing w:after="0" w:line="277" w:lineRule="auto"/>
        <w:tabs>
          <w:tab w:leader="none" w:pos="4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dividend may be declared or paid, and no other distribution (whether in cash or otherwise) of the Company’s assets (including any distribution of assets to members on a winding up) may be declared or paid in respect of a Treasury Share.</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FIXING RECORD DATE</w:t>
      </w:r>
    </w:p>
    <w:p>
      <w:pPr>
        <w:spacing w:after="0" w:line="256" w:lineRule="exact"/>
        <w:rPr>
          <w:sz w:val="20"/>
          <w:szCs w:val="20"/>
          <w:color w:val="auto"/>
        </w:rPr>
      </w:pPr>
    </w:p>
    <w:p>
      <w:pPr>
        <w:ind w:left="436" w:right="40" w:hanging="436"/>
        <w:spacing w:after="0" w:line="259" w:lineRule="auto"/>
        <w:tabs>
          <w:tab w:leader="none" w:pos="4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Directors may fix in advance a date as the record date for any such determination of those Members that are entitled to receive notice of, attend or vote at a meeting of the Members and for the purpose of determining those Members that are entitled to receive payment of any dividend the Directors may, at or within 90 days prior to the date of declaration of such dividend fix a subsequent date as the record date for such determination.</w:t>
      </w:r>
    </w:p>
    <w:p>
      <w:pPr>
        <w:spacing w:after="0" w:line="92" w:lineRule="exact"/>
        <w:rPr>
          <w:rFonts w:ascii="Arial" w:cs="Arial" w:eastAsia="Arial" w:hAnsi="Arial"/>
          <w:sz w:val="18"/>
          <w:szCs w:val="18"/>
          <w:color w:val="auto"/>
        </w:rPr>
      </w:pPr>
    </w:p>
    <w:p>
      <w:pPr>
        <w:ind w:left="436" w:right="180" w:hanging="436"/>
        <w:spacing w:after="0" w:line="257" w:lineRule="auto"/>
        <w:tabs>
          <w:tab w:leader="none" w:pos="4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no record date is fixed for the determination of those Members entitled to receive notice of, attend or vote at a meeting of Members or those Members that are entitled to receive payment of a dividend, the date on which notice of the meeting is posted or the date on which the resolution of the Directors declaring such dividend is adopted, as the case may be, shall be the record date for such determination of Members. When a determination of those Members that are entitled to receive notice of, attend or vote at a meeting of Members has been made as provided in this Article, such determination shall apply to any adjournment thereof.</w:t>
      </w:r>
    </w:p>
    <w:p>
      <w:pPr>
        <w:spacing w:after="0" w:line="40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GENERAL MEETINGS</w:t>
      </w:r>
    </w:p>
    <w:p>
      <w:pPr>
        <w:spacing w:after="0" w:line="256" w:lineRule="exact"/>
        <w:rPr>
          <w:sz w:val="20"/>
          <w:szCs w:val="20"/>
          <w:color w:val="auto"/>
        </w:rPr>
      </w:pPr>
    </w:p>
    <w:p>
      <w:pPr>
        <w:ind w:left="796" w:right="260" w:hanging="796"/>
        <w:spacing w:after="0" w:line="259" w:lineRule="auto"/>
        <w:tabs>
          <w:tab w:leader="none" w:pos="43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The Company shall in each year hold a general meeting as its annual general meeting and shall specify the meeting as such in the notices calling it. The annual general meeting shall be held at such time and place as may be determined by the Directors or, in the event the Directors have failed to call an annual general meeting on or before 31 December in any calendar year, and only to that extent, pursuant to Article 64.</w:t>
      </w:r>
    </w:p>
    <w:p>
      <w:pPr>
        <w:spacing w:after="0" w:line="92" w:lineRule="exact"/>
        <w:rPr>
          <w:rFonts w:ascii="Arial" w:cs="Arial" w:eastAsia="Arial" w:hAnsi="Arial"/>
          <w:sz w:val="18"/>
          <w:szCs w:val="18"/>
          <w:color w:val="auto"/>
        </w:rPr>
      </w:pPr>
    </w:p>
    <w:p>
      <w:pPr>
        <w:ind w:left="756" w:hanging="297"/>
        <w:spacing w:after="0"/>
        <w:tabs>
          <w:tab w:leader="none" w:pos="756"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At these meetings the report of the Directors (if any) shall be presented.</w:t>
      </w:r>
    </w:p>
    <w:p>
      <w:pPr>
        <w:spacing w:after="0" w:line="130" w:lineRule="exact"/>
        <w:rPr>
          <w:rFonts w:ascii="Arial" w:cs="Arial" w:eastAsia="Arial" w:hAnsi="Arial"/>
          <w:sz w:val="18"/>
          <w:szCs w:val="18"/>
          <w:color w:val="auto"/>
        </w:rPr>
      </w:pPr>
    </w:p>
    <w:p>
      <w:pPr>
        <w:ind w:left="796" w:right="100" w:hanging="796"/>
        <w:spacing w:after="0" w:line="277" w:lineRule="auto"/>
        <w:tabs>
          <w:tab w:leader="none" w:pos="43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The Directors may call general meetings, and they shall on a Members requisition carried out in accordance with Article 63(a) or this Article 64 forthwith proceed to convene a general meeting of the Company.</w:t>
      </w:r>
    </w:p>
    <w:p>
      <w:pPr>
        <w:spacing w:after="0" w:line="75" w:lineRule="exact"/>
        <w:rPr>
          <w:rFonts w:ascii="Arial" w:cs="Arial" w:eastAsia="Arial" w:hAnsi="Arial"/>
          <w:sz w:val="18"/>
          <w:szCs w:val="18"/>
          <w:color w:val="auto"/>
        </w:rPr>
      </w:pPr>
    </w:p>
    <w:p>
      <w:pPr>
        <w:jc w:val="both"/>
        <w:ind w:left="756" w:right="160" w:hanging="297"/>
        <w:spacing w:after="0" w:line="264" w:lineRule="auto"/>
        <w:tabs>
          <w:tab w:leader="none" w:pos="756"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 Members requisition is a requisition of Members of the Company holding at the date of deposit of the requisition not less than 20 per cent of such of the paid-up voting share capital of the Company as at that date of the deposit carries the right of voting at general meetings of the Company.</w:t>
      </w:r>
    </w:p>
    <w:p>
      <w:pPr>
        <w:spacing w:after="0" w:line="86" w:lineRule="exact"/>
        <w:rPr>
          <w:rFonts w:ascii="Arial" w:cs="Arial" w:eastAsia="Arial" w:hAnsi="Arial"/>
          <w:sz w:val="18"/>
          <w:szCs w:val="18"/>
          <w:color w:val="auto"/>
        </w:rPr>
      </w:pPr>
    </w:p>
    <w:p>
      <w:pPr>
        <w:ind w:left="756" w:right="100" w:hanging="342"/>
        <w:spacing w:after="0" w:line="277" w:lineRule="auto"/>
        <w:tabs>
          <w:tab w:leader="none" w:pos="75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requisition must state the objects of the meeting and must be signed by the requisitionists and deposited at the Office, and may consist of several documents in like form each signed by one or more requisitionists.</w:t>
      </w:r>
    </w:p>
    <w:p>
      <w:pPr>
        <w:spacing w:after="0" w:line="75" w:lineRule="exact"/>
        <w:rPr>
          <w:rFonts w:ascii="Arial" w:cs="Arial" w:eastAsia="Arial" w:hAnsi="Arial"/>
          <w:sz w:val="18"/>
          <w:szCs w:val="18"/>
          <w:color w:val="auto"/>
        </w:rPr>
      </w:pPr>
    </w:p>
    <w:p>
      <w:pPr>
        <w:ind w:left="756" w:hanging="342"/>
        <w:spacing w:after="0" w:line="279" w:lineRule="auto"/>
        <w:tabs>
          <w:tab w:leader="none" w:pos="756"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If the Directors do not within twenty one (21) days from the date of the deposit of the requisition duly proceed to convene a general meeting to be held within a further twenty one (21) days, the requisitionists, or any of them representing more than one half of the total voting rights of all of them, may themselves convene a general meeting, but any meeting so convened shall not be held after the expiration of three months after the expiration of the second said twenty one (21) days unless it is an annual general meeting.</w:t>
      </w:r>
    </w:p>
    <w:p>
      <w:pPr>
        <w:spacing w:after="0" w:line="76" w:lineRule="exact"/>
        <w:rPr>
          <w:rFonts w:ascii="Arial" w:cs="Arial" w:eastAsia="Arial" w:hAnsi="Arial"/>
          <w:sz w:val="17"/>
          <w:szCs w:val="17"/>
          <w:color w:val="auto"/>
        </w:rPr>
      </w:pPr>
    </w:p>
    <w:p>
      <w:pPr>
        <w:ind w:left="756" w:right="540" w:hanging="342"/>
        <w:spacing w:after="0" w:line="277" w:lineRule="auto"/>
        <w:tabs>
          <w:tab w:leader="none" w:pos="75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 and where such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74295</wp:posOffset>
            </wp:positionV>
            <wp:extent cx="848995" cy="9861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16"/>
          </w:cols>
          <w:pgMar w:left="444" w:top="274" w:right="439" w:bottom="1440" w:gutter="0" w:footer="0" w:header="0"/>
        </w:sectPr>
      </w:pPr>
    </w:p>
    <w:bookmarkStart w:id="215" w:name="page216"/>
    <w:bookmarkEnd w:id="215"/>
    <w:p>
      <w:pPr>
        <w:ind w:left="1096" w:hanging="326"/>
        <w:spacing w:after="0" w:line="342" w:lineRule="auto"/>
        <w:tabs>
          <w:tab w:leader="none" w:pos="1096" w:val="left"/>
        </w:tabs>
        <w:numPr>
          <w:ilvl w:val="1"/>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in the event of a failure by the Company to hold an annual general meeting as required by Article 63(a), the annual general meeting of the Company under Article 63(a), the Company shall pay the reasonable expenses of the requisitionists in doing so on demand; and</w:t>
      </w:r>
    </w:p>
    <w:p>
      <w:pPr>
        <w:spacing w:after="0" w:line="29" w:lineRule="exact"/>
        <w:rPr>
          <w:rFonts w:ascii="Arial" w:cs="Arial" w:eastAsia="Arial" w:hAnsi="Arial"/>
          <w:sz w:val="16"/>
          <w:szCs w:val="16"/>
          <w:color w:val="auto"/>
        </w:rPr>
      </w:pPr>
    </w:p>
    <w:p>
      <w:pPr>
        <w:ind w:left="1096" w:hanging="326"/>
        <w:spacing w:after="0"/>
        <w:tabs>
          <w:tab w:leader="none" w:pos="109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is any other general meeting of the Company, the requisitionists shall pay their own expenses in doing so.</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00" w:lineRule="exact"/>
        <w:rPr>
          <w:sz w:val="20"/>
          <w:szCs w:val="20"/>
          <w:color w:val="auto"/>
        </w:rPr>
      </w:pPr>
    </w:p>
    <w:p>
      <w:pPr>
        <w:spacing w:after="0" w:line="237"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color w:val="auto"/>
        </w:rPr>
        <w:t>NOTICE OF GENERAL MEETINGS</w:t>
      </w:r>
    </w:p>
    <w:p>
      <w:pPr>
        <w:spacing w:after="0" w:line="256" w:lineRule="exact"/>
        <w:rPr>
          <w:sz w:val="20"/>
          <w:szCs w:val="20"/>
          <w:color w:val="auto"/>
        </w:rPr>
      </w:pPr>
    </w:p>
    <w:p>
      <w:pPr>
        <w:ind w:left="436" w:right="40" w:hanging="436"/>
        <w:spacing w:after="0" w:line="312" w:lineRule="auto"/>
        <w:tabs>
          <w:tab w:leader="none" w:pos="43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At least seven clear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w:t>
      </w:r>
    </w:p>
    <w:p>
      <w:pPr>
        <w:spacing w:after="0" w:line="52" w:lineRule="exact"/>
        <w:rPr>
          <w:rFonts w:ascii="Arial" w:cs="Arial" w:eastAsia="Arial" w:hAnsi="Arial"/>
          <w:sz w:val="16"/>
          <w:szCs w:val="16"/>
          <w:color w:val="auto"/>
        </w:rPr>
      </w:pPr>
    </w:p>
    <w:p>
      <w:pPr>
        <w:ind w:left="436" w:hanging="436"/>
        <w:spacing w:after="0"/>
        <w:tabs>
          <w:tab w:leader="none" w:pos="43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Notice of every general meeting shall be given in any manner authorised by these Articles to:</w:t>
      </w:r>
    </w:p>
    <w:p>
      <w:pPr>
        <w:spacing w:after="0" w:line="130" w:lineRule="exact"/>
        <w:rPr>
          <w:rFonts w:ascii="Arial" w:cs="Arial" w:eastAsia="Arial" w:hAnsi="Arial"/>
          <w:sz w:val="18"/>
          <w:szCs w:val="18"/>
          <w:color w:val="auto"/>
        </w:rPr>
      </w:pPr>
    </w:p>
    <w:p>
      <w:pPr>
        <w:ind w:left="856" w:right="300" w:hanging="424"/>
        <w:spacing w:after="0" w:line="277" w:lineRule="auto"/>
        <w:tabs>
          <w:tab w:leader="none" w:pos="85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every person shown as a Member in the Register as of the record date for such meeting except that in the case of joint holders the notice shall be sufficient as stated in Article 68; and</w:t>
      </w:r>
    </w:p>
    <w:p>
      <w:pPr>
        <w:spacing w:after="0" w:line="75" w:lineRule="exact"/>
        <w:rPr>
          <w:rFonts w:ascii="Arial" w:cs="Arial" w:eastAsia="Arial" w:hAnsi="Arial"/>
          <w:sz w:val="18"/>
          <w:szCs w:val="18"/>
          <w:color w:val="auto"/>
        </w:rPr>
      </w:pPr>
    </w:p>
    <w:p>
      <w:pPr>
        <w:ind w:left="856" w:right="20" w:hanging="424"/>
        <w:spacing w:after="0" w:line="342" w:lineRule="auto"/>
        <w:tabs>
          <w:tab w:leader="none" w:pos="85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every person upon whom the ownership of a share devolves by reason of his being a legal personal representative or a trustee in bankruptcy of a Member of record where the Member of record but for his death or bankruptcy would be entitled to receive notice of the meeting.</w:t>
      </w:r>
    </w:p>
    <w:p>
      <w:pPr>
        <w:spacing w:after="0" w:line="16" w:lineRule="exact"/>
        <w:rPr>
          <w:sz w:val="20"/>
          <w:szCs w:val="20"/>
          <w:color w:val="auto"/>
        </w:rPr>
      </w:pPr>
    </w:p>
    <w:p>
      <w:pPr>
        <w:ind w:left="436"/>
        <w:spacing w:after="0"/>
        <w:rPr>
          <w:sz w:val="20"/>
          <w:szCs w:val="20"/>
          <w:color w:val="auto"/>
        </w:rPr>
      </w:pPr>
      <w:r>
        <w:rPr>
          <w:rFonts w:ascii="Arial" w:cs="Arial" w:eastAsia="Arial" w:hAnsi="Arial"/>
          <w:sz w:val="18"/>
          <w:szCs w:val="18"/>
          <w:color w:val="auto"/>
        </w:rPr>
        <w:t>No other person shall be entitled to receive notices of general meetings.</w:t>
      </w:r>
    </w:p>
    <w:p>
      <w:pPr>
        <w:spacing w:after="0" w:line="131" w:lineRule="exact"/>
        <w:rPr>
          <w:sz w:val="20"/>
          <w:szCs w:val="20"/>
          <w:color w:val="auto"/>
        </w:rPr>
      </w:pPr>
    </w:p>
    <w:p>
      <w:pPr>
        <w:ind w:left="436" w:hanging="436"/>
        <w:spacing w:after="0"/>
        <w:tabs>
          <w:tab w:leader="none" w:pos="4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following applies where shares are jointly owned:</w:t>
      </w:r>
    </w:p>
    <w:p>
      <w:pPr>
        <w:spacing w:after="0" w:line="130" w:lineRule="exact"/>
        <w:rPr>
          <w:rFonts w:ascii="Arial" w:cs="Arial" w:eastAsia="Arial" w:hAnsi="Arial"/>
          <w:sz w:val="18"/>
          <w:szCs w:val="18"/>
          <w:color w:val="auto"/>
        </w:rPr>
      </w:pPr>
    </w:p>
    <w:p>
      <w:pPr>
        <w:ind w:left="856" w:right="440" w:hanging="424"/>
        <w:spacing w:after="0" w:line="277" w:lineRule="auto"/>
        <w:tabs>
          <w:tab w:leader="none" w:pos="8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two or more persons hold shares jointly each of them may be present in person or by proxy at a general meeting and may speak as a member;</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only one of the joint owners is present in person or by proxy he may vote on behalf of all joint owners;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two or more of the joint owners are present in person or by proxy they must vote as one.</w:t>
      </w:r>
    </w:p>
    <w:p>
      <w:pPr>
        <w:spacing w:after="0" w:line="130" w:lineRule="exact"/>
        <w:rPr>
          <w:rFonts w:ascii="Arial" w:cs="Arial" w:eastAsia="Arial" w:hAnsi="Arial"/>
          <w:sz w:val="18"/>
          <w:szCs w:val="18"/>
          <w:color w:val="auto"/>
        </w:rPr>
      </w:pPr>
    </w:p>
    <w:p>
      <w:pPr>
        <w:ind w:left="436" w:right="20" w:hanging="436"/>
        <w:spacing w:after="0" w:line="277" w:lineRule="auto"/>
        <w:tabs>
          <w:tab w:leader="none" w:pos="4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Notwithstanding that a meeting of the Company is called by shorter notice than that referred to in Article 66, it shall be deemed to have been duly called if it is so agreed:</w:t>
      </w:r>
    </w:p>
    <w:p>
      <w:pPr>
        <w:spacing w:after="0" w:line="75" w:lineRule="exact"/>
        <w:rPr>
          <w:rFonts w:ascii="Arial" w:cs="Arial" w:eastAsia="Arial" w:hAnsi="Arial"/>
          <w:sz w:val="18"/>
          <w:szCs w:val="18"/>
          <w:color w:val="auto"/>
        </w:rPr>
      </w:pPr>
    </w:p>
    <w:p>
      <w:pPr>
        <w:ind w:left="856" w:right="120" w:hanging="424"/>
        <w:spacing w:after="0" w:line="277" w:lineRule="auto"/>
        <w:tabs>
          <w:tab w:leader="none" w:pos="8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of the Company entitled to attend and vote thereat or their proxies; and</w:t>
      </w:r>
    </w:p>
    <w:p>
      <w:pPr>
        <w:spacing w:after="0" w:line="75" w:lineRule="exact"/>
        <w:rPr>
          <w:rFonts w:ascii="Arial" w:cs="Arial" w:eastAsia="Arial" w:hAnsi="Arial"/>
          <w:sz w:val="18"/>
          <w:szCs w:val="18"/>
          <w:color w:val="auto"/>
        </w:rPr>
      </w:pPr>
    </w:p>
    <w:p>
      <w:pPr>
        <w:ind w:left="856" w:right="60" w:hanging="424"/>
        <w:spacing w:after="0" w:line="277" w:lineRule="auto"/>
        <w:tabs>
          <w:tab w:leader="none" w:pos="8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a right to attend and vote at the meeting, being a majority together holding not less than 90 per cent. in nominal value of the shares giving that right.</w:t>
      </w:r>
    </w:p>
    <w:p>
      <w:pPr>
        <w:spacing w:after="0" w:line="75" w:lineRule="exact"/>
        <w:rPr>
          <w:rFonts w:ascii="Arial" w:cs="Arial" w:eastAsia="Arial" w:hAnsi="Arial"/>
          <w:sz w:val="18"/>
          <w:szCs w:val="18"/>
          <w:color w:val="auto"/>
        </w:rPr>
      </w:pPr>
    </w:p>
    <w:p>
      <w:pPr>
        <w:ind w:left="436" w:right="580" w:hanging="436"/>
        <w:spacing w:after="0" w:line="277" w:lineRule="auto"/>
        <w:tabs>
          <w:tab w:leader="none" w:pos="4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accidental omission to give any such notice to, or the non-receipt of any such notice by, any person entitled to receive notice shall not invalidate any resolution passed or any proceeding at any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74295</wp:posOffset>
            </wp:positionV>
            <wp:extent cx="848995" cy="9861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56"/>
          </w:cols>
          <w:pgMar w:left="444" w:top="274" w:right="499" w:bottom="1440" w:gutter="0" w:footer="0" w:header="0"/>
        </w:sectPr>
      </w:pPr>
    </w:p>
    <w:bookmarkStart w:id="216" w:name="page217"/>
    <w:bookmarkEnd w:id="216"/>
    <w:p>
      <w:pPr>
        <w:ind w:left="436" w:hanging="436"/>
        <w:spacing w:after="0"/>
        <w:tabs>
          <w:tab w:leader="none" w:pos="4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Member may be represented at a general meeting by a proxy who may speak and vote on behalf of the Member.</w:t>
      </w:r>
    </w:p>
    <w:p>
      <w:pPr>
        <w:spacing w:after="0" w:line="130" w:lineRule="exact"/>
        <w:rPr>
          <w:rFonts w:ascii="Arial" w:cs="Arial" w:eastAsia="Arial" w:hAnsi="Arial"/>
          <w:sz w:val="18"/>
          <w:szCs w:val="18"/>
          <w:color w:val="auto"/>
        </w:rPr>
      </w:pPr>
    </w:p>
    <w:p>
      <w:pPr>
        <w:ind w:left="436" w:hanging="436"/>
        <w:spacing w:after="0" w:line="264" w:lineRule="auto"/>
        <w:tabs>
          <w:tab w:leader="none" w:pos="4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instrument appointing a proxy shall be produced at the place designated for the meeting not less than 48 hours before the time for holding the meeting at which the person named in such instrument proposes to vote. The notice of the meeting may specify an alternative or additional place or time at which the proxy shall be presented.</w:t>
      </w:r>
    </w:p>
    <w:p>
      <w:pPr>
        <w:spacing w:after="0" w:line="86" w:lineRule="exact"/>
        <w:rPr>
          <w:rFonts w:ascii="Arial" w:cs="Arial" w:eastAsia="Arial" w:hAnsi="Arial"/>
          <w:sz w:val="18"/>
          <w:szCs w:val="18"/>
          <w:color w:val="auto"/>
        </w:rPr>
      </w:pPr>
    </w:p>
    <w:p>
      <w:pPr>
        <w:ind w:left="436" w:right="140" w:hanging="436"/>
        <w:spacing w:after="0" w:line="277" w:lineRule="auto"/>
        <w:tabs>
          <w:tab w:leader="none" w:pos="4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instrument appointing a proxy shall be in substantially the following form or such other form as the chairman of the meeting shall accept as properly evidencing the wishes of the Member appointing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74295</wp:posOffset>
            </wp:positionV>
            <wp:extent cx="848995" cy="9861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36"/>
          </w:cols>
          <w:pgMar w:left="444" w:top="274" w:right="519" w:bottom="1440" w:gutter="0" w:footer="0" w:header="0"/>
        </w:sectPr>
      </w:pPr>
    </w:p>
    <w:bookmarkStart w:id="217" w:name="page218"/>
    <w:bookmarkEnd w:id="217"/>
    <w:tbl>
      <w:tblPr>
        <w:tblLayout w:type="fixed"/>
        <w:tblInd w:w="10" w:type="dxa"/>
        <w:tblCellMar>
          <w:top w:w="0" w:type="dxa"/>
          <w:left w:w="0" w:type="dxa"/>
          <w:bottom w:w="0" w:type="dxa"/>
          <w:right w:w="0" w:type="dxa"/>
        </w:tblCellMar>
      </w:tblPr>
      <w:tr>
        <w:trPr>
          <w:trHeight w:val="273"/>
        </w:trPr>
        <w:tc>
          <w:tcPr>
            <w:tcW w:w="8460" w:type="dxa"/>
            <w:vAlign w:val="bottom"/>
            <w:tcBorders>
              <w:top w:val="single" w:sz="8" w:color="auto"/>
              <w:left w:val="single" w:sz="8" w:color="auto"/>
            </w:tcBorders>
            <w:gridSpan w:val="4"/>
          </w:tcPr>
          <w:p>
            <w:pPr>
              <w:ind w:left="3340"/>
              <w:spacing w:after="0"/>
              <w:rPr>
                <w:sz w:val="20"/>
                <w:szCs w:val="20"/>
                <w:color w:val="auto"/>
              </w:rPr>
            </w:pPr>
            <w:r>
              <w:rPr>
                <w:rFonts w:ascii="Arial" w:cs="Arial" w:eastAsia="Arial" w:hAnsi="Arial"/>
                <w:sz w:val="18"/>
                <w:szCs w:val="18"/>
                <w:color w:val="auto"/>
              </w:rPr>
              <w:t>STUDIO CITY INTERNATIONAL HOLDINGS LIMITED</w:t>
            </w:r>
          </w:p>
        </w:tc>
        <w:tc>
          <w:tcPr>
            <w:tcW w:w="1140" w:type="dxa"/>
            <w:vAlign w:val="bottom"/>
            <w:tcBorders>
              <w:top w:val="single" w:sz="8" w:color="auto"/>
            </w:tcBorders>
          </w:tcPr>
          <w:p>
            <w:pPr>
              <w:spacing w:after="0"/>
              <w:rPr>
                <w:sz w:val="23"/>
                <w:szCs w:val="23"/>
                <w:color w:val="auto"/>
              </w:rPr>
            </w:pPr>
          </w:p>
        </w:tc>
        <w:tc>
          <w:tcPr>
            <w:tcW w:w="1440" w:type="dxa"/>
            <w:vAlign w:val="bottom"/>
            <w:tcBorders>
              <w:top w:val="single" w:sz="8" w:color="auto"/>
              <w:right w:val="single" w:sz="8" w:color="auto"/>
            </w:tcBorders>
          </w:tcPr>
          <w:p>
            <w:pPr>
              <w:spacing w:after="0"/>
              <w:rPr>
                <w:sz w:val="23"/>
                <w:szCs w:val="23"/>
                <w:color w:val="auto"/>
              </w:rPr>
            </w:pPr>
          </w:p>
        </w:tc>
      </w:tr>
      <w:tr>
        <w:trPr>
          <w:trHeight w:val="418"/>
        </w:trPr>
        <w:tc>
          <w:tcPr>
            <w:tcW w:w="57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I/We being a Member of the above Company HEREBY APPOINT</w:t>
            </w:r>
          </w:p>
        </w:tc>
        <w:tc>
          <w:tcPr>
            <w:tcW w:w="1100" w:type="dxa"/>
            <w:vAlign w:val="bottom"/>
          </w:tcPr>
          <w:p>
            <w:pPr>
              <w:ind w:left="160"/>
              <w:spacing w:after="0"/>
              <w:rPr>
                <w:sz w:val="20"/>
                <w:szCs w:val="20"/>
                <w:color w:val="auto"/>
              </w:rPr>
            </w:pPr>
            <w:r>
              <w:rPr>
                <w:rFonts w:ascii="Arial" w:cs="Arial" w:eastAsia="Arial" w:hAnsi="Arial"/>
                <w:sz w:val="18"/>
                <w:szCs w:val="18"/>
                <w:color w:val="auto"/>
              </w:rPr>
              <w:t>of</w:t>
            </w:r>
          </w:p>
        </w:tc>
        <w:tc>
          <w:tcPr>
            <w:tcW w:w="1580" w:type="dxa"/>
            <w:vAlign w:val="bottom"/>
          </w:tcPr>
          <w:p>
            <w:pPr>
              <w:ind w:left="200"/>
              <w:spacing w:after="0"/>
              <w:rPr>
                <w:sz w:val="20"/>
                <w:szCs w:val="20"/>
                <w:color w:val="auto"/>
              </w:rPr>
            </w:pPr>
            <w:r>
              <w:rPr>
                <w:rFonts w:ascii="Arial" w:cs="Arial" w:eastAsia="Arial" w:hAnsi="Arial"/>
                <w:sz w:val="18"/>
                <w:szCs w:val="18"/>
                <w:color w:val="auto"/>
              </w:rPr>
              <w:t>or failing him</w:t>
            </w:r>
          </w:p>
        </w:tc>
        <w:tc>
          <w:tcPr>
            <w:tcW w:w="1140" w:type="dxa"/>
            <w:vAlign w:val="bottom"/>
          </w:tcPr>
          <w:p>
            <w:pPr>
              <w:ind w:left="420"/>
              <w:spacing w:after="0"/>
              <w:rPr>
                <w:sz w:val="20"/>
                <w:szCs w:val="20"/>
                <w:color w:val="auto"/>
              </w:rPr>
            </w:pPr>
            <w:r>
              <w:rPr>
                <w:rFonts w:ascii="Arial" w:cs="Arial" w:eastAsia="Arial" w:hAnsi="Arial"/>
                <w:sz w:val="18"/>
                <w:szCs w:val="18"/>
                <w:color w:val="auto"/>
              </w:rPr>
              <w:t>of</w:t>
            </w:r>
          </w:p>
        </w:tc>
        <w:tc>
          <w:tcPr>
            <w:tcW w:w="14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to be</w:t>
            </w:r>
          </w:p>
        </w:tc>
      </w:tr>
      <w:tr>
        <w:trPr>
          <w:trHeight w:val="230"/>
        </w:trPr>
        <w:tc>
          <w:tcPr>
            <w:tcW w:w="57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3"/>
              </w:rPr>
              <w:t>my/our proxy to vote for me/us at the meeting of Members to be held on the</w:t>
            </w:r>
          </w:p>
        </w:tc>
        <w:tc>
          <w:tcPr>
            <w:tcW w:w="1100" w:type="dxa"/>
            <w:vAlign w:val="bottom"/>
          </w:tcPr>
          <w:p>
            <w:pPr>
              <w:ind w:left="460"/>
              <w:spacing w:after="0"/>
              <w:rPr>
                <w:sz w:val="20"/>
                <w:szCs w:val="20"/>
                <w:color w:val="auto"/>
              </w:rPr>
            </w:pPr>
            <w:r>
              <w:rPr>
                <w:rFonts w:ascii="Arial" w:cs="Arial" w:eastAsia="Arial" w:hAnsi="Arial"/>
                <w:sz w:val="18"/>
                <w:szCs w:val="18"/>
                <w:color w:val="auto"/>
              </w:rPr>
              <w:t>day of</w:t>
            </w:r>
          </w:p>
        </w:tc>
        <w:tc>
          <w:tcPr>
            <w:tcW w:w="4160" w:type="dxa"/>
            <w:vAlign w:val="bottom"/>
            <w:tcBorders>
              <w:right w:val="single" w:sz="8" w:color="auto"/>
            </w:tcBorders>
            <w:gridSpan w:val="3"/>
          </w:tcPr>
          <w:p>
            <w:pPr>
              <w:ind w:left="580"/>
              <w:spacing w:after="0"/>
              <w:rPr>
                <w:sz w:val="20"/>
                <w:szCs w:val="20"/>
                <w:color w:val="auto"/>
              </w:rPr>
            </w:pPr>
            <w:r>
              <w:rPr>
                <w:rFonts w:ascii="Arial" w:cs="Arial" w:eastAsia="Arial" w:hAnsi="Arial"/>
                <w:sz w:val="18"/>
                <w:szCs w:val="18"/>
                <w:color w:val="auto"/>
              </w:rPr>
              <w:t>, 20   and at any adjournment thereof.</w:t>
            </w:r>
          </w:p>
        </w:tc>
      </w:tr>
      <w:tr>
        <w:trPr>
          <w:trHeight w:val="432"/>
        </w:trPr>
        <w:tc>
          <w:tcPr>
            <w:tcW w:w="46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5"/>
              </w:rPr>
              <w:t>(Any restrictions on voting to be inserted here.) Signed this</w:t>
            </w:r>
          </w:p>
        </w:tc>
        <w:tc>
          <w:tcPr>
            <w:tcW w:w="1160" w:type="dxa"/>
            <w:vAlign w:val="bottom"/>
          </w:tcPr>
          <w:p>
            <w:pPr>
              <w:ind w:left="220"/>
              <w:spacing w:after="0"/>
              <w:rPr>
                <w:sz w:val="20"/>
                <w:szCs w:val="20"/>
                <w:color w:val="auto"/>
              </w:rPr>
            </w:pPr>
            <w:r>
              <w:rPr>
                <w:rFonts w:ascii="Arial" w:cs="Arial" w:eastAsia="Arial" w:hAnsi="Arial"/>
                <w:sz w:val="18"/>
                <w:szCs w:val="18"/>
                <w:color w:val="auto"/>
              </w:rPr>
              <w:t>day of</w:t>
            </w:r>
          </w:p>
        </w:tc>
        <w:tc>
          <w:tcPr>
            <w:tcW w:w="1100" w:type="dxa"/>
            <w:vAlign w:val="bottom"/>
          </w:tcPr>
          <w:p>
            <w:pPr>
              <w:ind w:left="160"/>
              <w:spacing w:after="0"/>
              <w:rPr>
                <w:sz w:val="20"/>
                <w:szCs w:val="20"/>
                <w:color w:val="auto"/>
              </w:rPr>
            </w:pPr>
            <w:r>
              <w:rPr>
                <w:rFonts w:ascii="Arial" w:cs="Arial" w:eastAsia="Arial" w:hAnsi="Arial"/>
                <w:sz w:val="18"/>
                <w:szCs w:val="18"/>
                <w:color w:val="auto"/>
              </w:rPr>
              <w:t>, 20</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r>
      <w:tr>
        <w:trPr>
          <w:trHeight w:val="432"/>
        </w:trPr>
        <w:tc>
          <w:tcPr>
            <w:tcW w:w="46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Member</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r>
      <w:tr>
        <w:trPr>
          <w:trHeight w:val="51"/>
        </w:trPr>
        <w:tc>
          <w:tcPr>
            <w:tcW w:w="462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PROCEEDINGS AT GENERAL MEETINGS</w:t>
      </w:r>
    </w:p>
    <w:p>
      <w:pPr>
        <w:spacing w:after="0" w:line="256" w:lineRule="exact"/>
        <w:rPr>
          <w:sz w:val="20"/>
          <w:szCs w:val="20"/>
          <w:color w:val="auto"/>
        </w:rPr>
      </w:pPr>
    </w:p>
    <w:p>
      <w:pPr>
        <w:ind w:left="440" w:right="100" w:hanging="436"/>
        <w:spacing w:after="0" w:line="302" w:lineRule="auto"/>
        <w:tabs>
          <w:tab w:leader="none" w:pos="4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All business carried out at a general meeting shall be deemed special with the exception of sanctioning a dividend, the consideration of the accounts, balance sheets, any report of the Directors or of the Company’s auditors, the appointment and removal of Directors and the fixing of the remuneration of the Company’s auditors. No special business shall be transacted at any general meeting without the consent of all Members entitled to receive notice of that meeting unless notice of such special business has been given in the notice convening that meeting.</w:t>
      </w:r>
    </w:p>
    <w:p>
      <w:pPr>
        <w:spacing w:after="0" w:line="59" w:lineRule="exact"/>
        <w:rPr>
          <w:rFonts w:ascii="Arial" w:cs="Arial" w:eastAsia="Arial" w:hAnsi="Arial"/>
          <w:sz w:val="16"/>
          <w:szCs w:val="16"/>
          <w:color w:val="auto"/>
        </w:rPr>
      </w:pPr>
    </w:p>
    <w:p>
      <w:pPr>
        <w:jc w:val="both"/>
        <w:ind w:left="440" w:right="100" w:hanging="436"/>
        <w:spacing w:after="0" w:line="264" w:lineRule="auto"/>
        <w:tabs>
          <w:tab w:leader="none" w:pos="4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Members is present at the time when the meeting proceeds to business. Save as otherwise provided by these Articles, a quorum shall be one or more persons holding or representing at least not less than 50.0 per cent of the issued shares entitled to vote and present in person or by proxy.</w:t>
      </w:r>
    </w:p>
    <w:p>
      <w:pPr>
        <w:spacing w:after="0" w:line="86" w:lineRule="exact"/>
        <w:rPr>
          <w:rFonts w:ascii="Arial" w:cs="Arial" w:eastAsia="Arial" w:hAnsi="Arial"/>
          <w:sz w:val="18"/>
          <w:szCs w:val="18"/>
          <w:color w:val="auto"/>
        </w:rPr>
      </w:pPr>
    </w:p>
    <w:p>
      <w:pPr>
        <w:ind w:left="440" w:right="80" w:hanging="436"/>
        <w:spacing w:after="0" w:line="259" w:lineRule="auto"/>
        <w:tabs>
          <w:tab w:leader="none" w:pos="4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if convened upon the requisition of Members, shall be dissolved. In any other case it shall stand adjourned to the same day in the next week, at the same time and place, and if at the adjourned meeting a quorum is not present within half an hour from the time appointed for the meeting the Member or Members present and entitled to vote shall be a quorum.</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Chairman (as defined in Article 106(5)) of the Board of Directors shall preside as chairman at every general meeting of the Company.</w:t>
      </w:r>
    </w:p>
    <w:p>
      <w:pPr>
        <w:spacing w:after="0" w:line="142" w:lineRule="exact"/>
        <w:rPr>
          <w:rFonts w:ascii="Arial" w:cs="Arial" w:eastAsia="Arial" w:hAnsi="Arial"/>
          <w:sz w:val="17"/>
          <w:szCs w:val="17"/>
          <w:color w:val="auto"/>
        </w:rPr>
      </w:pPr>
    </w:p>
    <w:p>
      <w:pPr>
        <w:ind w:left="440" w:right="340" w:hanging="436"/>
        <w:spacing w:after="0" w:line="312" w:lineRule="auto"/>
        <w:tabs>
          <w:tab w:leader="none" w:pos="4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If the Directors wish to make such a facility available to Members for a specific or all general meetings of the Company, a Member may participate in any general meeting of the Company, by means of a telephone or similar communication equipment by way of which all persons participating in such meeting can hear each other and such participation shall be deemed to constitute presence in person at the meeting.</w:t>
      </w:r>
    </w:p>
    <w:p>
      <w:pPr>
        <w:spacing w:after="0" w:line="52" w:lineRule="exact"/>
        <w:rPr>
          <w:rFonts w:ascii="Arial" w:cs="Arial" w:eastAsia="Arial" w:hAnsi="Arial"/>
          <w:sz w:val="16"/>
          <w:szCs w:val="16"/>
          <w:color w:val="auto"/>
        </w:rPr>
      </w:pPr>
    </w:p>
    <w:p>
      <w:pPr>
        <w:jc w:val="both"/>
        <w:ind w:left="440" w:right="140" w:hanging="436"/>
        <w:spacing w:after="0" w:line="286" w:lineRule="auto"/>
        <w:tabs>
          <w:tab w:leader="none" w:pos="4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there is no such Chairman, or if at any general meeting the Chairman is not present within half an hour after the time appointed for holding the meeting or is unwilling to act as chairman, the Members present in person or (in the case of a Member being a corporation) by its duly authorised representative or by proxy and entitled to vote shall choose one of their number to be chairman of that meeting.</w:t>
      </w:r>
    </w:p>
    <w:p>
      <w:pPr>
        <w:spacing w:after="0" w:line="70" w:lineRule="exact"/>
        <w:rPr>
          <w:rFonts w:ascii="Arial" w:cs="Arial" w:eastAsia="Arial" w:hAnsi="Arial"/>
          <w:sz w:val="17"/>
          <w:szCs w:val="17"/>
          <w:color w:val="auto"/>
        </w:rPr>
      </w:pPr>
    </w:p>
    <w:p>
      <w:pPr>
        <w:ind w:left="440" w:right="180" w:hanging="436"/>
        <w:spacing w:after="0" w:line="276" w:lineRule="auto"/>
        <w:tabs>
          <w:tab w:leader="none" w:pos="4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chairman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14 days or more, at least 7 clear days’ notice of the adjourned meeting shall be given as in the case of an original meeting. Save as aforesaid it shall not be necessary to give any notice of an adjournment or of the business to be transacted at an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75565</wp:posOffset>
            </wp:positionV>
            <wp:extent cx="848995" cy="9861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440" w:top="265" w:right="419" w:bottom="1440" w:gutter="0" w:footer="0" w:header="0"/>
        </w:sectPr>
      </w:pPr>
    </w:p>
    <w:bookmarkStart w:id="218" w:name="page219"/>
    <w:bookmarkEnd w:id="218"/>
    <w:p>
      <w:pPr>
        <w:ind w:left="440" w:right="720" w:hanging="436"/>
        <w:spacing w:after="0" w:line="286" w:lineRule="auto"/>
        <w:tabs>
          <w:tab w:leader="none" w:pos="4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may cancel or postpone any duly convened general meeting at any time prior to such meeting, except for general meetings requisitioned by the Members in accordance with these Articles, for any reason or for no reason, upon notice in writing to Members. A postponement may be for a stated period of any length or indefinitely as the Directors may determine.</w:t>
      </w:r>
    </w:p>
    <w:p>
      <w:pPr>
        <w:spacing w:after="0" w:line="70" w:lineRule="exact"/>
        <w:rPr>
          <w:rFonts w:ascii="Arial" w:cs="Arial" w:eastAsia="Arial" w:hAnsi="Arial"/>
          <w:sz w:val="17"/>
          <w:szCs w:val="17"/>
          <w:color w:val="auto"/>
        </w:rPr>
      </w:pPr>
    </w:p>
    <w:p>
      <w:pPr>
        <w:ind w:left="440" w:right="100" w:hanging="436"/>
        <w:spacing w:after="0" w:line="273" w:lineRule="auto"/>
        <w:tabs>
          <w:tab w:leader="none" w:pos="4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At any general meeting a resolution put to the vote of the meeting shall be decided on a show of hands, unless a poll is (before or on the declaration of the result of the show of hands) demanded by the chairman of the Board or one or more Members present in person or by proxy entitled to vote and who together hold not less than 20 per cent of the paid-up voting share capital of the Company,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83" w:lineRule="exact"/>
        <w:rPr>
          <w:rFonts w:ascii="Arial" w:cs="Arial" w:eastAsia="Arial" w:hAnsi="Arial"/>
          <w:sz w:val="17"/>
          <w:szCs w:val="17"/>
          <w:color w:val="auto"/>
        </w:rPr>
      </w:pPr>
    </w:p>
    <w:p>
      <w:pPr>
        <w:ind w:left="440" w:right="160" w:hanging="436"/>
        <w:spacing w:after="0" w:line="277" w:lineRule="auto"/>
        <w:tabs>
          <w:tab w:leader="none" w:pos="4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 The demand for a poll may be withdrawn.</w:t>
      </w:r>
    </w:p>
    <w:p>
      <w:pPr>
        <w:spacing w:after="0" w:line="75"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questions submitted to a meeting shall be decided by a simple majority of votes except where a greater majority is required by these Articles or by the Law. In the case of an equality of votes, the chairman of such meeting shall not be entitled to a second or casting vote in addition to any other vote he may have.</w:t>
      </w:r>
    </w:p>
    <w:p>
      <w:pPr>
        <w:spacing w:after="0" w:line="86"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MEMBERS</w:t>
      </w:r>
    </w:p>
    <w:p>
      <w:pPr>
        <w:spacing w:after="0" w:line="256" w:lineRule="exact"/>
        <w:rPr>
          <w:sz w:val="20"/>
          <w:szCs w:val="20"/>
          <w:color w:val="auto"/>
        </w:rPr>
      </w:pPr>
    </w:p>
    <w:p>
      <w:pPr>
        <w:ind w:left="440" w:right="40" w:hanging="436"/>
        <w:spacing w:after="0" w:line="259" w:lineRule="auto"/>
        <w:tabs>
          <w:tab w:leader="none" w:pos="4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on a show of hands every Member present in person and every person representing a Member by proxy at a general meeting of the Company shall have one vote and on a poll every Member and every person representing a Member by proxy shall have one vote for each share registered in his name, or the name of the person represented by proxy, in the Register.</w:t>
      </w:r>
    </w:p>
    <w:p>
      <w:pPr>
        <w:spacing w:after="0" w:line="92" w:lineRule="exact"/>
        <w:rPr>
          <w:rFonts w:ascii="Arial" w:cs="Arial" w:eastAsia="Arial" w:hAnsi="Arial"/>
          <w:sz w:val="18"/>
          <w:szCs w:val="18"/>
          <w:color w:val="auto"/>
        </w:rPr>
      </w:pPr>
    </w:p>
    <w:p>
      <w:pPr>
        <w:ind w:left="440" w:right="40" w:hanging="436"/>
        <w:spacing w:after="0" w:line="276" w:lineRule="auto"/>
        <w:tabs>
          <w:tab w:leader="none" w:pos="4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99" w:lineRule="exact"/>
        <w:rPr>
          <w:rFonts w:ascii="Arial" w:cs="Arial" w:eastAsia="Arial" w:hAnsi="Arial"/>
          <w:sz w:val="17"/>
          <w:szCs w:val="17"/>
          <w:color w:val="auto"/>
        </w:rPr>
      </w:pPr>
    </w:p>
    <w:p>
      <w:pPr>
        <w:ind w:left="800" w:right="80" w:hanging="796"/>
        <w:spacing w:after="0" w:line="271" w:lineRule="auto"/>
        <w:tabs>
          <w:tab w:leader="none" w:pos="4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(1) A Member who is a patient for any purpose relating to mental health or in respect of whom an order has been made by any court having jurisdiction for the protection or management of the affairs of persons incapable of managing their own affairs may vote, by his receiver, committee, curator bonis or other person in the nature of a receiver, committee or curator bonis appointed by such court, and such receiver, committee, curator bonis or other person may vote by proxy, and may otherwise act and be treated as if he were the registered holder of such shares for the purposes of general meetings, provided that such evidence as the Board of Directors may require of the authority of the person claiming to vote shall have been deposited at the Office or head office (or such other place as may be specified in the notice convening the meeting or in any notice of any adjournment or, in either case, in any document sent therewith), not less than 48 hours before the time appointed for holding the meeting, or adjourned meeting,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80010</wp:posOffset>
            </wp:positionV>
            <wp:extent cx="848995" cy="9861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19" w:name="page220"/>
    <w:bookmarkEnd w:id="219"/>
    <w:p>
      <w:pPr>
        <w:ind w:left="856" w:right="120" w:hanging="424"/>
        <w:spacing w:after="0" w:line="302" w:lineRule="auto"/>
        <w:tabs>
          <w:tab w:leader="none" w:pos="856" w:val="left"/>
        </w:tabs>
        <w:numPr>
          <w:ilvl w:val="1"/>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entitled under Article 53 to be registered as the holder of any shares may vote at any general meeting in respect thereof in the same manner as if he were the registered holder of such shares, provided that at least 48 hours before the time of the holding of the meeting or adjourned meeting, as the case may be, at which he proposes to vote, he shall satisfy the Board of Directors of his entitlement to such shares, or the Board of Directors shall have previously admitted his right to vote at such meeting in respect thereof.</w:t>
      </w:r>
    </w:p>
    <w:p>
      <w:pPr>
        <w:spacing w:after="0" w:line="59" w:lineRule="exact"/>
        <w:rPr>
          <w:rFonts w:ascii="Arial" w:cs="Arial" w:eastAsia="Arial" w:hAnsi="Arial"/>
          <w:sz w:val="16"/>
          <w:szCs w:val="16"/>
          <w:color w:val="auto"/>
        </w:rPr>
      </w:pPr>
    </w:p>
    <w:p>
      <w:pPr>
        <w:ind w:left="436" w:hanging="436"/>
        <w:spacing w:after="0"/>
        <w:tabs>
          <w:tab w:leader="none" w:pos="4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130" w:lineRule="exact"/>
        <w:rPr>
          <w:rFonts w:ascii="Arial" w:cs="Arial" w:eastAsia="Arial" w:hAnsi="Arial"/>
          <w:sz w:val="18"/>
          <w:szCs w:val="18"/>
          <w:color w:val="auto"/>
        </w:rPr>
      </w:pPr>
    </w:p>
    <w:p>
      <w:pPr>
        <w:ind w:left="436" w:right="40" w:hanging="436"/>
        <w:spacing w:after="0" w:line="264" w:lineRule="auto"/>
        <w:tabs>
          <w:tab w:leader="none" w:pos="4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under the hand of the appointor or of his attorney authorised in writing or, if the appointor is a corporation, either under its seal or under the hand of an officer, attorney or other person authorised to sign the same. A proxy need not be a Member of the Company.</w:t>
      </w:r>
    </w:p>
    <w:p>
      <w:pPr>
        <w:spacing w:after="0" w:line="86" w:lineRule="exact"/>
        <w:rPr>
          <w:rFonts w:ascii="Arial" w:cs="Arial" w:eastAsia="Arial" w:hAnsi="Arial"/>
          <w:sz w:val="18"/>
          <w:szCs w:val="18"/>
          <w:color w:val="auto"/>
        </w:rPr>
      </w:pPr>
    </w:p>
    <w:p>
      <w:pPr>
        <w:ind w:left="436" w:right="100" w:hanging="436"/>
        <w:spacing w:after="0" w:line="342" w:lineRule="auto"/>
        <w:tabs>
          <w:tab w:leader="none" w:pos="43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instrument appointing a proxy shall be deposited at the Office or at such other place as is specified for that purpose in the notice convening the meeting at least 48 hours before the time for holding the meeting or, if the meeting is adjourned, the time for holding such adjourned meeting.</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56" w:lineRule="exact"/>
        <w:rPr>
          <w:sz w:val="20"/>
          <w:szCs w:val="20"/>
          <w:color w:val="auto"/>
        </w:rPr>
      </w:pPr>
    </w:p>
    <w:p>
      <w:pPr>
        <w:ind w:left="796" w:hanging="796"/>
        <w:spacing w:after="0" w:line="276" w:lineRule="auto"/>
        <w:tabs>
          <w:tab w:leader="none" w:pos="43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(1) Any corporation which is a Member or a Director may by resolution of its directors or other governing body authorise such person as it thinks fit to act as its representative at any meeting of the Company or at any meeting of any class of Members or of the Board of Directors or of a committee of Directors. The person so authorised shall be entitled to exercise the same powers on behalf of such corporation as the corporation could exercise if it were an individual Member or Director and such corporation shall for the purposes of these Articles be deemed to be present in person at any such meeting if a person so authorised is present thereat.</w:t>
      </w:r>
    </w:p>
    <w:p>
      <w:pPr>
        <w:spacing w:after="0" w:line="77" w:lineRule="exact"/>
        <w:rPr>
          <w:rFonts w:ascii="Arial" w:cs="Arial" w:eastAsia="Arial" w:hAnsi="Arial"/>
          <w:sz w:val="17"/>
          <w:szCs w:val="17"/>
          <w:color w:val="auto"/>
        </w:rPr>
      </w:pPr>
    </w:p>
    <w:p>
      <w:pPr>
        <w:ind w:left="856" w:right="20" w:hanging="424"/>
        <w:spacing w:after="0" w:line="273" w:lineRule="auto"/>
        <w:tabs>
          <w:tab w:leader="none" w:pos="856"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If a clearing house (or its nominee(s)), being a corporation, is a Member, it may authorise such persons as it thinks fit to act as its representatives at any meeting of the Company or at any meeting of any class of Members provided that, if more than one person is so authorised,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the shares of the Company held by the clearing house (or its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79375</wp:posOffset>
            </wp:positionV>
            <wp:extent cx="848995" cy="9861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16"/>
          </w:cols>
          <w:pgMar w:left="444" w:top="274" w:right="439" w:bottom="1440" w:gutter="0" w:footer="0" w:header="0"/>
        </w:sectPr>
      </w:pPr>
    </w:p>
    <w:bookmarkStart w:id="220" w:name="page221"/>
    <w:bookmarkEnd w:id="220"/>
    <w:p>
      <w:pPr>
        <w:ind w:left="860" w:right="180" w:hanging="424"/>
        <w:spacing w:after="0" w:line="277" w:lineRule="auto"/>
        <w:tabs>
          <w:tab w:leader="none" w:pos="8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reference in these Articles to a duly authorised representative of a Member being a corporation shall mean a representative authorised under the provisions of this Article.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RESOLUTIONS OF MEMBERS</w:t>
      </w:r>
    </w:p>
    <w:p>
      <w:pPr>
        <w:spacing w:after="0" w:line="256" w:lineRule="exact"/>
        <w:rPr>
          <w:sz w:val="20"/>
          <w:szCs w:val="20"/>
          <w:color w:val="auto"/>
        </w:rPr>
      </w:pPr>
    </w:p>
    <w:p>
      <w:pPr>
        <w:ind w:left="440" w:right="40" w:hanging="436"/>
        <w:spacing w:after="0" w:line="293" w:lineRule="auto"/>
        <w:tabs>
          <w:tab w:leader="none" w:pos="4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 resolution in writing signed (in such manner as to indicate, expressly or impliedly, unconditional approval) by or on behalf of all persons for the time being entitled to receive notice of and to attend and vote at general meetings of the Company shall, for the purposes of these Articles, be treated as a resolution duly passed at a general meeting of the Company and, where relevant, as a Special Resolution so passed. Any such resolution shall be deemed to have been passed at a meeting held on the date on which it was signed by the last Member to sign, and where the resolution states a date as being the date of his signature thereof by any Member the statement shall be prima facie evidence that it was signed by him on that date. Such a resolution may consist of several documents in the like form, each signed by one or more relevant Members.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DIRECTORS</w:t>
      </w:r>
    </w:p>
    <w:p>
      <w:pPr>
        <w:spacing w:after="0" w:line="256" w:lineRule="exact"/>
        <w:rPr>
          <w:sz w:val="20"/>
          <w:szCs w:val="20"/>
          <w:color w:val="auto"/>
        </w:rPr>
      </w:pPr>
    </w:p>
    <w:p>
      <w:pPr>
        <w:ind w:left="440" w:right="100" w:hanging="436"/>
        <w:spacing w:after="0" w:line="297" w:lineRule="auto"/>
        <w:tabs>
          <w:tab w:leader="none" w:pos="4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Subject to Article 97, the Melco Members may appoint, from time to time, by written notice to the Company, one Director so long as they hold in aggregate a number of Securities equal to at least 33% but less than 66% of the Melco Original Share Amount, two Directors for so long as they hold in aggregate a number of Securities equal to at least 66% but less than 99% of the Melco Original Share Amount, and three Directors for so long as they hold in aggregate a number of Securities equal to at least 99% of the Melco Original Share Amount, including to fill vacancies created by removals under Article 98 or vacancies created under Article 129 of Directors appointed by the Melco Members.</w:t>
      </w:r>
    </w:p>
    <w:p>
      <w:pPr>
        <w:spacing w:after="0" w:line="63" w:lineRule="exact"/>
        <w:rPr>
          <w:rFonts w:ascii="Arial" w:cs="Arial" w:eastAsia="Arial" w:hAnsi="Arial"/>
          <w:sz w:val="16"/>
          <w:szCs w:val="16"/>
          <w:color w:val="auto"/>
        </w:rPr>
      </w:pPr>
    </w:p>
    <w:p>
      <w:pPr>
        <w:ind w:left="440" w:hanging="436"/>
        <w:spacing w:after="0" w:line="277" w:lineRule="auto"/>
        <w:tabs>
          <w:tab w:leader="none" w:pos="4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Despite Article 96, the Melco Members may, from time to time, by written notice to the Company, appoint up to three Directors for so long as they hold in aggregate:</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number of Securities equal to more than 66 per cent of the Melco Original Share Amount; and</w:t>
      </w:r>
    </w:p>
    <w:p>
      <w:pPr>
        <w:spacing w:after="0" w:line="117" w:lineRule="exact"/>
        <w:rPr>
          <w:rFonts w:ascii="Arial" w:cs="Arial" w:eastAsia="Arial" w:hAnsi="Arial"/>
          <w:sz w:val="18"/>
          <w:szCs w:val="18"/>
          <w:color w:val="auto"/>
        </w:rPr>
      </w:pPr>
    </w:p>
    <w:p>
      <w:pPr>
        <w:ind w:left="440" w:right="100" w:firstLine="4"/>
        <w:spacing w:after="0" w:line="259" w:lineRule="auto"/>
        <w:tabs>
          <w:tab w:leader="none" w:pos="69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more Securities in issue than any other Member and its Affiliates to whom Securities have been issued or transferred in accordance with the restrictions applicable thereto, in the aggregate, provided that for the purposes of this Article 97(2), the depositary bank for the ADSs shall be deemed not to be a Member; including to fill vacancies created by removals under Article 98, or vacancies created under Article 129 of Directors appointed by the Melco Members.</w:t>
      </w:r>
    </w:p>
    <w:p>
      <w:pPr>
        <w:spacing w:after="0" w:line="92" w:lineRule="exact"/>
        <w:rPr>
          <w:rFonts w:ascii="Arial" w:cs="Arial" w:eastAsia="Arial" w:hAnsi="Arial"/>
          <w:sz w:val="18"/>
          <w:szCs w:val="18"/>
          <w:color w:val="auto"/>
        </w:rPr>
      </w:pPr>
    </w:p>
    <w:p>
      <w:pPr>
        <w:ind w:left="440" w:right="100" w:hanging="436"/>
        <w:spacing w:after="0" w:line="277" w:lineRule="auto"/>
        <w:tabs>
          <w:tab w:leader="none" w:pos="4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Subject to Article 99, the Melco Members may remove any Director appointed by them under Article 96 or Article 97 (as applicable) by notice to the Company.</w:t>
      </w:r>
    </w:p>
    <w:p>
      <w:pPr>
        <w:spacing w:after="0" w:line="75" w:lineRule="exact"/>
        <w:rPr>
          <w:rFonts w:ascii="Arial" w:cs="Arial" w:eastAsia="Arial" w:hAnsi="Arial"/>
          <w:sz w:val="18"/>
          <w:szCs w:val="18"/>
          <w:color w:val="auto"/>
        </w:rPr>
      </w:pPr>
    </w:p>
    <w:p>
      <w:pPr>
        <w:ind w:left="440" w:right="600" w:hanging="436"/>
        <w:spacing w:after="0" w:line="277" w:lineRule="auto"/>
        <w:tabs>
          <w:tab w:leader="none" w:pos="4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notice under Articles 96, 97 or 98 shall be signed by the Member holding a majority of the Securities in issue held by all of the Melco Members as at the date of the notice.</w:t>
      </w:r>
    </w:p>
    <w:p>
      <w:pPr>
        <w:spacing w:after="0" w:line="62" w:lineRule="exact"/>
        <w:rPr>
          <w:rFonts w:ascii="Arial" w:cs="Arial" w:eastAsia="Arial" w:hAnsi="Arial"/>
          <w:sz w:val="18"/>
          <w:szCs w:val="18"/>
          <w:color w:val="auto"/>
        </w:rPr>
      </w:pPr>
    </w:p>
    <w:p>
      <w:pPr>
        <w:ind w:left="400" w:hanging="396"/>
        <w:spacing w:after="0"/>
        <w:tabs>
          <w:tab w:leader="none" w:pos="4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New Cotai may, for so long as it holds in aggregate, a number of Securities equal to:</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50 per cent or more of the New Cotai Original Share Amount, appoint two Directors; and</w:t>
      </w:r>
    </w:p>
    <w:p>
      <w:pPr>
        <w:spacing w:after="0" w:line="117" w:lineRule="exact"/>
        <w:rPr>
          <w:rFonts w:ascii="Arial" w:cs="Arial" w:eastAsia="Arial" w:hAnsi="Arial"/>
          <w:sz w:val="18"/>
          <w:szCs w:val="18"/>
          <w:color w:val="auto"/>
        </w:rPr>
      </w:pPr>
    </w:p>
    <w:p>
      <w:pPr>
        <w:ind w:left="440" w:right="120" w:firstLine="4"/>
        <w:spacing w:after="0" w:line="272" w:lineRule="auto"/>
        <w:tabs>
          <w:tab w:leader="none" w:pos="695" w:val="left"/>
        </w:tabs>
        <w:numPr>
          <w:ilvl w:val="1"/>
          <w:numId w:val="193"/>
        </w:numPr>
        <w:rPr>
          <w:rFonts w:ascii="Arial" w:cs="Arial" w:eastAsia="Arial" w:hAnsi="Arial"/>
          <w:sz w:val="17"/>
          <w:szCs w:val="17"/>
          <w:color w:val="auto"/>
        </w:rPr>
      </w:pPr>
      <w:r>
        <w:rPr>
          <w:rFonts w:ascii="Arial" w:cs="Arial" w:eastAsia="Arial" w:hAnsi="Arial"/>
          <w:sz w:val="17"/>
          <w:szCs w:val="17"/>
          <w:color w:val="auto"/>
        </w:rPr>
        <w:t>25 per cent or more, but less than 50 per cent of the New Cotai Original Share Amount, (y) appoint one Director, including in each case to fill vacancies created by removals under Article 102 or vacancies created under Article 129 of Directors appointed by New Cotai, in each case by written notice to the Company; and (z) to the extent not prohibited by Applicable Laws or the listing or exchange rules of any stock exchange on which the Securities are listed, appoint one Observer to the Board, including to fill vacancies created by removals under Article 102 or death or resignation of an Observer, in each case by written notice to the Company; PROVIDED THAT upon New Cotai holding a number of Securities equal to less than 25 per cent of the New Cotai Original Share Amount, any Observer appointed by it shall automatically be deemed removed without the need for any removal notice to be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79375</wp:posOffset>
            </wp:positionV>
            <wp:extent cx="848995" cy="9861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21" w:name="page222"/>
    <w:bookmarkEnd w:id="221"/>
    <w:p>
      <w:pPr>
        <w:ind w:left="440" w:hanging="436"/>
        <w:spacing w:after="0" w:line="254" w:lineRule="auto"/>
        <w:tabs>
          <w:tab w:leader="none" w:pos="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Cotai may, for so long as it has the right to appoint at least one Director pursuant to Article 100, appoint a Director (who is already a member of the Board and appointed pursuant to Article 100) to sit on any committee of the Board (other than (i) a committee formed to evaluate a transaction between the Company and New Cotai or its Affiliates or (ii) a committee that the Board has determined as a matter of good corporate governance should be comprised solely of independent directors and, at such time, no Director appointed by New Cotai is independent under applicable stock exchange rules), to the extent any such appointment is not prohibited by Applicable Laws or the listing or exchange rules of any stock exchange on which the Securities are listed; provided, however, that a simple majority will be sufficient to approve such committees’ decisions and, provided further, that such Director will not be required to form a quorum at meetings of any committee so long as due notice of the meeting has been provided.</w:t>
      </w:r>
    </w:p>
    <w:p>
      <w:pPr>
        <w:spacing w:after="0" w:line="97" w:lineRule="exact"/>
        <w:rPr>
          <w:rFonts w:ascii="Arial" w:cs="Arial" w:eastAsia="Arial" w:hAnsi="Arial"/>
          <w:sz w:val="18"/>
          <w:szCs w:val="18"/>
          <w:color w:val="auto"/>
        </w:rPr>
      </w:pPr>
    </w:p>
    <w:p>
      <w:pPr>
        <w:ind w:left="440" w:right="20" w:hanging="436"/>
        <w:spacing w:after="0" w:line="277" w:lineRule="auto"/>
        <w:tabs>
          <w:tab w:leader="none" w:pos="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Article 103, New Cotai may remove any Director or Observer appointed under Article 100 or remove from any committee any Director appointed by it to such committee under Article 101 by notice to the Company.</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notice under Articles 100, 101 or 102 shall be signed by New Cotai.</w:t>
      </w:r>
    </w:p>
    <w:p>
      <w:pPr>
        <w:spacing w:after="0" w:line="130" w:lineRule="exact"/>
        <w:rPr>
          <w:rFonts w:ascii="Arial" w:cs="Arial" w:eastAsia="Arial" w:hAnsi="Arial"/>
          <w:sz w:val="18"/>
          <w:szCs w:val="18"/>
          <w:color w:val="auto"/>
        </w:rPr>
      </w:pPr>
    </w:p>
    <w:p>
      <w:pPr>
        <w:ind w:left="440" w:right="300" w:hanging="436"/>
        <w:spacing w:after="0" w:line="264" w:lineRule="auto"/>
        <w:tabs>
          <w:tab w:leader="none" w:pos="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determining the number of Securities held by New Cotai at the relevant time for purposes of any threshold in Articles 100 through 103, including for purposes of the New Cotai Original Share Amount, Securities held by the Minority Members shall be deemed to be held by New Cotai.</w:t>
      </w:r>
    </w:p>
    <w:p>
      <w:pPr>
        <w:spacing w:after="0" w:line="86" w:lineRule="exact"/>
        <w:rPr>
          <w:rFonts w:ascii="Arial" w:cs="Arial" w:eastAsia="Arial" w:hAnsi="Arial"/>
          <w:sz w:val="18"/>
          <w:szCs w:val="18"/>
          <w:color w:val="auto"/>
        </w:rPr>
      </w:pPr>
    </w:p>
    <w:p>
      <w:pPr>
        <w:ind w:left="440" w:right="700" w:hanging="436"/>
        <w:spacing w:after="0" w:line="277" w:lineRule="auto"/>
        <w:tabs>
          <w:tab w:leader="none" w:pos="4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New Cotai’s rights under Articles 100 through 104 shall terminate at such time when New Cotai no longer holds at least 5 per cent of the Securities in issue.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131" w:lineRule="exact"/>
        <w:rPr>
          <w:sz w:val="20"/>
          <w:szCs w:val="20"/>
          <w:color w:val="auto"/>
        </w:rPr>
      </w:pPr>
    </w:p>
    <w:p>
      <w:pPr>
        <w:ind w:left="860" w:right="320" w:hanging="424"/>
        <w:spacing w:after="0" w:line="277" w:lineRule="auto"/>
        <w:tabs>
          <w:tab w:leader="none" w:pos="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maximum number of Directors shall be 11. For so long as shares or ADSs are quoted on the NYSE, the Directors shall include such number of Independent Directors as applicable law, rules or regulations or the NYSE Rules require.</w:t>
      </w:r>
    </w:p>
    <w:p>
      <w:pPr>
        <w:spacing w:after="0" w:line="75" w:lineRule="exact"/>
        <w:rPr>
          <w:rFonts w:ascii="Arial" w:cs="Arial" w:eastAsia="Arial" w:hAnsi="Arial"/>
          <w:sz w:val="18"/>
          <w:szCs w:val="18"/>
          <w:color w:val="auto"/>
        </w:rPr>
      </w:pPr>
    </w:p>
    <w:p>
      <w:pPr>
        <w:ind w:left="860" w:right="40" w:hanging="424"/>
        <w:spacing w:after="0" w:line="277" w:lineRule="auto"/>
        <w:tabs>
          <w:tab w:leader="none" w:pos="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Director shall hold office until the expiration of his term, or until his earlier death, resignation or removal, and until his successor shall have been elected or appointed.</w:t>
      </w:r>
    </w:p>
    <w:p>
      <w:pPr>
        <w:spacing w:after="0" w:line="75" w:lineRule="exact"/>
        <w:rPr>
          <w:rFonts w:ascii="Arial" w:cs="Arial" w:eastAsia="Arial" w:hAnsi="Arial"/>
          <w:sz w:val="18"/>
          <w:szCs w:val="18"/>
          <w:color w:val="auto"/>
        </w:rPr>
      </w:pPr>
    </w:p>
    <w:p>
      <w:pPr>
        <w:ind w:left="860" w:right="100" w:hanging="424"/>
        <w:spacing w:after="0" w:line="308" w:lineRule="auto"/>
        <w:tabs>
          <w:tab w:leader="none" w:pos="8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Company may by Ordinary Resolution appoint any person to be a Director either to fill a vacancy on the Board or as an addition to the existing Board up to the maximum number of Directors permitted under Article 106(1), subject to Articles 96 through 103.</w:t>
      </w:r>
    </w:p>
    <w:p>
      <w:pPr>
        <w:spacing w:after="0" w:line="51" w:lineRule="exact"/>
        <w:rPr>
          <w:rFonts w:ascii="Arial" w:cs="Arial" w:eastAsia="Arial" w:hAnsi="Arial"/>
          <w:sz w:val="17"/>
          <w:szCs w:val="17"/>
          <w:color w:val="auto"/>
        </w:rPr>
      </w:pPr>
    </w:p>
    <w:p>
      <w:pPr>
        <w:ind w:left="860" w:right="60" w:hanging="424"/>
        <w:spacing w:after="0" w:line="264" w:lineRule="auto"/>
        <w:tabs>
          <w:tab w:leader="none" w:pos="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Directors may by the affirmative vote of a majority of the Directors appoint any person to be a Director either to fill a vacancy on the Board or as an addition to the existing Board up to the maximum number of Directors permitted under Article 106(1), subject to Articles 96 through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81280</wp:posOffset>
            </wp:positionV>
            <wp:extent cx="848995" cy="9861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22" w:name="page223"/>
    <w:bookmarkEnd w:id="222"/>
    <w:p>
      <w:pPr>
        <w:ind w:left="860" w:right="120" w:hanging="424"/>
        <w:spacing w:after="0" w:line="277" w:lineRule="auto"/>
        <w:tabs>
          <w:tab w:leader="none" w:pos="860" w:val="left"/>
        </w:tabs>
        <w:numPr>
          <w:ilvl w:val="1"/>
          <w:numId w:val="1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of Directors shall have a Chairman of the Board of Directors (the “</w:t>
      </w:r>
      <w:r>
        <w:rPr>
          <w:rFonts w:ascii="Arial" w:cs="Arial" w:eastAsia="Arial" w:hAnsi="Arial"/>
          <w:sz w:val="17"/>
          <w:szCs w:val="17"/>
          <w:b w:val="1"/>
          <w:bCs w:val="1"/>
          <w:color w:val="auto"/>
        </w:rPr>
        <w:t>Chairman</w:t>
      </w:r>
      <w:r>
        <w:rPr>
          <w:rFonts w:ascii="Arial" w:cs="Arial" w:eastAsia="Arial" w:hAnsi="Arial"/>
          <w:sz w:val="17"/>
          <w:szCs w:val="17"/>
          <w:color w:val="auto"/>
        </w:rPr>
        <w:t>”) elected and appointed by a majority of the Directors then in office. The period for which the Chairman will hold office shall also be determined by a majority of all the Directors then in office. The Chairman shall preside as chairman at every meeting of the Board of Directors. If the Chairman is not present at a meeting of the Board of Directors within 15 minutes after the time appointed for holding the meeting, then the attending Directors may, by the affirmative vote of a majority of such Directors, choose one of their number to be the chairman of the meeting.</w:t>
      </w:r>
    </w:p>
    <w:p>
      <w:pPr>
        <w:spacing w:after="0" w:line="77" w:lineRule="exact"/>
        <w:rPr>
          <w:rFonts w:ascii="Arial" w:cs="Arial" w:eastAsia="Arial" w:hAnsi="Arial"/>
          <w:sz w:val="17"/>
          <w:szCs w:val="17"/>
          <w:color w:val="auto"/>
        </w:rPr>
      </w:pPr>
    </w:p>
    <w:p>
      <w:pPr>
        <w:ind w:left="860" w:right="240" w:hanging="424"/>
        <w:spacing w:after="0" w:line="264" w:lineRule="auto"/>
        <w:tabs>
          <w:tab w:leader="none" w:pos="8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Neither a Director nor an alternate Director shall be required to hold any shares of the Company by way of qualification and a Director or alternate Director (as the case may be) who is not a Member shall be entitled to receive notice of and to attend and speak at any general meeting (including class meetings) of the Company.</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No person shall be appointed as a Director of the Company unless he has consented in writing to act as a Director.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 director may be removed from office by Special Resolution.</w:t>
      </w:r>
    </w:p>
    <w:p>
      <w:pPr>
        <w:spacing w:after="0" w:line="130" w:lineRule="exact"/>
        <w:rPr>
          <w:rFonts w:ascii="Arial" w:cs="Arial" w:eastAsia="Arial" w:hAnsi="Arial"/>
          <w:sz w:val="18"/>
          <w:szCs w:val="18"/>
          <w:color w:val="auto"/>
        </w:rPr>
      </w:pPr>
    </w:p>
    <w:p>
      <w:pPr>
        <w:ind w:left="440" w:right="160" w:hanging="436"/>
        <w:spacing w:after="0" w:line="259" w:lineRule="auto"/>
        <w:tabs>
          <w:tab w:leader="none" w:pos="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Board may, from time to time, and except as required by applicable law or the listing rules of the recognised stock exchange or automated quotation system where the Company’s securities are traded, adopt, institute, amend, modify or revoke the corporate governance policies or initiatives, which shall be intended to set forth the policies of the Company and the Board on various corporate governance related matters as the Board shall determine by resolution from time to time.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OBSERVER</w:t>
      </w:r>
    </w:p>
    <w:p>
      <w:pPr>
        <w:spacing w:after="0" w:line="256" w:lineRule="exact"/>
        <w:rPr>
          <w:sz w:val="20"/>
          <w:szCs w:val="20"/>
          <w:color w:val="auto"/>
        </w:rPr>
      </w:pPr>
    </w:p>
    <w:p>
      <w:pPr>
        <w:ind w:left="440" w:hanging="436"/>
        <w:spacing w:after="0"/>
        <w:tabs>
          <w:tab w:leader="none" w:pos="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 Observer shall be entitled to attend each meeting of the Board but shall not be entitled to vote at meetings of the Board.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An Observer shall be given the same notice of each meeting of the Board, at the same time and in the same form, as given to the Directors.</w:t>
      </w:r>
    </w:p>
    <w:p>
      <w:pPr>
        <w:spacing w:after="0" w:line="142" w:lineRule="exact"/>
        <w:rPr>
          <w:rFonts w:ascii="Arial" w:cs="Arial" w:eastAsia="Arial" w:hAnsi="Arial"/>
          <w:sz w:val="17"/>
          <w:szCs w:val="17"/>
          <w:color w:val="auto"/>
        </w:rPr>
      </w:pPr>
    </w:p>
    <w:p>
      <w:pPr>
        <w:ind w:left="440" w:right="440" w:hanging="436"/>
        <w:spacing w:after="0" w:line="277" w:lineRule="auto"/>
        <w:tabs>
          <w:tab w:leader="none" w:pos="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 Observer shall be provided with all of the information provided to Directors in the same form and at the same time as such information is provided to the Directors, including all board packs, agendas and any information to be presented to the Board.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DIRECTOR</w:t>
      </w:r>
    </w:p>
    <w:p>
      <w:pPr>
        <w:spacing w:after="0" w:line="252" w:lineRule="exact"/>
        <w:rPr>
          <w:sz w:val="20"/>
          <w:szCs w:val="20"/>
          <w:color w:val="auto"/>
        </w:rPr>
      </w:pPr>
    </w:p>
    <w:p>
      <w:pPr>
        <w:ind w:left="440" w:hanging="436"/>
        <w:spacing w:after="0" w:line="286" w:lineRule="auto"/>
        <w:tabs>
          <w:tab w:leader="none" w:pos="4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Subject to the prior approval of the Board of Directors, any Director (the “</w:t>
      </w:r>
      <w:r>
        <w:rPr>
          <w:rFonts w:ascii="Arial" w:cs="Arial" w:eastAsia="Arial" w:hAnsi="Arial"/>
          <w:sz w:val="16"/>
          <w:szCs w:val="16"/>
          <w:b w:val="1"/>
          <w:bCs w:val="1"/>
          <w:color w:val="auto"/>
        </w:rPr>
        <w:t>Appointing Director”)</w:t>
      </w:r>
      <w:r>
        <w:rPr>
          <w:rFonts w:ascii="Arial" w:cs="Arial" w:eastAsia="Arial" w:hAnsi="Arial"/>
          <w:sz w:val="16"/>
          <w:szCs w:val="16"/>
          <w:color w:val="auto"/>
        </w:rPr>
        <w:t xml:space="preserve"> (other than any independent Director under applicable stock exchange rules) may in writing appoint another person, whether or not a Director, to be his alternate to act in his place for such period of time as the Appointing Director is unable to attend meetings and/or otherwise discharge his duties as a Director. Each such alternate shall be entitled to a notice of each meeting of the Directors that is convened during his period of appointment (each an “</w:t>
      </w:r>
      <w:r>
        <w:rPr>
          <w:rFonts w:ascii="Arial" w:cs="Arial" w:eastAsia="Arial" w:hAnsi="Arial"/>
          <w:sz w:val="16"/>
          <w:szCs w:val="16"/>
          <w:b w:val="1"/>
          <w:bCs w:val="1"/>
          <w:color w:val="auto"/>
        </w:rPr>
        <w:t>Affected Meeting”),</w:t>
      </w:r>
      <w:r>
        <w:rPr>
          <w:rFonts w:ascii="Arial" w:cs="Arial" w:eastAsia="Arial" w:hAnsi="Arial"/>
          <w:sz w:val="16"/>
          <w:szCs w:val="16"/>
          <w:color w:val="auto"/>
        </w:rPr>
        <w:t xml:space="preserve"> to attend and vote thereat as a Director and to sign written resolutions on behalf of the Appointing Director (except to the extent such resolutions are signed by the Appointing Director). Where a Director is also an alternate for another Director, such Director shall have a separate vote on behalf of the Appointing Director he is representing in addition to his own vote. Under no circumstances shall the appointment of an alternate Director be construed as an effective appointment of the alternate Director to any other position or office of the Appointing Director. An alternate Director may be removed at any time by the relevant Appointing Director or the Board of Directors and, subject thereto, the office of alternate Director shall continue until the date on which the relevant Appointing Director ceases to be a Director. Any appointment or removal of an alternate Director by the Appointing Director shall be effected by notice signed by the Appointing Director and delivered to the Office or head office at least 48 hours prior to the Affected Meeting at which such appointment is to take effect. For the avoidance of doubt, such notice period shall not apply to the removal of an alternate Director by the Board of Directors. Subject to the Law, an alternate Director shall not be deemed to be an officer of the Company solely as a result of his appointment as an alternate Director. The remuneration of an alternate Director shall be payable by the Appointing Director out of the remuneration of the relevant Appointing Director and the proportion thereof shall be agreed between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75565</wp:posOffset>
            </wp:positionV>
            <wp:extent cx="848995" cy="9861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FEES AND EXPENSES</w:t>
      </w:r>
    </w:p>
    <w:p>
      <w:pPr>
        <w:spacing w:after="0" w:line="256" w:lineRule="exact"/>
        <w:rPr>
          <w:sz w:val="20"/>
          <w:szCs w:val="20"/>
          <w:color w:val="auto"/>
        </w:rPr>
      </w:pPr>
    </w:p>
    <w:p>
      <w:pPr>
        <w:ind w:left="440" w:right="100" w:hanging="436"/>
        <w:spacing w:after="0" w:line="255" w:lineRule="auto"/>
        <w:tabs>
          <w:tab w:leader="none" w:pos="4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shall: (i) pay the reasonable expenses properly incurred by Directors in relation to the business of the Group, including accommodation expenses in travelling to and from meetings of the Board or any committee of the Board, any Group Company, or any committee of any such company, and provided such expenses are supported by valid receipts; and (ii) pay the cost of any insurance policies taken out by the Company in respect of the Directors. Notwithstanding the foregoing, no Director that is not independent within the meaning of the listing or exchange rules of any stock exchange on which the Class A Ordinary Shares are listed is entitled to be paid any fees in connection with his or her appointment or role as a Director.</w:t>
      </w:r>
    </w:p>
    <w:p>
      <w:pPr>
        <w:spacing w:after="0" w:line="98" w:lineRule="exact"/>
        <w:rPr>
          <w:rFonts w:ascii="Arial" w:cs="Arial" w:eastAsia="Arial" w:hAnsi="Arial"/>
          <w:sz w:val="18"/>
          <w:szCs w:val="18"/>
          <w:color w:val="auto"/>
        </w:rPr>
      </w:pPr>
    </w:p>
    <w:p>
      <w:pPr>
        <w:ind w:left="440" w:right="60" w:hanging="436"/>
        <w:spacing w:after="0" w:line="257" w:lineRule="auto"/>
        <w:tabs>
          <w:tab w:leader="none" w:pos="4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Director shall be entitled to be repaid or prepaid all reasonable expenses properly incurred in relation to the business of the Group, including travelling, hotel and incidental expenses reasonably incurred or expected to be incurred by him in attending meetings of the Board of Directors or committees of the Board of Directors or general meetings or separate meetings of any class of shares or of debentures of any Group Company or any committee of any Group Company or otherwise in connection with the discharge of his duties as a Director; in each case, provided such expenses are supported by valid receipts.</w:t>
      </w:r>
    </w:p>
    <w:p>
      <w:pPr>
        <w:spacing w:after="0" w:line="93" w:lineRule="exact"/>
        <w:rPr>
          <w:rFonts w:ascii="Arial" w:cs="Arial" w:eastAsia="Arial" w:hAnsi="Arial"/>
          <w:sz w:val="18"/>
          <w:szCs w:val="18"/>
          <w:color w:val="auto"/>
        </w:rPr>
      </w:pPr>
    </w:p>
    <w:p>
      <w:pPr>
        <w:ind w:left="440" w:right="80" w:hanging="436"/>
        <w:spacing w:after="0" w:line="276" w:lineRule="auto"/>
        <w:tabs>
          <w:tab w:leader="none" w:pos="4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Any independent Director within the meaning of the listing or exchange rules of any stock exchange on which the Class A Ordinary Shares are listed who, by request from the Board of Directors, goes or resides abroad for any purpose of the Company or who performs services which in the opinion of the Board of Directors go beyond the ordinary duties of a Director may be paid such extra remuneration (whether by way of salary, commission, participation in profits or otherwise) as the Board of Directors may determine and such extra remuneration shall be in addition to or in substitution for any ordinary remuneration provided for by or pursuant to any other Article.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56" w:lineRule="exact"/>
        <w:rPr>
          <w:sz w:val="20"/>
          <w:szCs w:val="20"/>
          <w:color w:val="auto"/>
        </w:rPr>
      </w:pPr>
    </w:p>
    <w:p>
      <w:pPr>
        <w:ind w:left="440" w:right="120" w:hanging="436"/>
        <w:spacing w:after="0" w:line="302" w:lineRule="auto"/>
        <w:tabs>
          <w:tab w:leader="none" w:pos="4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Each Director shall be required to have regard to, and act in the best interests of, the Company and all of its Members; provided that, to the maximum extent permitted by law and without detracting from or limiting the foregoing obligation, Directors shall be permitted to also have regard to the interests of the Member that appointed that Director and such Member’s Affiliates in carrying out his or her duties as a Director or a director of any Subsidiary to the extent that those interests are consistent with the best interests of the Company and all of its Members.</w:t>
      </w:r>
    </w:p>
    <w:p>
      <w:pPr>
        <w:spacing w:after="0" w:line="59" w:lineRule="exact"/>
        <w:rPr>
          <w:rFonts w:ascii="Arial" w:cs="Arial" w:eastAsia="Arial" w:hAnsi="Arial"/>
          <w:sz w:val="16"/>
          <w:szCs w:val="16"/>
          <w:color w:val="auto"/>
        </w:rPr>
      </w:pPr>
    </w:p>
    <w:p>
      <w:pPr>
        <w:ind w:left="440" w:hanging="436"/>
        <w:spacing w:after="0" w:line="255" w:lineRule="auto"/>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Subject to the provisions of the Law, these Articles and to any resolutions made in general meeting, the business of the Company shall be managed by the Directors, who may pay all expenses incurred in setting up and registering the Company and may exercise all powers of the Company. The Directors of the Company have all the powers necessary for managing, and for directing and supervising, the business and affairs of the Company. No resolution made by the Company in a general meeting shall invalidate any prior act of the Directors which would have been valid if that resolution had not been made. The general powers given by this Article shall not be limited or restricted by any special authority or power given to the Board of Directors by any other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88900</wp:posOffset>
            </wp:positionV>
            <wp:extent cx="848995" cy="9861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224" w:name="page225"/>
    <w:bookmarkEnd w:id="224"/>
    <w:p>
      <w:pPr>
        <w:ind w:left="436" w:hanging="436"/>
        <w:spacing w:after="0" w:line="276" w:lineRule="auto"/>
        <w:tabs>
          <w:tab w:leader="none" w:pos="436"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these Articles, the Directors may from time to time appoint any person, whether or not a Director, to hold such office in the Company as the Directors may think necessary for the administration of the Company, including but not limited to, the office of, chief executive officer, president, one or more vice-presidents, treasurer, assistant treasurer, manager or controller, and for such term and at such remuneration (whether by way of salary or commission or participation in profits or otherwise or partly in one way and partly in another), and with such powers and duties as the Directors may think fit. Any person so appointed by the Directors may be removed by the Directors.</w:t>
      </w:r>
    </w:p>
    <w:p>
      <w:pPr>
        <w:spacing w:after="0" w:line="77" w:lineRule="exact"/>
        <w:rPr>
          <w:rFonts w:ascii="Arial" w:cs="Arial" w:eastAsia="Arial" w:hAnsi="Arial"/>
          <w:sz w:val="17"/>
          <w:szCs w:val="17"/>
          <w:color w:val="auto"/>
        </w:rPr>
      </w:pPr>
    </w:p>
    <w:p>
      <w:pPr>
        <w:ind w:left="436" w:right="140" w:hanging="436"/>
        <w:spacing w:after="0" w:line="255" w:lineRule="auto"/>
        <w:tabs>
          <w:tab w:leader="none" w:pos="4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98" w:lineRule="exact"/>
        <w:rPr>
          <w:rFonts w:ascii="Arial" w:cs="Arial" w:eastAsia="Arial" w:hAnsi="Arial"/>
          <w:sz w:val="18"/>
          <w:szCs w:val="18"/>
          <w:color w:val="auto"/>
        </w:rPr>
      </w:pPr>
    </w:p>
    <w:p>
      <w:pPr>
        <w:ind w:left="436" w:right="420" w:hanging="436"/>
        <w:spacing w:after="0" w:line="308" w:lineRule="auto"/>
        <w:tabs>
          <w:tab w:leader="none" w:pos="43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51" w:lineRule="exact"/>
        <w:rPr>
          <w:rFonts w:ascii="Arial" w:cs="Arial" w:eastAsia="Arial" w:hAnsi="Arial"/>
          <w:sz w:val="17"/>
          <w:szCs w:val="17"/>
          <w:color w:val="auto"/>
        </w:rPr>
      </w:pPr>
    </w:p>
    <w:p>
      <w:pPr>
        <w:ind w:left="436" w:right="360" w:hanging="436"/>
        <w:spacing w:after="0" w:line="279" w:lineRule="auto"/>
        <w:tabs>
          <w:tab w:leader="none" w:pos="43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Directors from time to time and at any time may establish any committees, local boards or agencies for managing any of the affairs of the Company and may appoint any persons to be members of such committees or local boards and may appoint any managers or agents of the Company and may fix the remuneration of such persons. Any committee, local board or agency so formed shall in the exercise of the powers delegated to it by the Directors conform to any regulations that may be imposed on it by the Directors.</w:t>
      </w:r>
    </w:p>
    <w:p>
      <w:pPr>
        <w:spacing w:after="0" w:line="76" w:lineRule="exact"/>
        <w:rPr>
          <w:rFonts w:ascii="Arial" w:cs="Arial" w:eastAsia="Arial" w:hAnsi="Arial"/>
          <w:sz w:val="17"/>
          <w:szCs w:val="17"/>
          <w:color w:val="auto"/>
        </w:rPr>
      </w:pPr>
    </w:p>
    <w:p>
      <w:pPr>
        <w:ind w:left="436" w:right="40" w:hanging="436"/>
        <w:spacing w:after="0" w:line="254" w:lineRule="auto"/>
        <w:tabs>
          <w:tab w:leader="none" w:pos="4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 PROVIDED THAT for any committee for which a director appointed by New Cotai is a member, the quorum necessary for the transaction of business at a meeting of such committee shall not include the Director appointed by New Cotai so long as due notice of the meeting has been provided.</w:t>
      </w:r>
    </w:p>
    <w:p>
      <w:pPr>
        <w:spacing w:after="0" w:line="97" w:lineRule="exact"/>
        <w:rPr>
          <w:rFonts w:ascii="Arial" w:cs="Arial" w:eastAsia="Arial" w:hAnsi="Arial"/>
          <w:sz w:val="18"/>
          <w:szCs w:val="18"/>
          <w:color w:val="auto"/>
        </w:rPr>
      </w:pPr>
    </w:p>
    <w:p>
      <w:pPr>
        <w:ind w:left="436" w:right="40" w:hanging="436"/>
        <w:spacing w:after="0" w:line="277" w:lineRule="auto"/>
        <w:tabs>
          <w:tab w:leader="none" w:pos="4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such delegates as aforesaid may be authorised by the Directors to subdelegate all or any of the powers, authorities, and discretion for the time being vested in them.</w:t>
      </w:r>
    </w:p>
    <w:p>
      <w:pPr>
        <w:spacing w:after="0" w:line="75" w:lineRule="exact"/>
        <w:rPr>
          <w:rFonts w:ascii="Arial" w:cs="Arial" w:eastAsia="Arial" w:hAnsi="Arial"/>
          <w:sz w:val="18"/>
          <w:szCs w:val="18"/>
          <w:color w:val="auto"/>
        </w:rPr>
      </w:pPr>
    </w:p>
    <w:p>
      <w:pPr>
        <w:ind w:left="436" w:right="180" w:hanging="436"/>
        <w:spacing w:after="0" w:line="259" w:lineRule="auto"/>
        <w:tabs>
          <w:tab w:leader="none" w:pos="4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of Directors shall from time to time by resolution determine. The Company’s banking accounts shall be kept with such banker or bankers as the Board of Directors shall from time to time determine.</w:t>
      </w:r>
    </w:p>
    <w:p>
      <w:pPr>
        <w:spacing w:after="0" w:line="92" w:lineRule="exact"/>
        <w:rPr>
          <w:rFonts w:ascii="Arial" w:cs="Arial" w:eastAsia="Arial" w:hAnsi="Arial"/>
          <w:sz w:val="18"/>
          <w:szCs w:val="18"/>
          <w:color w:val="auto"/>
        </w:rPr>
      </w:pPr>
    </w:p>
    <w:p>
      <w:pPr>
        <w:ind w:left="436" w:hanging="436"/>
        <w:spacing w:after="0"/>
        <w:tabs>
          <w:tab w:leader="none" w:pos="43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following actions require the resolution approved by a supermajority of at least two-thirds of the vote of Directors at the board meeting:-</w:t>
      </w:r>
    </w:p>
    <w:p>
      <w:pPr>
        <w:spacing w:after="0" w:line="142" w:lineRule="exact"/>
        <w:rPr>
          <w:rFonts w:ascii="Arial" w:cs="Arial" w:eastAsia="Arial" w:hAnsi="Arial"/>
          <w:sz w:val="17"/>
          <w:szCs w:val="17"/>
          <w:color w:val="auto"/>
        </w:rPr>
      </w:pPr>
    </w:p>
    <w:p>
      <w:pPr>
        <w:ind w:left="856" w:hanging="424"/>
        <w:spacing w:after="0"/>
        <w:tabs>
          <w:tab w:leader="none" w:pos="85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subject to Article 185(2), any voluntary dissolution or liquidation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109220</wp:posOffset>
            </wp:positionV>
            <wp:extent cx="848995" cy="9861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16"/>
          </w:cols>
          <w:pgMar w:left="444" w:top="274" w:right="439" w:bottom="1440" w:gutter="0" w:footer="0" w:header="0"/>
        </w:sectPr>
      </w:pPr>
    </w:p>
    <w:bookmarkStart w:id="225" w:name="page226"/>
    <w:bookmarkEnd w:id="225"/>
    <w:p>
      <w:pPr>
        <w:ind w:left="856" w:hanging="424"/>
        <w:spacing w:after="0"/>
        <w:tabs>
          <w:tab w:leader="none" w:pos="856"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of all or substantially all of the assets of the Company.</w:t>
      </w:r>
    </w:p>
    <w:p>
      <w:pPr>
        <w:spacing w:after="0" w:line="200" w:lineRule="exact"/>
        <w:rPr>
          <w:sz w:val="20"/>
          <w:szCs w:val="20"/>
          <w:color w:val="auto"/>
        </w:rPr>
      </w:pPr>
    </w:p>
    <w:p>
      <w:pPr>
        <w:spacing w:after="0" w:line="23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BORROWING POWERS OF DIRECTORS</w:t>
      </w:r>
    </w:p>
    <w:p>
      <w:pPr>
        <w:spacing w:after="0" w:line="256" w:lineRule="exact"/>
        <w:rPr>
          <w:sz w:val="20"/>
          <w:szCs w:val="20"/>
          <w:color w:val="auto"/>
        </w:rPr>
      </w:pPr>
    </w:p>
    <w:p>
      <w:pPr>
        <w:ind w:left="436" w:right="120" w:hanging="436"/>
        <w:spacing w:after="0" w:line="259" w:lineRule="auto"/>
        <w:tabs>
          <w:tab w:leader="none" w:pos="4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to any express limitations set out in the Participation Agreement, the Directors may exercise all the powers of the Company to borrow money and to mortgage or charge all or part of its undertaking, property and uncalled capital or any part thereof, and subject to the Law to issue debentures, debenture shares and other securities whenever money is borrowed or as security for any debt, liability or obligation of the Company or of any third party.</w:t>
      </w:r>
    </w:p>
    <w:p>
      <w:pPr>
        <w:spacing w:after="0" w:line="39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THE SEAL</w:t>
      </w:r>
    </w:p>
    <w:p>
      <w:pPr>
        <w:spacing w:after="0" w:line="135" w:lineRule="exact"/>
        <w:rPr>
          <w:sz w:val="20"/>
          <w:szCs w:val="20"/>
          <w:color w:val="auto"/>
        </w:rPr>
      </w:pPr>
    </w:p>
    <w:p>
      <w:pPr>
        <w:ind w:left="436" w:hanging="436"/>
        <w:spacing w:after="0" w:line="270" w:lineRule="auto"/>
        <w:tabs>
          <w:tab w:leader="none" w:pos="43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(1) The Company shall have one or more Seals, as the Board of Directors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of Directors may approve. The Board of Directors shall provide for the custody of each Seal and no Seal shall be used without the authority of the Board of Directors or of a committee of the Board of Directors authorised by the Board of Directors in that behalf. Subject as otherwise provided in these Articles, any instrument to which a Seal is affixed shall be signed autographically by one Director and the Secretary or by two Directors or by such other person (including a Director) or persons as the Board of Directors may appoint, either generally or in any particular case, save that as regards any certificates for shares or debentures or other securities of the Company the Board of Directors may by resolution determine that such signatures or either of them shall be dispensed with or affixed by some method or system of mechanical signature. Every instrument executed in any manner provided by this Article shall be deemed to be sealed and executed with the authority of the Board of Directors previously given.</w:t>
      </w:r>
    </w:p>
    <w:p>
      <w:pPr>
        <w:spacing w:after="0" w:line="69" w:lineRule="exact"/>
        <w:rPr>
          <w:rFonts w:ascii="Arial" w:cs="Arial" w:eastAsia="Arial" w:hAnsi="Arial"/>
          <w:sz w:val="17"/>
          <w:szCs w:val="17"/>
          <w:color w:val="auto"/>
        </w:rPr>
      </w:pPr>
    </w:p>
    <w:p>
      <w:pPr>
        <w:ind w:left="436"/>
        <w:spacing w:after="0" w:line="259" w:lineRule="auto"/>
        <w:rPr>
          <w:rFonts w:ascii="Arial" w:cs="Arial" w:eastAsia="Arial" w:hAnsi="Arial"/>
          <w:sz w:val="17"/>
          <w:szCs w:val="17"/>
          <w:color w:val="auto"/>
        </w:rPr>
      </w:pPr>
      <w:r>
        <w:rPr>
          <w:rFonts w:ascii="Arial" w:cs="Arial" w:eastAsia="Arial" w:hAnsi="Arial"/>
          <w:sz w:val="18"/>
          <w:szCs w:val="18"/>
          <w:color w:val="auto"/>
        </w:rPr>
        <w:t>(2) Where the Company has a Seal for use abroad, the Board of Directors may by writing under the Seal appoint any agent or committee abroad to be the duly authorised agent of the Company for the purpose of affixing and using such Seal and the Board of Directors may impose restrictions on the use thereof as may be thought fit. Wherever in these Articles reference is made to the Seal, the reference shall, when and so far as may be applicable, be deemed to include any such other Seal as aforesaid.</w:t>
      </w:r>
    </w:p>
    <w:p>
      <w:pPr>
        <w:spacing w:after="0" w:line="39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DISQUALIFICATION OF DIRECTORS</w:t>
      </w:r>
    </w:p>
    <w:p>
      <w:pPr>
        <w:spacing w:after="0" w:line="256" w:lineRule="exact"/>
        <w:rPr>
          <w:sz w:val="20"/>
          <w:szCs w:val="20"/>
          <w:color w:val="auto"/>
        </w:rPr>
      </w:pPr>
    </w:p>
    <w:p>
      <w:pPr>
        <w:jc w:val="both"/>
        <w:ind w:left="436" w:right="40" w:hanging="436"/>
        <w:spacing w:after="0" w:line="264" w:lineRule="auto"/>
        <w:tabs>
          <w:tab w:leader="none" w:pos="4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the number of Directors appointed by a person under Articles 96, 97, 100 or 101 is greater than the number of Directors entitled to be appointed by that person under the relevant Article, then that person shall, within two business days of ceasing to be so entitled, give notice to the Company removing that number of Directors in excess of its entitlement.</w:t>
      </w:r>
    </w:p>
    <w:p>
      <w:pPr>
        <w:spacing w:after="0" w:line="86" w:lineRule="exact"/>
        <w:rPr>
          <w:rFonts w:ascii="Arial" w:cs="Arial" w:eastAsia="Arial" w:hAnsi="Arial"/>
          <w:sz w:val="18"/>
          <w:szCs w:val="18"/>
          <w:color w:val="auto"/>
        </w:rPr>
      </w:pPr>
    </w:p>
    <w:p>
      <w:pPr>
        <w:ind w:left="436" w:right="420" w:hanging="436"/>
        <w:spacing w:after="0" w:line="342" w:lineRule="auto"/>
        <w:tabs>
          <w:tab w:leader="none" w:pos="43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any person to whom Article 127 applies does not give notice removing the required number of Directors within the period specified in that clause, any person entitled to appoint a Director under Articles 96, 97, 100 or 101 may give such a notice removing any such Directors.</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office of Director shall be vacated if:</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Director resigns his office by notice in writing to the Company;</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Director dies;</w:t>
      </w:r>
    </w:p>
    <w:p>
      <w:pPr>
        <w:spacing w:after="0" w:line="130" w:lineRule="exact"/>
        <w:rPr>
          <w:rFonts w:ascii="Arial" w:cs="Arial" w:eastAsia="Arial" w:hAnsi="Arial"/>
          <w:sz w:val="18"/>
          <w:szCs w:val="18"/>
          <w:color w:val="auto"/>
        </w:rPr>
      </w:pPr>
    </w:p>
    <w:p>
      <w:pPr>
        <w:ind w:left="856" w:right="700" w:hanging="424"/>
        <w:spacing w:after="0" w:line="308" w:lineRule="auto"/>
        <w:tabs>
          <w:tab w:leader="none" w:pos="856"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an order is made by any competent court or official on the grounds that a Director is or may be suffering from mental disorder or is otherwise incapable of managing his affairs and a majority of the Directors resolve that his office be vacated;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59055</wp:posOffset>
            </wp:positionV>
            <wp:extent cx="848995" cy="9861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96"/>
          </w:cols>
          <w:pgMar w:left="444" w:top="274" w:right="459" w:bottom="1440" w:gutter="0" w:footer="0" w:header="0"/>
        </w:sectPr>
      </w:pPr>
    </w:p>
    <w:bookmarkStart w:id="226" w:name="page227"/>
    <w:bookmarkEnd w:id="226"/>
    <w:p>
      <w:pPr>
        <w:ind w:left="856" w:right="340" w:hanging="424"/>
        <w:spacing w:after="0" w:line="277" w:lineRule="auto"/>
        <w:tabs>
          <w:tab w:leader="none" w:pos="856"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leave, a Director is absent from meetings of the Board of Directors (unless an alternate Director appointed by him attends in his place) for a continuous period of 6 months, and a majority of the Directors resolve that his office be vacated;</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Director becomes bankrupt or has a receiving order made against him or suspends payment or compounds with his creditors generally;</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Director ceases to be or is prohibited from being a Director by law or by virtue of any provisions in these Articles;</w:t>
      </w:r>
    </w:p>
    <w:p>
      <w:pPr>
        <w:spacing w:after="0" w:line="130" w:lineRule="exact"/>
        <w:rPr>
          <w:rFonts w:ascii="Arial" w:cs="Arial" w:eastAsia="Arial" w:hAnsi="Arial"/>
          <w:sz w:val="18"/>
          <w:szCs w:val="18"/>
          <w:color w:val="auto"/>
        </w:rPr>
      </w:pPr>
    </w:p>
    <w:p>
      <w:pPr>
        <w:ind w:left="856" w:right="160" w:hanging="424"/>
        <w:spacing w:after="0" w:line="286" w:lineRule="auto"/>
        <w:tabs>
          <w:tab w:leader="none" w:pos="85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 Director is removed from office by notice in writing served upon him signed by not less than a majority in number (or, if that is not a round number, the nearest lower round number) of the Directors (including himself) then in office; provided that a Director appointed by a Member may only be removed by that Member pursuant to Articles 96 through 103 and Articles 127 and 128; or</w:t>
      </w:r>
    </w:p>
    <w:p>
      <w:pPr>
        <w:spacing w:after="0" w:line="70" w:lineRule="exact"/>
        <w:rPr>
          <w:rFonts w:ascii="Arial" w:cs="Arial" w:eastAsia="Arial" w:hAnsi="Arial"/>
          <w:sz w:val="17"/>
          <w:szCs w:val="17"/>
          <w:color w:val="auto"/>
        </w:rPr>
      </w:pPr>
    </w:p>
    <w:p>
      <w:pPr>
        <w:ind w:left="856" w:hanging="424"/>
        <w:spacing w:after="0"/>
        <w:tabs>
          <w:tab w:leader="none" w:pos="85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Director is removed from office pursuant to Article 98 or 102.</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REGISTER OF DIRECTORS AND OFFICERS</w:t>
      </w:r>
    </w:p>
    <w:p>
      <w:pPr>
        <w:spacing w:after="0" w:line="256" w:lineRule="exact"/>
        <w:rPr>
          <w:sz w:val="20"/>
          <w:szCs w:val="20"/>
          <w:color w:val="auto"/>
        </w:rPr>
      </w:pPr>
    </w:p>
    <w:p>
      <w:pPr>
        <w:ind w:left="436" w:right="60" w:hanging="436"/>
        <w:spacing w:after="0" w:line="302" w:lineRule="auto"/>
        <w:tabs>
          <w:tab w:leader="none" w:pos="43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Company shall cause to be kept in one or more books at its Office a Register of Directors and Officers in which there shall be entered the full names and addresses of the Directors and Officers and such other particulars as required by the Law or as the Directors may determine. The Company shall send to the Registrar of Companies in the Cayman Islands a copy of such register, and shall from time to time notify to the said Registrar of Companies of any change that takes place in relation to such Directors and Officers as required by the Law.</w:t>
      </w:r>
    </w:p>
    <w:p>
      <w:pPr>
        <w:spacing w:after="0" w:line="366"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PROCEEDINGS OF DIRECTORS</w:t>
      </w:r>
    </w:p>
    <w:p>
      <w:pPr>
        <w:spacing w:after="0" w:line="256" w:lineRule="exact"/>
        <w:rPr>
          <w:sz w:val="20"/>
          <w:szCs w:val="20"/>
          <w:color w:val="auto"/>
        </w:rPr>
      </w:pPr>
    </w:p>
    <w:p>
      <w:pPr>
        <w:ind w:left="436" w:hanging="436"/>
        <w:spacing w:after="0" w:line="302" w:lineRule="auto"/>
        <w:tabs>
          <w:tab w:leader="none" w:pos="43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Directors may meet together (either within or outside the Cayman Islands) to conduct business, adjourn, and otherwise regulate their meetings and proceedings as they think fit. Questions arising at any meeting shall be decided by a majority of votes. In case of an equality of votes the Chairman shall have a second casting vote. A Director may, and a Secretary or Assistant Secretary on the requisition of a Director shall, at any time summon a meeting of the Directors by at least two clear days’ notice in writing to every other Director, alternate Director and Observer.</w:t>
      </w:r>
    </w:p>
    <w:p>
      <w:pPr>
        <w:spacing w:after="0" w:line="59" w:lineRule="exact"/>
        <w:rPr>
          <w:rFonts w:ascii="Arial" w:cs="Arial" w:eastAsia="Arial" w:hAnsi="Arial"/>
          <w:sz w:val="16"/>
          <w:szCs w:val="16"/>
          <w:color w:val="auto"/>
        </w:rPr>
      </w:pPr>
    </w:p>
    <w:p>
      <w:pPr>
        <w:ind w:left="436" w:right="380" w:hanging="436"/>
        <w:spacing w:after="0" w:line="312" w:lineRule="auto"/>
        <w:tabs>
          <w:tab w:leader="none" w:pos="43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w:t>
      </w:r>
    </w:p>
    <w:p>
      <w:pPr>
        <w:spacing w:after="0" w:line="52" w:lineRule="exact"/>
        <w:rPr>
          <w:rFonts w:ascii="Arial" w:cs="Arial" w:eastAsia="Arial" w:hAnsi="Arial"/>
          <w:sz w:val="16"/>
          <w:szCs w:val="16"/>
          <w:color w:val="auto"/>
        </w:rPr>
      </w:pPr>
    </w:p>
    <w:p>
      <w:pPr>
        <w:ind w:left="436" w:right="40" w:hanging="436"/>
        <w:spacing w:after="0" w:line="273" w:lineRule="auto"/>
        <w:tabs>
          <w:tab w:leader="none" w:pos="43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quorum necessary for the transaction of the business of the Directors shall be no less than a majority in number (or, if that is not a round number, the nearest lower round number) of the Directors entitled to vote at the meeting. Where a Director has appointed an alternate Director in accordance with Article 111 in respect of any Affected Meeting, the alternate Director shall be counted in place of the Appointing Director for the purposes of determining whether or not a quorum is present at the Affected Meeting. Any Director may attend a meeting acting for himself and as an alternate for any other Director(s) and in such circumstances in calculating the quorum, that Director shall be counted in his personal capacity and for each such alternate appointment.</w:t>
      </w:r>
    </w:p>
    <w:p>
      <w:pPr>
        <w:spacing w:after="0" w:line="83" w:lineRule="exact"/>
        <w:rPr>
          <w:rFonts w:ascii="Arial" w:cs="Arial" w:eastAsia="Arial" w:hAnsi="Arial"/>
          <w:sz w:val="17"/>
          <w:szCs w:val="17"/>
          <w:color w:val="auto"/>
        </w:rPr>
      </w:pPr>
    </w:p>
    <w:p>
      <w:pPr>
        <w:ind w:left="436" w:right="20" w:hanging="436"/>
        <w:spacing w:after="0" w:line="293" w:lineRule="auto"/>
        <w:tabs>
          <w:tab w:leader="none" w:pos="43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Director who is in any way, whether directly or indirectly, interested in a contract or proposed contract with the Company shall declare the nature of his interest at a meeting of the Directors. A general notice given to the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A Director may be counted in the quorum at any meeting of the Directors at which any such contract or proposed contract or arrangement shall come before the meeting for consideration and may vote in respect of any contract or proposed contract or arrangement notwithstanding that he may be interested therein and if he does so his vote shall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71120</wp:posOffset>
            </wp:positionV>
            <wp:extent cx="848995" cy="9861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96"/>
          </w:cols>
          <w:pgMar w:left="444" w:top="274" w:right="459" w:bottom="1440" w:gutter="0" w:footer="0" w:header="0"/>
        </w:sectPr>
      </w:pPr>
    </w:p>
    <w:bookmarkStart w:id="227" w:name="page228"/>
    <w:bookmarkEnd w:id="227"/>
    <w:p>
      <w:pPr>
        <w:ind w:left="436" w:hanging="436"/>
        <w:spacing w:after="0" w:line="289" w:lineRule="auto"/>
        <w:tabs>
          <w:tab w:leader="none" w:pos="4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Director may hold any other office, position or place of profit with the Company (other than the office of auditor) in conjunction with his office of Director for such period and, subject to Article 134, on such terms (as to remuneration and otherwise) as the Directors may determine and no Director or intending Director shall be disqualified from holding office by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is to be appointed to hold any such office, position or place of profit with the Company or whereat the terms of any such appointment are to be approved or arranged and he may vote on any such appointment or arrangement.</w:t>
      </w:r>
    </w:p>
    <w:p>
      <w:pPr>
        <w:spacing w:after="0" w:line="72" w:lineRule="exact"/>
        <w:rPr>
          <w:rFonts w:ascii="Arial" w:cs="Arial" w:eastAsia="Arial" w:hAnsi="Arial"/>
          <w:sz w:val="16"/>
          <w:szCs w:val="16"/>
          <w:color w:val="auto"/>
        </w:rPr>
      </w:pPr>
    </w:p>
    <w:p>
      <w:pPr>
        <w:ind w:left="436" w:right="160" w:hanging="436"/>
        <w:spacing w:after="0" w:line="264" w:lineRule="auto"/>
        <w:tabs>
          <w:tab w:leader="none" w:pos="4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86" w:lineRule="exact"/>
        <w:rPr>
          <w:rFonts w:ascii="Arial" w:cs="Arial" w:eastAsia="Arial" w:hAnsi="Arial"/>
          <w:sz w:val="18"/>
          <w:szCs w:val="18"/>
          <w:color w:val="auto"/>
        </w:rPr>
      </w:pPr>
    </w:p>
    <w:p>
      <w:pPr>
        <w:ind w:left="436" w:hanging="436"/>
        <w:spacing w:after="0" w:line="342" w:lineRule="auto"/>
        <w:tabs>
          <w:tab w:leader="none" w:pos="4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Any Director who ceases to be a Director at a Board of Directors meeting may continue to be present and to act as a Director and be counted in the quorum until the termination of such Board meeting if no other Director objects and if otherwise a quorum of Directors would not be present.</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Directors shall cause minutes to be made in books or loose-leaf folders provided for the purpose of recording:</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appointments of officers made by the Directors;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names of the Directors present at each meeting of the Directors and of any committee of the Directors;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resolutions and proceedings at all meetings of the Company, and of the Directors and of committees of Directors.</w:t>
      </w:r>
    </w:p>
    <w:p>
      <w:pPr>
        <w:spacing w:after="0" w:line="130" w:lineRule="exact"/>
        <w:rPr>
          <w:rFonts w:ascii="Arial" w:cs="Arial" w:eastAsia="Arial" w:hAnsi="Arial"/>
          <w:sz w:val="18"/>
          <w:szCs w:val="18"/>
          <w:color w:val="auto"/>
        </w:rPr>
      </w:pPr>
    </w:p>
    <w:p>
      <w:pPr>
        <w:ind w:left="436" w:right="800" w:hanging="436"/>
        <w:spacing w:after="0" w:line="342" w:lineRule="auto"/>
        <w:tabs>
          <w:tab w:leader="none" w:pos="4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29" w:lineRule="exact"/>
        <w:rPr>
          <w:rFonts w:ascii="Arial" w:cs="Arial" w:eastAsia="Arial" w:hAnsi="Arial"/>
          <w:sz w:val="16"/>
          <w:szCs w:val="16"/>
          <w:color w:val="auto"/>
        </w:rPr>
      </w:pPr>
    </w:p>
    <w:p>
      <w:pPr>
        <w:ind w:left="436" w:right="60" w:hanging="436"/>
        <w:spacing w:after="0" w:line="259" w:lineRule="auto"/>
        <w:tabs>
          <w:tab w:leader="none" w:pos="4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resolution in writing signed by (i) all the Directors (except those who have appointed an alternate Director in accordance with Article 111, if any), and (ii) all the alternate Directors appointed in accordance with Article 111, if any, shall be as valid and effectual as if it had been passed at a meeting of the Directors duly called and constituted. When signed a resolution may consist of several documents each signed by one or more of the Directors.</w:t>
      </w:r>
    </w:p>
    <w:p>
      <w:pPr>
        <w:spacing w:after="0" w:line="92" w:lineRule="exact"/>
        <w:rPr>
          <w:rFonts w:ascii="Arial" w:cs="Arial" w:eastAsia="Arial" w:hAnsi="Arial"/>
          <w:sz w:val="18"/>
          <w:szCs w:val="18"/>
          <w:color w:val="auto"/>
        </w:rPr>
      </w:pPr>
    </w:p>
    <w:p>
      <w:pPr>
        <w:ind w:left="436" w:right="260" w:hanging="436"/>
        <w:spacing w:after="0" w:line="264" w:lineRule="auto"/>
        <w:tabs>
          <w:tab w:leader="none" w:pos="4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in their body but if and so long as their number is reduced below the number fixed by or pursuant to these Articles as the minimum number of Directors, the continuing Director(s) may act for the purpose of increasing the number of Directors, or of summoning a general meeting of the Company, but for no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81280</wp:posOffset>
            </wp:positionV>
            <wp:extent cx="848995" cy="9861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16"/>
          </w:cols>
          <w:pgMar w:left="444" w:top="274" w:right="439" w:bottom="1440" w:gutter="0" w:footer="0" w:header="0"/>
        </w:sectPr>
      </w:pPr>
    </w:p>
    <w:bookmarkStart w:id="228" w:name="page229"/>
    <w:bookmarkEnd w:id="228"/>
    <w:p>
      <w:pPr>
        <w:ind w:left="436" w:right="40" w:hanging="436"/>
        <w:spacing w:after="0" w:line="264" w:lineRule="auto"/>
        <w:tabs>
          <w:tab w:leader="none" w:pos="4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any regulations imposed on it by the Directors, a committee appointed by the Directors may elect a chairman of its meetings. If no such chairman is elected, or if at any meeting the chairman is not present within half an hour after the time appointed for holding the meeting, the members present may choose one of their number to be chairman of the meeting.</w:t>
      </w:r>
    </w:p>
    <w:p>
      <w:pPr>
        <w:spacing w:after="0" w:line="86" w:lineRule="exact"/>
        <w:rPr>
          <w:rFonts w:ascii="Arial" w:cs="Arial" w:eastAsia="Arial" w:hAnsi="Arial"/>
          <w:sz w:val="18"/>
          <w:szCs w:val="18"/>
          <w:color w:val="auto"/>
        </w:rPr>
      </w:pPr>
    </w:p>
    <w:p>
      <w:pPr>
        <w:ind w:left="436" w:right="140" w:hanging="436"/>
        <w:spacing w:after="0" w:line="264" w:lineRule="auto"/>
        <w:tabs>
          <w:tab w:leader="none" w:pos="4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86" w:lineRule="exact"/>
        <w:rPr>
          <w:rFonts w:ascii="Arial" w:cs="Arial" w:eastAsia="Arial" w:hAnsi="Arial"/>
          <w:sz w:val="18"/>
          <w:szCs w:val="18"/>
          <w:color w:val="auto"/>
        </w:rPr>
      </w:pPr>
    </w:p>
    <w:p>
      <w:pPr>
        <w:jc w:val="both"/>
        <w:ind w:left="436" w:hanging="436"/>
        <w:spacing w:after="0" w:line="286" w:lineRule="auto"/>
        <w:tabs>
          <w:tab w:leader="none" w:pos="43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78"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PRESUMPTION OF ASSENT</w:t>
      </w:r>
    </w:p>
    <w:p>
      <w:pPr>
        <w:spacing w:after="0" w:line="256" w:lineRule="exact"/>
        <w:rPr>
          <w:sz w:val="20"/>
          <w:szCs w:val="20"/>
          <w:color w:val="auto"/>
        </w:rPr>
      </w:pPr>
    </w:p>
    <w:p>
      <w:pPr>
        <w:ind w:left="436" w:right="180" w:hanging="436"/>
        <w:spacing w:after="0" w:line="257" w:lineRule="auto"/>
        <w:tabs>
          <w:tab w:leader="none" w:pos="43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promptly after the adjournment of the meeting. Such right to dissent shall not apply to a Director who voted in favour of such action.</w:t>
      </w:r>
    </w:p>
    <w:p>
      <w:pPr>
        <w:spacing w:after="0" w:line="40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DIVIDENDS, DISTRIBUTIONS AND RESERVE</w:t>
      </w:r>
    </w:p>
    <w:p>
      <w:pPr>
        <w:spacing w:after="0" w:line="256" w:lineRule="exact"/>
        <w:rPr>
          <w:sz w:val="20"/>
          <w:szCs w:val="20"/>
          <w:color w:val="auto"/>
        </w:rPr>
      </w:pPr>
    </w:p>
    <w:p>
      <w:pPr>
        <w:ind w:left="436" w:right="140" w:hanging="436"/>
        <w:spacing w:after="0" w:line="264" w:lineRule="auto"/>
        <w:tabs>
          <w:tab w:leader="none" w:pos="43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Subject to Article 11(e) or Article 12(e) and any rights and restrictions for the time being attached to any class or classes of shares and these Articles, the Directors may from time to time declare dividends (including interim dividends) and other distributions on Class A Ordinary Shares in issue and authorise payment of the same out of the funds of the Company lawfully available therefor.</w:t>
      </w:r>
    </w:p>
    <w:p>
      <w:pPr>
        <w:spacing w:after="0" w:line="86" w:lineRule="exact"/>
        <w:rPr>
          <w:rFonts w:ascii="Arial" w:cs="Arial" w:eastAsia="Arial" w:hAnsi="Arial"/>
          <w:sz w:val="18"/>
          <w:szCs w:val="18"/>
          <w:color w:val="auto"/>
        </w:rPr>
      </w:pPr>
    </w:p>
    <w:p>
      <w:pPr>
        <w:ind w:left="436" w:right="40" w:hanging="436"/>
        <w:spacing w:after="0" w:line="257" w:lineRule="auto"/>
        <w:tabs>
          <w:tab w:leader="none" w:pos="43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Notice of any dividend that may have been declared shall be given to each Member holding Class A Ordinary Shares or Class B Ordinary Shares and all dividends unclaimed for one year after having been declared may be forfeited by resolution of the Directors for the benefit of the Company. For the avoidance of doubt, this Article 147 shall not require a separate or duplicate notice to be provided to a Member holding Class B Ordinary Shares to the extent such Member is already entitled to receive a substantially similar notice as a Participant under the Participant Agreement.</w:t>
      </w:r>
    </w:p>
    <w:p>
      <w:pPr>
        <w:spacing w:after="0" w:line="93" w:lineRule="exact"/>
        <w:rPr>
          <w:rFonts w:ascii="Arial" w:cs="Arial" w:eastAsia="Arial" w:hAnsi="Arial"/>
          <w:sz w:val="18"/>
          <w:szCs w:val="18"/>
          <w:color w:val="auto"/>
        </w:rPr>
      </w:pPr>
    </w:p>
    <w:p>
      <w:pPr>
        <w:ind w:left="436" w:right="80" w:hanging="436"/>
        <w:spacing w:after="0" w:line="257" w:lineRule="auto"/>
        <w:tabs>
          <w:tab w:leader="none" w:pos="43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Directors may, before recommending or declaring any dividend, set aside out of the funds legally available for distribution such sums as they think proper as a reserve or reserves which shall, at the discretion of the Directors be applicable for meeting contingencies, or for equalising dividends or for any other purpose to which those funds be properly applied and pending such application may, at the like discretion, either be employed in the business of the Company or be invested in such investments (other than shares of the Company) as the Directors may from time to time think fit.</w:t>
      </w:r>
    </w:p>
    <w:p>
      <w:pPr>
        <w:spacing w:after="0" w:line="93" w:lineRule="exact"/>
        <w:rPr>
          <w:rFonts w:ascii="Arial" w:cs="Arial" w:eastAsia="Arial" w:hAnsi="Arial"/>
          <w:sz w:val="18"/>
          <w:szCs w:val="18"/>
          <w:color w:val="auto"/>
        </w:rPr>
      </w:pPr>
    </w:p>
    <w:p>
      <w:pPr>
        <w:ind w:left="436" w:right="120" w:hanging="436"/>
        <w:spacing w:after="0" w:line="302" w:lineRule="auto"/>
        <w:tabs>
          <w:tab w:leader="none" w:pos="43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dividend may be paid by cheque sent through the post to the registered address of the Member or person entitled thereto, or in the case of joint holders, to any one of such joint holders at his registered address or to such person and such address as the Member or person entitled, or such joint holders as the case may be, may direct. Every such cheque shall be made payable to the order of the person to whom it is sent or to the order of such other person as the Member or person entitled, or such joint holders as the case may be, may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64135</wp:posOffset>
            </wp:positionV>
            <wp:extent cx="848995" cy="9861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96"/>
          </w:cols>
          <w:pgMar w:left="444" w:top="274" w:right="459" w:bottom="1440" w:gutter="0" w:footer="0" w:header="0"/>
        </w:sectPr>
      </w:pPr>
    </w:p>
    <w:bookmarkStart w:id="229" w:name="page230"/>
    <w:bookmarkEnd w:id="229"/>
    <w:p>
      <w:pPr>
        <w:ind w:left="440" w:right="280" w:hanging="436"/>
        <w:spacing w:after="0" w:line="277" w:lineRule="auto"/>
        <w:tabs>
          <w:tab w:leader="none" w:pos="4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when paying dividends to the Members in accordance with the foregoing provisions may make such payment either in cash or in specie.</w:t>
      </w:r>
    </w:p>
    <w:p>
      <w:pPr>
        <w:spacing w:after="0" w:line="75" w:lineRule="exact"/>
        <w:rPr>
          <w:rFonts w:ascii="Arial" w:cs="Arial" w:eastAsia="Arial" w:hAnsi="Arial"/>
          <w:sz w:val="18"/>
          <w:szCs w:val="18"/>
          <w:color w:val="auto"/>
        </w:rPr>
      </w:pPr>
    </w:p>
    <w:p>
      <w:pPr>
        <w:ind w:left="440" w:right="140" w:hanging="436"/>
        <w:spacing w:after="0" w:line="259" w:lineRule="auto"/>
        <w:tabs>
          <w:tab w:leader="none" w:pos="4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Subject to any rights and restrictions for the time being attached to any class or classes of shares, all dividends shall be declared and paid according to the amounts paid on the shares, but if and so long as nothing is paid up on any of the shares in the Company dividends may be declared and paid according to the par value of the shares. No amount paid on a share in advance of calls shall, while carrying interest, be treated for the purposes of this Article as paid on the share.</w:t>
      </w:r>
    </w:p>
    <w:p>
      <w:pPr>
        <w:spacing w:after="0" w:line="92" w:lineRule="exact"/>
        <w:rPr>
          <w:rFonts w:ascii="Arial" w:cs="Arial" w:eastAsia="Arial" w:hAnsi="Arial"/>
          <w:sz w:val="18"/>
          <w:szCs w:val="18"/>
          <w:color w:val="auto"/>
        </w:rPr>
      </w:pPr>
    </w:p>
    <w:p>
      <w:pPr>
        <w:ind w:left="440" w:right="20" w:hanging="436"/>
        <w:spacing w:after="0" w:line="277" w:lineRule="auto"/>
        <w:tabs>
          <w:tab w:leader="none" w:pos="4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of them may give effectual receipts for any dividend or other moneys payable on or in respect of the share.</w:t>
      </w:r>
    </w:p>
    <w:p>
      <w:pPr>
        <w:spacing w:after="0" w:line="62" w:lineRule="exact"/>
        <w:rPr>
          <w:rFonts w:ascii="Arial" w:cs="Arial" w:eastAsia="Arial" w:hAnsi="Arial"/>
          <w:sz w:val="18"/>
          <w:szCs w:val="18"/>
          <w:color w:val="auto"/>
        </w:rPr>
      </w:pPr>
    </w:p>
    <w:p>
      <w:pPr>
        <w:ind w:left="360" w:hanging="356"/>
        <w:spacing w:after="0"/>
        <w:tabs>
          <w:tab w:leader="none" w:pos="3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 dividend or other moneys payable by the Company on or in respect of any share shall bear interest against the Company.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 OF ACCOUNTS</w:t>
      </w:r>
    </w:p>
    <w:p>
      <w:pPr>
        <w:spacing w:after="0" w:line="256" w:lineRule="exact"/>
        <w:rPr>
          <w:sz w:val="20"/>
          <w:szCs w:val="20"/>
          <w:color w:val="auto"/>
        </w:rPr>
      </w:pPr>
    </w:p>
    <w:p>
      <w:pPr>
        <w:ind w:left="440" w:hanging="436"/>
        <w:spacing w:after="0"/>
        <w:tabs>
          <w:tab w:leader="none" w:pos="4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books of account relating to the Company’s affairs shall be kept in such manner as may be determined from time to time by the Directors.</w:t>
      </w:r>
    </w:p>
    <w:p>
      <w:pPr>
        <w:spacing w:after="0" w:line="153" w:lineRule="exact"/>
        <w:rPr>
          <w:rFonts w:ascii="Arial" w:cs="Arial" w:eastAsia="Arial" w:hAnsi="Arial"/>
          <w:sz w:val="16"/>
          <w:szCs w:val="16"/>
          <w:color w:val="auto"/>
        </w:rPr>
      </w:pPr>
    </w:p>
    <w:p>
      <w:pPr>
        <w:ind w:left="440" w:right="680" w:hanging="436"/>
        <w:spacing w:after="0" w:line="277" w:lineRule="auto"/>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books of account shall be kept at the Office, or at such other place or places as the Directors think fit, and shall always be open to the inspection of the Directors.</w:t>
      </w:r>
    </w:p>
    <w:p>
      <w:pPr>
        <w:spacing w:after="0" w:line="75" w:lineRule="exact"/>
        <w:rPr>
          <w:rFonts w:ascii="Arial" w:cs="Arial" w:eastAsia="Arial" w:hAnsi="Arial"/>
          <w:sz w:val="18"/>
          <w:szCs w:val="18"/>
          <w:color w:val="auto"/>
        </w:rPr>
      </w:pPr>
    </w:p>
    <w:p>
      <w:pPr>
        <w:ind w:left="440" w:right="20" w:hanging="436"/>
        <w:spacing w:after="0" w:line="259" w:lineRule="auto"/>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law or authorised by the Directors or by the Company by Ordinary Resolution.</w:t>
      </w:r>
    </w:p>
    <w:p>
      <w:pPr>
        <w:spacing w:after="0" w:line="92" w:lineRule="exact"/>
        <w:rPr>
          <w:rFonts w:ascii="Arial" w:cs="Arial" w:eastAsia="Arial" w:hAnsi="Arial"/>
          <w:sz w:val="18"/>
          <w:szCs w:val="18"/>
          <w:color w:val="auto"/>
        </w:rPr>
      </w:pPr>
    </w:p>
    <w:p>
      <w:pPr>
        <w:ind w:left="440" w:right="140" w:hanging="436"/>
        <w:spacing w:after="0" w:line="277" w:lineRule="auto"/>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RETURNS AND FILINGS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158.  The Board shall make the requisite annual returns and any other requisite filings in accordance with the Law.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w:t>
      </w:r>
    </w:p>
    <w:p>
      <w:pPr>
        <w:spacing w:after="0" w:line="256" w:lineRule="exact"/>
        <w:rPr>
          <w:sz w:val="20"/>
          <w:szCs w:val="20"/>
          <w:color w:val="auto"/>
        </w:rPr>
      </w:pPr>
    </w:p>
    <w:p>
      <w:pPr>
        <w:ind w:left="440" w:hanging="436"/>
        <w:spacing w:after="0" w:line="277"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Directors may appoint an auditor of the Company who shall hold office until removed from office by a resolution of the Directors and may fix his or their remuneration.</w:t>
      </w:r>
    </w:p>
    <w:p>
      <w:pPr>
        <w:spacing w:after="0" w:line="75" w:lineRule="exact"/>
        <w:rPr>
          <w:rFonts w:ascii="Arial" w:cs="Arial" w:eastAsia="Arial" w:hAnsi="Arial"/>
          <w:sz w:val="18"/>
          <w:szCs w:val="18"/>
          <w:color w:val="auto"/>
        </w:rPr>
      </w:pPr>
    </w:p>
    <w:p>
      <w:pPr>
        <w:ind w:left="440" w:right="160" w:hanging="436"/>
        <w:spacing w:after="0" w:line="264"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86" w:lineRule="exact"/>
        <w:rPr>
          <w:rFonts w:ascii="Arial" w:cs="Arial" w:eastAsia="Arial" w:hAnsi="Arial"/>
          <w:sz w:val="18"/>
          <w:szCs w:val="18"/>
          <w:color w:val="auto"/>
        </w:rPr>
      </w:pPr>
    </w:p>
    <w:p>
      <w:pPr>
        <w:ind w:left="440" w:right="160" w:hanging="436"/>
        <w:spacing w:after="0" w:line="264"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81280</wp:posOffset>
            </wp:positionV>
            <wp:extent cx="848995" cy="9861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230" w:name="page231"/>
    <w:bookmarkEnd w:id="230"/>
    <w:p>
      <w:pPr>
        <w:ind w:left="440" w:right="40" w:hanging="436"/>
        <w:spacing w:after="0" w:line="277" w:lineRule="auto"/>
        <w:tabs>
          <w:tab w:leader="none" w:pos="4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in each year shall prepare, or cause to be prepared, an annual return and declaration setting forth the particulars required by the Law and deliver a copy thereof to the Registrar of Companies in the Cayman Islands.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AND AGENTS</w:t>
      </w:r>
    </w:p>
    <w:p>
      <w:pPr>
        <w:spacing w:after="0" w:line="256" w:lineRule="exact"/>
        <w:rPr>
          <w:sz w:val="20"/>
          <w:szCs w:val="20"/>
          <w:color w:val="auto"/>
        </w:rPr>
      </w:pPr>
    </w:p>
    <w:p>
      <w:pPr>
        <w:ind w:left="440" w:right="20" w:hanging="436"/>
        <w:spacing w:after="0" w:line="259"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Subject to Article 117, the Company may have a Chief Executive Officer, one or more Vice Presidents and Chief Financial Officer, President, a Secretary or Secretary-Treasurer appointed by the Directors. The Directors may also from time to time appoint such other officers as they consider necessary, all for such terms, at such remuneration and to perform such duties, and subject to such provisions as to disqualification and removal as the Directors from time to time decide.</w:t>
      </w:r>
    </w:p>
    <w:p>
      <w:pPr>
        <w:spacing w:after="0" w:line="92" w:lineRule="exact"/>
        <w:rPr>
          <w:rFonts w:ascii="Arial" w:cs="Arial" w:eastAsia="Arial" w:hAnsi="Arial"/>
          <w:sz w:val="18"/>
          <w:szCs w:val="18"/>
          <w:color w:val="auto"/>
        </w:rPr>
      </w:pPr>
    </w:p>
    <w:p>
      <w:pPr>
        <w:ind w:left="440" w:hanging="436"/>
        <w:spacing w:after="0" w:line="255"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Officers shall perform such duties as are prescribed at the time of their appointment subject to any modification in such duties as may be prescribed thereafter by resolution of the Directors. In the absence of any specific prescription of duties it shall be the responsibility of the Chairman of the Board to preside at meetings of directors and general meetings, the president to manage the day to day affairs of the Company, the vice-presidents to act in order of seniority in the absence of the president but otherwise to perform such duties as may be delegated to them by the president, the secretaries to maintain the Register, minute books and records (other than financial records) of the Company and to ensure compliance with all procedural requirements imposed on the Company by applicable law, and the treasurer to be responsible for the financial affairs of the Company.</w:t>
      </w:r>
    </w:p>
    <w:p>
      <w:pPr>
        <w:spacing w:after="0" w:line="94" w:lineRule="exact"/>
        <w:rPr>
          <w:rFonts w:ascii="Arial" w:cs="Arial" w:eastAsia="Arial" w:hAnsi="Arial"/>
          <w:sz w:val="18"/>
          <w:szCs w:val="18"/>
          <w:color w:val="auto"/>
        </w:rPr>
      </w:pPr>
    </w:p>
    <w:p>
      <w:pPr>
        <w:ind w:left="440" w:right="120" w:hanging="436"/>
        <w:spacing w:after="0" w:line="264"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officers of the Company shall hold office until their successors are duly appointed, but any officer elected or appointed by the directors may be removed at any time, with or without cause, by resolution of the Directors. Any vacancy occurring in any office of the Company may be filled by resolution of the Directors.</w:t>
      </w:r>
    </w:p>
    <w:p>
      <w:pPr>
        <w:spacing w:after="0" w:line="86" w:lineRule="exact"/>
        <w:rPr>
          <w:rFonts w:ascii="Arial" w:cs="Arial" w:eastAsia="Arial" w:hAnsi="Arial"/>
          <w:sz w:val="18"/>
          <w:szCs w:val="18"/>
          <w:color w:val="auto"/>
        </w:rPr>
      </w:pPr>
    </w:p>
    <w:p>
      <w:pPr>
        <w:ind w:left="440" w:right="100" w:hanging="436"/>
        <w:spacing w:after="0" w:line="297" w:lineRule="auto"/>
        <w:tabs>
          <w:tab w:leader="none" w:pos="4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directors may, by a resolution of the Directors, appoint any person, including a person who is a director, to be an agent of the Company. An agent of the Company shall have such powers and authority of the directors, including the power and authority to affix the Seal, as are set forth in the Articles or in the resolution of the Directors appointing the agent. The resolution of the Directors appointing an agent may authorise the agent to appoint one or more substitutes or delegates to exercise some or all of the powers conferred on the agent by the Company. The Directors may by resolution of the Directors remove an agent appointed by the Company and may revoke or vary a power conferred on him.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OF INTERESTS</w:t>
      </w:r>
    </w:p>
    <w:p>
      <w:pPr>
        <w:spacing w:after="0" w:line="256" w:lineRule="exact"/>
        <w:rPr>
          <w:sz w:val="20"/>
          <w:szCs w:val="20"/>
          <w:color w:val="auto"/>
        </w:rPr>
      </w:pPr>
    </w:p>
    <w:p>
      <w:pPr>
        <w:ind w:left="440" w:right="100" w:hanging="436"/>
        <w:spacing w:after="0" w:line="277" w:lineRule="auto"/>
        <w:tabs>
          <w:tab w:leader="none" w:pos="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Director of the Company shall, forthwith after becoming aware of the fact that he is interested in a transaction entered into or to be entered into by the Company, disclose the interest to all other Directors of the Company.</w:t>
      </w:r>
    </w:p>
    <w:p>
      <w:pPr>
        <w:spacing w:after="0" w:line="75" w:lineRule="exact"/>
        <w:rPr>
          <w:rFonts w:ascii="Arial" w:cs="Arial" w:eastAsia="Arial" w:hAnsi="Arial"/>
          <w:sz w:val="18"/>
          <w:szCs w:val="18"/>
          <w:color w:val="auto"/>
        </w:rPr>
      </w:pPr>
    </w:p>
    <w:p>
      <w:pPr>
        <w:jc w:val="both"/>
        <w:ind w:left="440" w:right="240" w:hanging="436"/>
        <w:spacing w:after="0" w:line="259" w:lineRule="auto"/>
        <w:tabs>
          <w:tab w:leader="none" w:pos="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the purposes of Article 167, a disclosure to all other Directors to the effect that a Director is a member, director or officer of another named entity or has a fiduciary relationship with respect to the entity or a named individual and is to be regarded as interested in any transaction which may, after the date of the entry or disclosure, be entered into with that entity or individual, is a sufficient disclosure of interest in relation to that transaction.</w:t>
      </w:r>
    </w:p>
    <w:p>
      <w:pPr>
        <w:spacing w:after="0" w:line="92" w:lineRule="exact"/>
        <w:rPr>
          <w:rFonts w:ascii="Arial" w:cs="Arial" w:eastAsia="Arial" w:hAnsi="Arial"/>
          <w:sz w:val="18"/>
          <w:szCs w:val="18"/>
          <w:color w:val="auto"/>
        </w:rPr>
      </w:pPr>
    </w:p>
    <w:p>
      <w:pPr>
        <w:ind w:left="440" w:right="480" w:hanging="436"/>
        <w:spacing w:after="0" w:line="277" w:lineRule="auto"/>
        <w:tabs>
          <w:tab w:leader="none" w:pos="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Subject to compliance with Article 167 and Article 134, a Director who is interested in a transaction entered into or to be entered into by the Company may:</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vote on a matter relating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109220</wp:posOffset>
            </wp:positionV>
            <wp:extent cx="848995" cy="9861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231" w:name="page232"/>
    <w:bookmarkEnd w:id="231"/>
    <w:p>
      <w:pPr>
        <w:ind w:left="1416" w:right="240" w:hanging="538"/>
        <w:spacing w:after="0" w:line="277" w:lineRule="auto"/>
        <w:tabs>
          <w:tab w:leader="none" w:pos="1416"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attend a meeting of directors at which a matter relating to the transaction arises and be included among the directors present at the meeting for the purposes of a quorum; and</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sign a document on behalf of the Company, or do any other thing in his capacity as a Director, that relates to the transaction,</w:t>
      </w:r>
    </w:p>
    <w:p>
      <w:pPr>
        <w:spacing w:after="0" w:line="129" w:lineRule="exact"/>
        <w:rPr>
          <w:sz w:val="20"/>
          <w:szCs w:val="20"/>
          <w:color w:val="auto"/>
        </w:rPr>
      </w:pPr>
    </w:p>
    <w:p>
      <w:pPr>
        <w:ind w:left="436" w:right="200"/>
        <w:spacing w:after="0" w:line="277" w:lineRule="auto"/>
        <w:rPr>
          <w:sz w:val="20"/>
          <w:szCs w:val="20"/>
          <w:color w:val="auto"/>
        </w:rPr>
      </w:pPr>
      <w:r>
        <w:rPr>
          <w:rFonts w:ascii="Arial" w:cs="Arial" w:eastAsia="Arial" w:hAnsi="Arial"/>
          <w:sz w:val="18"/>
          <w:szCs w:val="18"/>
          <w:color w:val="auto"/>
        </w:rPr>
        <w:t>and, subject to compliance with the Law shall not, by reason of his office be accountable to the Company for any benefit which he derives from such transaction and no such transaction shall be liable to be avoided on the grounds of any such interest or benefit.</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CAPITALISATION OF RESERVES</w:t>
      </w:r>
    </w:p>
    <w:p>
      <w:pPr>
        <w:spacing w:after="0" w:line="256" w:lineRule="exact"/>
        <w:rPr>
          <w:sz w:val="20"/>
          <w:szCs w:val="20"/>
          <w:color w:val="auto"/>
        </w:rPr>
      </w:pPr>
    </w:p>
    <w:p>
      <w:pPr>
        <w:ind w:left="436" w:hanging="436"/>
        <w:spacing w:after="0"/>
        <w:tabs>
          <w:tab w:leader="none" w:pos="43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Subject to the Law and these Articles, the Directors may:</w:t>
      </w:r>
    </w:p>
    <w:p>
      <w:pPr>
        <w:spacing w:after="0" w:line="130" w:lineRule="exact"/>
        <w:rPr>
          <w:rFonts w:ascii="Arial" w:cs="Arial" w:eastAsia="Arial" w:hAnsi="Arial"/>
          <w:sz w:val="18"/>
          <w:szCs w:val="18"/>
          <w:color w:val="auto"/>
        </w:rPr>
      </w:pPr>
    </w:p>
    <w:p>
      <w:pPr>
        <w:ind w:left="856" w:right="140" w:hanging="424"/>
        <w:spacing w:after="0" w:line="277" w:lineRule="auto"/>
        <w:tabs>
          <w:tab w:leader="none" w:pos="85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resolve to capitalise an amount standing to the credit of reserves (including a share premium account, capital redemption reserve and profit and loss account), whether or not available for distribution;</w:t>
      </w:r>
    </w:p>
    <w:p>
      <w:pPr>
        <w:spacing w:after="0" w:line="75" w:lineRule="exact"/>
        <w:rPr>
          <w:rFonts w:ascii="Arial" w:cs="Arial" w:eastAsia="Arial" w:hAnsi="Arial"/>
          <w:sz w:val="18"/>
          <w:szCs w:val="18"/>
          <w:color w:val="auto"/>
        </w:rPr>
      </w:pPr>
    </w:p>
    <w:p>
      <w:pPr>
        <w:ind w:left="856" w:hanging="424"/>
        <w:spacing w:after="0" w:line="277" w:lineRule="auto"/>
        <w:tabs>
          <w:tab w:leader="none" w:pos="85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appropriate the sum resolved to be capitalised to the Members in proportion to the nominal amount of shares (whether or not fully paid) held by them respectively and apply that sum on their behalf in or towards:</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2"/>
          <w:numId w:val="221"/>
        </w:numPr>
        <w:rPr>
          <w:rFonts w:ascii="Arial" w:cs="Arial" w:eastAsia="Arial" w:hAnsi="Arial"/>
          <w:sz w:val="18"/>
          <w:szCs w:val="18"/>
          <w:color w:val="auto"/>
        </w:rPr>
      </w:pPr>
      <w:r>
        <w:rPr>
          <w:rFonts w:ascii="Arial" w:cs="Arial" w:eastAsia="Arial" w:hAnsi="Arial"/>
          <w:sz w:val="18"/>
          <w:szCs w:val="18"/>
          <w:color w:val="auto"/>
        </w:rPr>
        <w:t>paying up the amounts (if any) for the time being unpaid on shares held by them respectively; or</w:t>
      </w:r>
    </w:p>
    <w:p>
      <w:pPr>
        <w:spacing w:after="0" w:line="130" w:lineRule="exact"/>
        <w:rPr>
          <w:rFonts w:ascii="Arial" w:cs="Arial" w:eastAsia="Arial" w:hAnsi="Arial"/>
          <w:sz w:val="18"/>
          <w:szCs w:val="18"/>
          <w:color w:val="auto"/>
        </w:rPr>
      </w:pPr>
    </w:p>
    <w:p>
      <w:pPr>
        <w:ind w:left="1416" w:hanging="538"/>
        <w:spacing w:after="0"/>
        <w:tabs>
          <w:tab w:leader="none" w:pos="1416" w:val="left"/>
        </w:tabs>
        <w:numPr>
          <w:ilvl w:val="2"/>
          <w:numId w:val="221"/>
        </w:numPr>
        <w:rPr>
          <w:rFonts w:ascii="Arial" w:cs="Arial" w:eastAsia="Arial" w:hAnsi="Arial"/>
          <w:sz w:val="18"/>
          <w:szCs w:val="18"/>
          <w:color w:val="auto"/>
        </w:rPr>
      </w:pPr>
      <w:r>
        <w:rPr>
          <w:rFonts w:ascii="Arial" w:cs="Arial" w:eastAsia="Arial" w:hAnsi="Arial"/>
          <w:sz w:val="18"/>
          <w:szCs w:val="18"/>
          <w:color w:val="auto"/>
        </w:rPr>
        <w:t>paying up in full unissued shares or debentures of a nominal amount equal to that sum,</w:t>
      </w:r>
    </w:p>
    <w:p>
      <w:pPr>
        <w:spacing w:after="0" w:line="117" w:lineRule="exact"/>
        <w:rPr>
          <w:sz w:val="20"/>
          <w:szCs w:val="20"/>
          <w:color w:val="auto"/>
        </w:rPr>
      </w:pPr>
    </w:p>
    <w:p>
      <w:pPr>
        <w:ind w:left="876" w:right="100"/>
        <w:spacing w:after="0" w:line="312" w:lineRule="auto"/>
        <w:rPr>
          <w:sz w:val="20"/>
          <w:szCs w:val="20"/>
          <w:color w:val="auto"/>
        </w:rPr>
      </w:pPr>
      <w:r>
        <w:rPr>
          <w:rFonts w:ascii="Arial" w:cs="Arial" w:eastAsia="Arial" w:hAnsi="Arial"/>
          <w:sz w:val="16"/>
          <w:szCs w:val="16"/>
          <w:color w:val="auto"/>
        </w:rPr>
        <w:t>and allot the shares or debentures, credited as fully paid, to the Members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pro rata to Members credited as fully paid;</w:t>
      </w:r>
    </w:p>
    <w:p>
      <w:pPr>
        <w:spacing w:after="0" w:line="52" w:lineRule="exact"/>
        <w:rPr>
          <w:sz w:val="20"/>
          <w:szCs w:val="20"/>
          <w:color w:val="auto"/>
        </w:rPr>
      </w:pPr>
    </w:p>
    <w:p>
      <w:pPr>
        <w:ind w:left="856" w:right="440" w:hanging="424"/>
        <w:spacing w:after="0" w:line="342" w:lineRule="auto"/>
        <w:tabs>
          <w:tab w:leader="none" w:pos="85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29" w:lineRule="exact"/>
        <w:rPr>
          <w:rFonts w:ascii="Arial" w:cs="Arial" w:eastAsia="Arial" w:hAnsi="Arial"/>
          <w:sz w:val="16"/>
          <w:szCs w:val="16"/>
          <w:color w:val="auto"/>
        </w:rPr>
      </w:pPr>
    </w:p>
    <w:p>
      <w:pPr>
        <w:ind w:left="856" w:hanging="424"/>
        <w:spacing w:after="0"/>
        <w:tabs>
          <w:tab w:leader="none" w:pos="85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authorise a person to enter (on behalf of all the Members concerned) an agreement with the Company providing for either:</w:t>
      </w:r>
    </w:p>
    <w:p>
      <w:pPr>
        <w:spacing w:after="0" w:line="130" w:lineRule="exact"/>
        <w:rPr>
          <w:rFonts w:ascii="Arial" w:cs="Arial" w:eastAsia="Arial" w:hAnsi="Arial"/>
          <w:sz w:val="18"/>
          <w:szCs w:val="18"/>
          <w:color w:val="auto"/>
        </w:rPr>
      </w:pPr>
    </w:p>
    <w:p>
      <w:pPr>
        <w:ind w:left="1416" w:right="520" w:hanging="538"/>
        <w:spacing w:after="0" w:line="277" w:lineRule="auto"/>
        <w:tabs>
          <w:tab w:leader="none" w:pos="141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allotment to the Members respectively, credited as fully paid, of shares or debentures to which they may be entitled on the capitalisation, or</w:t>
      </w:r>
    </w:p>
    <w:p>
      <w:pPr>
        <w:spacing w:after="0" w:line="75" w:lineRule="exact"/>
        <w:rPr>
          <w:rFonts w:ascii="Arial" w:cs="Arial" w:eastAsia="Arial" w:hAnsi="Arial"/>
          <w:sz w:val="18"/>
          <w:szCs w:val="18"/>
          <w:color w:val="auto"/>
        </w:rPr>
      </w:pPr>
    </w:p>
    <w:p>
      <w:pPr>
        <w:ind w:left="1416" w:hanging="538"/>
        <w:spacing w:after="0" w:line="277" w:lineRule="auto"/>
        <w:tabs>
          <w:tab w:leader="none" w:pos="141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payment by the Company on behalf of the Members (by the application of their respective proportions of the reserves resolved to be capitalised) of the amounts or part of the amounts remaining unpaid on their existing shares,</w:t>
      </w:r>
    </w:p>
    <w:p>
      <w:pPr>
        <w:spacing w:after="0" w:line="62" w:lineRule="exact"/>
        <w:rPr>
          <w:sz w:val="20"/>
          <w:szCs w:val="20"/>
          <w:color w:val="auto"/>
        </w:rPr>
      </w:pPr>
    </w:p>
    <w:p>
      <w:pPr>
        <w:ind w:left="876"/>
        <w:spacing w:after="0"/>
        <w:rPr>
          <w:sz w:val="20"/>
          <w:szCs w:val="20"/>
          <w:color w:val="auto"/>
        </w:rPr>
      </w:pPr>
      <w:r>
        <w:rPr>
          <w:rFonts w:ascii="Arial" w:cs="Arial" w:eastAsia="Arial" w:hAnsi="Arial"/>
          <w:sz w:val="18"/>
          <w:szCs w:val="18"/>
          <w:color w:val="auto"/>
        </w:rPr>
        <w:t>and any such agreement made under this authority being effective and binding on all those Members; and</w:t>
      </w:r>
    </w:p>
    <w:p>
      <w:pPr>
        <w:spacing w:after="0" w:line="131" w:lineRule="exact"/>
        <w:rPr>
          <w:sz w:val="20"/>
          <w:szCs w:val="20"/>
          <w:color w:val="auto"/>
        </w:rPr>
      </w:pPr>
    </w:p>
    <w:p>
      <w:pPr>
        <w:ind w:left="856" w:hanging="424"/>
        <w:spacing w:after="0"/>
        <w:tabs>
          <w:tab w:leader="none" w:pos="85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any of the actions contemplated by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109220</wp:posOffset>
            </wp:positionV>
            <wp:extent cx="848995" cy="9861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96"/>
          </w:cols>
          <w:pgMar w:left="444" w:top="274" w:right="45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PREMIUM ACCOUNT</w:t>
      </w:r>
    </w:p>
    <w:p>
      <w:pPr>
        <w:spacing w:after="0" w:line="256" w:lineRule="exact"/>
        <w:rPr>
          <w:sz w:val="20"/>
          <w:szCs w:val="20"/>
          <w:color w:val="auto"/>
        </w:rPr>
      </w:pPr>
    </w:p>
    <w:p>
      <w:pPr>
        <w:ind w:left="440" w:right="60" w:hanging="436"/>
        <w:spacing w:after="0" w:line="277" w:lineRule="auto"/>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Directors shall in accordance with Section 34 of the Law establish a share premium account and shall carry to the credit of such account from time to time a sum equal to the amount or value of the premium paid on the issue of any share.</w:t>
      </w:r>
    </w:p>
    <w:p>
      <w:pPr>
        <w:spacing w:after="0" w:line="75" w:lineRule="exact"/>
        <w:rPr>
          <w:rFonts w:ascii="Arial" w:cs="Arial" w:eastAsia="Arial" w:hAnsi="Arial"/>
          <w:sz w:val="18"/>
          <w:szCs w:val="18"/>
          <w:color w:val="auto"/>
        </w:rPr>
      </w:pPr>
    </w:p>
    <w:p>
      <w:pPr>
        <w:jc w:val="both"/>
        <w:ind w:left="440" w:right="220" w:hanging="436"/>
        <w:spacing w:after="0" w:line="264" w:lineRule="auto"/>
        <w:tabs>
          <w:tab w:leader="none" w:pos="4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Section 37 of the Law, out of capital.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ind w:left="440" w:right="60" w:hanging="436"/>
        <w:spacing w:after="0" w:line="272" w:lineRule="auto"/>
        <w:tabs>
          <w:tab w:leader="none" w:pos="4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Except as otherwise provided in these Articles, any notice or document may be served by the Company or by the person entitled to give notice to any Member either personally, by facsimile or by sending it through the post in a prepaid letter or via a recognised courier service, fees prepaid, addressed to such Member at his address as appearing in the Register or, to the extent permitted by all applicable laws and regulations, by electronic means by transmitting it to any electronic number or address or website supplied by the Member to the Company or by placing it on the Company’s Website provided that the Company has obtained the Member’s prior express positive confirmation in writing to receive notices in such manner. In the case of joint holders of a share, all notices shall be given to that holder for the time being whose name stands first in the Register and notice so given shall be sufficient notice to all the joint holders.</w:t>
      </w:r>
    </w:p>
    <w:p>
      <w:pPr>
        <w:spacing w:after="0" w:line="83" w:lineRule="exact"/>
        <w:rPr>
          <w:rFonts w:ascii="Arial" w:cs="Arial" w:eastAsia="Arial" w:hAnsi="Arial"/>
          <w:sz w:val="17"/>
          <w:szCs w:val="17"/>
          <w:color w:val="auto"/>
        </w:rPr>
      </w:pPr>
    </w:p>
    <w:p>
      <w:pPr>
        <w:ind w:left="440" w:right="140" w:hanging="436"/>
        <w:spacing w:after="0" w:line="277"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Member present, either personally or by proxy, at any meeting of the Company shall for all purposes be deemed to have received due notice of such meeting and, where requisite, of the purposes for which such meeting was convened.</w:t>
      </w:r>
    </w:p>
    <w:p>
      <w:pPr>
        <w:spacing w:after="0" w:line="75" w:lineRule="exact"/>
        <w:rPr>
          <w:rFonts w:ascii="Arial" w:cs="Arial" w:eastAsia="Arial" w:hAnsi="Arial"/>
          <w:sz w:val="18"/>
          <w:szCs w:val="18"/>
          <w:color w:val="auto"/>
        </w:rPr>
      </w:pPr>
    </w:p>
    <w:p>
      <w:pPr>
        <w:ind w:left="440" w:right="100" w:hanging="436"/>
        <w:spacing w:after="0" w:line="286" w:lineRule="auto"/>
        <w:tabs>
          <w:tab w:leader="none" w:pos="4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notice or other document, if served by (a) post, shall be deemed to have been served five clear days after the time when the letter containing the same is posted and if served by courier, shall be deemed to have been served five clear days after the time when the letter containing the same is delivered to the courier (in proving such service it shall be sufficient to prove that the letter containing the notice or document was properly addressed and duly posted or delivered to the courier), or (b) facsimile, shall be deemed to have been served upon confirmation of receipt, or</w:t>
      </w:r>
    </w:p>
    <w:p>
      <w:pPr>
        <w:spacing w:after="0" w:line="1" w:lineRule="exact"/>
        <w:rPr>
          <w:rFonts w:ascii="Arial" w:cs="Arial" w:eastAsia="Arial" w:hAnsi="Arial"/>
          <w:sz w:val="16"/>
          <w:szCs w:val="16"/>
          <w:color w:val="auto"/>
        </w:rPr>
      </w:pPr>
    </w:p>
    <w:p>
      <w:pPr>
        <w:ind w:left="440"/>
        <w:spacing w:after="0" w:line="254" w:lineRule="auto"/>
        <w:rPr>
          <w:rFonts w:ascii="Arial" w:cs="Arial" w:eastAsia="Arial" w:hAnsi="Arial"/>
          <w:sz w:val="16"/>
          <w:szCs w:val="16"/>
          <w:color w:val="auto"/>
        </w:rPr>
      </w:pPr>
      <w:r>
        <w:rPr>
          <w:rFonts w:ascii="Arial" w:cs="Arial" w:eastAsia="Arial" w:hAnsi="Arial"/>
          <w:sz w:val="18"/>
          <w:szCs w:val="18"/>
          <w:color w:val="auto"/>
        </w:rPr>
        <w:t>(c) recognised delivery service, shall be deemed to have been served 48 hours after the time when the letter containing the same is delivered to the courier service and in proving such service it shall be sufficient to provide that the letter containing the notice or documents was properly addressed and duly posted or delivered to the courier or (d) electronic means as provided herein shall be deemed to have been served and delivered at the expiration of 24 hours after the time it was sent.</w:t>
      </w:r>
    </w:p>
    <w:p>
      <w:pPr>
        <w:spacing w:after="0" w:line="95" w:lineRule="exact"/>
        <w:rPr>
          <w:rFonts w:ascii="Arial" w:cs="Arial" w:eastAsia="Arial" w:hAnsi="Arial"/>
          <w:sz w:val="16"/>
          <w:szCs w:val="16"/>
          <w:color w:val="auto"/>
        </w:rPr>
      </w:pPr>
    </w:p>
    <w:p>
      <w:pPr>
        <w:jc w:val="both"/>
        <w:ind w:left="440" w:right="40" w:hanging="436"/>
        <w:spacing w:after="0" w:line="257"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notice or document delivered or sent to any Member pursuant to these Articles shall notwithstanding that such Member be then deceased and whether or not the Company has notice of his death, be deemed to have been duly served in respect of any registered shares whether held solely or jointly with other persons by such Member 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w:t>
      </w:r>
    </w:p>
    <w:p>
      <w:pPr>
        <w:spacing w:after="0" w:line="256" w:lineRule="exact"/>
        <w:rPr>
          <w:sz w:val="20"/>
          <w:szCs w:val="20"/>
          <w:color w:val="auto"/>
        </w:rPr>
      </w:pPr>
    </w:p>
    <w:p>
      <w:pPr>
        <w:ind w:left="440" w:right="20" w:hanging="436"/>
        <w:spacing w:after="0" w:line="264" w:lineRule="auto"/>
        <w:tabs>
          <w:tab w:leader="none" w:pos="4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Member shall be entitled to require discovery of any information which is or may be in the nature of a trade secret or secret process which may relate to the conduct of the business of the Company and which in the opinion of the Board would not be in the interests of the Company to communicate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81280</wp:posOffset>
            </wp:positionV>
            <wp:extent cx="848995" cy="9861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233" w:name="page234"/>
    <w:bookmarkEnd w:id="233"/>
    <w:p>
      <w:pPr>
        <w:ind w:left="436" w:right="120" w:hanging="436"/>
        <w:spacing w:after="0" w:line="277" w:lineRule="auto"/>
        <w:tabs>
          <w:tab w:leader="none" w:pos="4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INDEMNITY</w:t>
      </w:r>
    </w:p>
    <w:p>
      <w:pPr>
        <w:spacing w:after="0" w:line="256" w:lineRule="exact"/>
        <w:rPr>
          <w:sz w:val="20"/>
          <w:szCs w:val="20"/>
          <w:color w:val="auto"/>
        </w:rPr>
      </w:pPr>
    </w:p>
    <w:p>
      <w:pPr>
        <w:ind w:left="436" w:hanging="436"/>
        <w:spacing w:after="0" w:line="288" w:lineRule="auto"/>
        <w:tabs>
          <w:tab w:leader="none" w:pos="43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shall to the fullest extent permitted by Law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 For the avoidance of doubt, the Company may enter into an agreement with any Director or officer of the Company in respect of indemnification or exculpation in terms of which differ from the provisions of this Article.</w:t>
      </w:r>
    </w:p>
    <w:p>
      <w:pPr>
        <w:spacing w:after="0" w:line="74" w:lineRule="exact"/>
        <w:rPr>
          <w:rFonts w:ascii="Arial" w:cs="Arial" w:eastAsia="Arial" w:hAnsi="Arial"/>
          <w:sz w:val="16"/>
          <w:szCs w:val="16"/>
          <w:color w:val="auto"/>
        </w:rPr>
      </w:pPr>
    </w:p>
    <w:p>
      <w:pPr>
        <w:ind w:left="436" w:hanging="436"/>
        <w:spacing w:after="0"/>
        <w:tabs>
          <w:tab w:leader="none" w:pos="43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Indemnified Person shall be liable: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130" w:lineRule="exact"/>
        <w:rPr>
          <w:rFonts w:ascii="Arial" w:cs="Arial" w:eastAsia="Arial" w:hAnsi="Arial"/>
          <w:sz w:val="18"/>
          <w:szCs w:val="18"/>
          <w:color w:val="auto"/>
        </w:rPr>
      </w:pPr>
    </w:p>
    <w:p>
      <w:pPr>
        <w:ind w:left="856" w:right="400" w:hanging="424"/>
        <w:spacing w:after="0" w:line="277" w:lineRule="auto"/>
        <w:tabs>
          <w:tab w:leader="none" w:pos="85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75" w:lineRule="exact"/>
        <w:rPr>
          <w:rFonts w:ascii="Arial" w:cs="Arial" w:eastAsia="Arial" w:hAnsi="Arial"/>
          <w:sz w:val="18"/>
          <w:szCs w:val="18"/>
          <w:color w:val="auto"/>
        </w:rPr>
      </w:pPr>
    </w:p>
    <w:p>
      <w:pPr>
        <w:ind w:left="856" w:right="680" w:hanging="424"/>
        <w:spacing w:after="0" w:line="277" w:lineRule="auto"/>
        <w:tabs>
          <w:tab w:leader="none" w:pos="85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62" w:lineRule="exact"/>
        <w:rPr>
          <w:sz w:val="20"/>
          <w:szCs w:val="20"/>
          <w:color w:val="auto"/>
        </w:rPr>
      </w:pPr>
    </w:p>
    <w:p>
      <w:pPr>
        <w:ind w:left="436"/>
        <w:spacing w:after="0"/>
        <w:rPr>
          <w:sz w:val="20"/>
          <w:szCs w:val="20"/>
          <w:color w:val="auto"/>
        </w:rPr>
      </w:pPr>
      <w:r>
        <w:rPr>
          <w:rFonts w:ascii="Arial" w:cs="Arial" w:eastAsia="Arial" w:hAnsi="Arial"/>
          <w:sz w:val="18"/>
          <w:szCs w:val="18"/>
          <w:color w:val="auto"/>
        </w:rPr>
        <w:t>unless the same shall happen through such Indemnified Person’s own dishonesty, wilful default or fraud.</w:t>
      </w:r>
    </w:p>
    <w:p>
      <w:pPr>
        <w:spacing w:after="0" w:line="131" w:lineRule="exact"/>
        <w:rPr>
          <w:sz w:val="20"/>
          <w:szCs w:val="20"/>
          <w:color w:val="auto"/>
        </w:rPr>
      </w:pPr>
    </w:p>
    <w:p>
      <w:pPr>
        <w:ind w:left="436" w:hanging="436"/>
        <w:spacing w:after="0" w:line="255" w:lineRule="auto"/>
        <w:tabs>
          <w:tab w:leader="none" w:pos="43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may purchase and maintain insurance in relation to any person who is or was a Director, Officer or liquidator of the Company, or who at the request of the Company is or was serving as a Director, Officer or liquidator of, or in any other capacity is or was acting for, another company or a partnership, joint venture, trust or other enterprise, that provides a level of coverage consistent with that maintained by similarly sized companies that engage in activities similar to those undertaken by the Group, against any liability asserted against the person and incurred by the person in that capacity, whether or not the Company has or would have had the power to indemnify the person against the liability as provided in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88900</wp:posOffset>
            </wp:positionV>
            <wp:extent cx="848995" cy="9861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16"/>
          </w:cols>
          <w:pgMar w:left="444" w:top="274" w:right="4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NON-RECOGNITION OF TRUSTS</w:t>
      </w:r>
    </w:p>
    <w:p>
      <w:pPr>
        <w:spacing w:after="0" w:line="256" w:lineRule="exact"/>
        <w:rPr>
          <w:sz w:val="20"/>
          <w:szCs w:val="20"/>
          <w:color w:val="auto"/>
        </w:rPr>
      </w:pPr>
    </w:p>
    <w:p>
      <w:pPr>
        <w:ind w:left="440" w:right="160" w:hanging="436"/>
        <w:spacing w:after="0" w:line="312" w:lineRule="auto"/>
        <w:tabs>
          <w:tab w:leader="none" w:pos="4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 person shall be recognised by the Company as holding any share upon any trust and the Company shall not, unless required by law, be bound by or be compelled in any way to recognise (even when having notice thereof) any equitable, contingent or future interest in any of its shares or any other rights in respect thereof except an absolute right to the entirety thereof in each Member registered in the Register.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YEAR</w:t>
      </w:r>
    </w:p>
    <w:p>
      <w:pPr>
        <w:spacing w:after="0" w:line="256" w:lineRule="exact"/>
        <w:rPr>
          <w:sz w:val="20"/>
          <w:szCs w:val="20"/>
          <w:color w:val="auto"/>
        </w:rPr>
      </w:pPr>
    </w:p>
    <w:p>
      <w:pPr>
        <w:ind w:left="440" w:right="220" w:hanging="436"/>
        <w:spacing w:after="0" w:line="277" w:lineRule="auto"/>
        <w:tabs>
          <w:tab w:leader="none" w:pos="4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Unless the Directors otherwise prescribe, the financial year of the Company shall end on December 31</w:t>
      </w:r>
      <w:r>
        <w:rPr>
          <w:rFonts w:ascii="Arial" w:cs="Arial" w:eastAsia="Arial" w:hAnsi="Arial"/>
          <w:sz w:val="15"/>
          <w:szCs w:val="15"/>
          <w:color w:val="auto"/>
        </w:rPr>
        <w:t>st</w:t>
      </w:r>
      <w:r>
        <w:rPr>
          <w:rFonts w:ascii="Arial" w:cs="Arial" w:eastAsia="Arial" w:hAnsi="Arial"/>
          <w:sz w:val="18"/>
          <w:szCs w:val="18"/>
          <w:color w:val="auto"/>
        </w:rPr>
        <w:t xml:space="preserve"> in each year and shall begin on January 1</w:t>
      </w:r>
      <w:r>
        <w:rPr>
          <w:rFonts w:ascii="Arial" w:cs="Arial" w:eastAsia="Arial" w:hAnsi="Arial"/>
          <w:sz w:val="15"/>
          <w:szCs w:val="15"/>
          <w:color w:val="auto"/>
        </w:rPr>
        <w:t>st</w:t>
      </w:r>
      <w:r>
        <w:rPr>
          <w:rFonts w:ascii="Arial" w:cs="Arial" w:eastAsia="Arial" w:hAnsi="Arial"/>
          <w:sz w:val="18"/>
          <w:szCs w:val="18"/>
          <w:color w:val="auto"/>
        </w:rPr>
        <w:t xml:space="preserve"> in each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 UP</w:t>
      </w:r>
    </w:p>
    <w:p>
      <w:pPr>
        <w:spacing w:after="0" w:line="256" w:lineRule="exact"/>
        <w:rPr>
          <w:sz w:val="20"/>
          <w:szCs w:val="20"/>
          <w:color w:val="auto"/>
        </w:rPr>
      </w:pPr>
    </w:p>
    <w:p>
      <w:pPr>
        <w:ind w:left="440" w:right="40" w:hanging="436"/>
        <w:spacing w:after="0" w:line="342" w:lineRule="auto"/>
        <w:tabs>
          <w:tab w:leader="none" w:pos="4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resolution that the Company be wound up by the court or be wound up voluntarily shall be a Special Resolution, except where the Company is to be wound up voluntarily because it is unable to pay its debts as they may fall due in which event the resolution shall be an Ordinary Resolution.</w:t>
      </w:r>
    </w:p>
    <w:p>
      <w:pPr>
        <w:spacing w:after="0" w:line="29" w:lineRule="exact"/>
        <w:rPr>
          <w:rFonts w:ascii="Arial" w:cs="Arial" w:eastAsia="Arial" w:hAnsi="Arial"/>
          <w:sz w:val="16"/>
          <w:szCs w:val="16"/>
          <w:color w:val="auto"/>
        </w:rPr>
      </w:pPr>
    </w:p>
    <w:p>
      <w:pPr>
        <w:ind w:left="440" w:hanging="436"/>
        <w:spacing w:after="0" w:line="289" w:lineRule="auto"/>
        <w:tabs>
          <w:tab w:leader="none" w:pos="4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(1) Subject to any special rights, privileges or restrictions as to the distribution of available surplus assets on liquidation for the time being attached to any class or classes of shares (i) if the Company shall be wound up and the assets available for distribution amongst the holders of Class A Ordinary Shares (but not the holders of Class B Ordinary Shares) of the Company shall be more than sufficient to repay the whole of the capital paid up at the commencement of the winding up, the excess shall be distributed pari passu amongst such holders of Class A Ordinary Shares (but not the holders of Class B Ordinary Shares) in proportion to the amount paid up on the shares held by them respectively and (ii) if the Company shall be wound up and the assets available for distribution amongst the holders of Class A Ordinary Shares (but not the holders of Class B Ordinary Shares) as such shall be insufficient to repay the whole of the paid-up capital such assets shall be distributed so that, as nearly as may be, the losses shall be borne by the holders of Class A Ordinary Shares (but not the holders of Class B Ordinary Shares) in proportion to the capital paid up, or which ought to have been paid up, at the commencement of the winding up on the shares held by them respectively.</w:t>
      </w:r>
    </w:p>
    <w:p>
      <w:pPr>
        <w:spacing w:after="0" w:line="72" w:lineRule="exact"/>
        <w:rPr>
          <w:rFonts w:ascii="Arial" w:cs="Arial" w:eastAsia="Arial" w:hAnsi="Arial"/>
          <w:sz w:val="16"/>
          <w:szCs w:val="16"/>
          <w:color w:val="auto"/>
        </w:rPr>
      </w:pPr>
    </w:p>
    <w:p>
      <w:pPr>
        <w:ind w:left="860" w:hanging="424"/>
        <w:spacing w:after="0" w:line="253" w:lineRule="auto"/>
        <w:tabs>
          <w:tab w:leader="none" w:pos="8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If the Company shall be wound up (whether the liquidation is voluntary or compelled by the court) the liquidator may, with the authority of an Ordinary Resolution and any other sanction required by the Law, divide among the holders of Class A Ordinary Shares (but not the holders of Class B Ordinary Shares)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holders of Class A Ordinary Shares (but not the holders of Class B Ordinary Shares). The liquidator may, with the like authority, vest any part of the assets in trustees upon such trusts for the benefit of the holders of Class A Ordinary Shares (but not the holders of Class B Ordinary Shares)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ARTICLES OF ASSOCIATION</w:t>
      </w:r>
    </w:p>
    <w:p>
      <w:pPr>
        <w:spacing w:after="0" w:line="256" w:lineRule="exact"/>
        <w:rPr>
          <w:sz w:val="20"/>
          <w:szCs w:val="20"/>
          <w:color w:val="auto"/>
        </w:rPr>
      </w:pPr>
    </w:p>
    <w:p>
      <w:pPr>
        <w:ind w:left="440" w:right="220" w:hanging="436"/>
        <w:spacing w:after="0" w:line="277" w:lineRule="auto"/>
        <w:tabs>
          <w:tab w:leader="none" w:pos="4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Subject to the Law and the rights attaching to the various classes of shares (including pursuant to Article 29), the Company may at any time and from time to time by Special Resolution alter or amend these Articles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74295</wp:posOffset>
            </wp:positionV>
            <wp:extent cx="848995" cy="9861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0" w:right="439" w:bottom="1440" w:gutter="0" w:footer="0" w:header="0"/>
        </w:sectPr>
      </w:pPr>
    </w:p>
    <w:bookmarkStart w:id="235" w:name="page236"/>
    <w:bookmarkEnd w:id="235"/>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UNSUITABLE PERSONS AND SALE OR COMPULSORY REDEMPTION</w:t>
      </w:r>
    </w:p>
    <w:p>
      <w:pPr>
        <w:spacing w:after="0" w:line="252" w:lineRule="exact"/>
        <w:rPr>
          <w:sz w:val="20"/>
          <w:szCs w:val="20"/>
          <w:color w:val="auto"/>
        </w:rPr>
      </w:pPr>
    </w:p>
    <w:p>
      <w:pPr>
        <w:ind w:left="436" w:right="60" w:hanging="436"/>
        <w:spacing w:after="0" w:line="286" w:lineRule="auto"/>
        <w:tabs>
          <w:tab w:leader="none" w:pos="43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(1) In the event that the Company or any Affiliate of the Company receives a written notice (“</w:t>
      </w:r>
      <w:r>
        <w:rPr>
          <w:rFonts w:ascii="Arial" w:cs="Arial" w:eastAsia="Arial" w:hAnsi="Arial"/>
          <w:sz w:val="16"/>
          <w:szCs w:val="16"/>
          <w:b w:val="1"/>
          <w:bCs w:val="1"/>
          <w:color w:val="auto"/>
        </w:rPr>
        <w:t>Gaming Authority Notice”)</w:t>
      </w:r>
      <w:r>
        <w:rPr>
          <w:rFonts w:ascii="Arial" w:cs="Arial" w:eastAsia="Arial" w:hAnsi="Arial"/>
          <w:sz w:val="16"/>
          <w:szCs w:val="16"/>
          <w:color w:val="auto"/>
        </w:rPr>
        <w:t xml:space="preserve"> from a Gaming Authority to whose jurisdiction the Company or any Affiliate of the Company is subject, setting out the name of a Person who is considered by a Gaming Authority to be an Unsuitable Person, then forthwith upon the Company serving a copy of such Gaming Authority Notice on the relevant parties, and until the shares Owned or Controlled by such Person or its Affiliate are Owned or Controlled by a Person who is not an Unsuitable Person, the Unsuitable Person or any Affiliate of an Unsuitable Person shall: (i) either sell or transfer all of the shares to a Person who is not an Unsuitable Person, or allow the redemption or repurchase of the shares by the Company on such terms, including the Redemption Price, and in such manner as the Directors may determine and agree with the Member, within such period of time as may be specified by a Gaming Authority; (ii) not be entitled to receive any dividend (save, to the extent not prohibited by the Law and the Gaming Authority Notice, for any dividend declared prior to any receipt of any Gaming Authority Notice under this Article but not yet paid), interest or other distribution of any kind with regard to the shares; (iii) not be entitled to receive any remuneration in any form from the Company or a Subsidiary for services rendered or otherwise, and/or (iv) not be entitled to exercise, directly or indirectly or through any proxy, trustee, or nominee, any voting or other right conferred by such shares. In this Article, “</w:t>
      </w:r>
      <w:r>
        <w:rPr>
          <w:rFonts w:ascii="Arial" w:cs="Arial" w:eastAsia="Arial" w:hAnsi="Arial"/>
          <w:sz w:val="16"/>
          <w:szCs w:val="16"/>
          <w:b w:val="1"/>
          <w:bCs w:val="1"/>
          <w:color w:val="auto"/>
        </w:rPr>
        <w:t>relevant parties”</w:t>
      </w:r>
      <w:r>
        <w:rPr>
          <w:rFonts w:ascii="Arial" w:cs="Arial" w:eastAsia="Arial" w:hAnsi="Arial"/>
          <w:sz w:val="16"/>
          <w:szCs w:val="16"/>
          <w:color w:val="auto"/>
        </w:rPr>
        <w:t xml:space="preserve"> means the Person considered by the Gaming Authority to be Unsuitable to be a Member, any intermediaries or representatives of such Person, any entities through which such Person holds an interest in shares of the Company, or any other third parties to whom disclosure of the aforementioned notice of the Gaming Authority is necessary or expedient.</w:t>
      </w:r>
    </w:p>
    <w:p>
      <w:pPr>
        <w:spacing w:after="0" w:line="81" w:lineRule="exact"/>
        <w:rPr>
          <w:sz w:val="20"/>
          <w:szCs w:val="20"/>
          <w:color w:val="auto"/>
        </w:rPr>
      </w:pPr>
    </w:p>
    <w:p>
      <w:pPr>
        <w:ind w:left="856" w:hanging="424"/>
        <w:spacing w:after="0" w:line="268" w:lineRule="auto"/>
        <w:tabs>
          <w:tab w:leader="none" w:pos="856" w:val="left"/>
        </w:tabs>
        <w:numPr>
          <w:ilvl w:val="0"/>
          <w:numId w:val="235"/>
        </w:numPr>
        <w:rPr>
          <w:rFonts w:ascii="Arial" w:cs="Arial" w:eastAsia="Arial" w:hAnsi="Arial"/>
          <w:sz w:val="17"/>
          <w:szCs w:val="17"/>
          <w:color w:val="auto"/>
        </w:rPr>
      </w:pPr>
      <w:r>
        <w:rPr>
          <w:rFonts w:ascii="Arial" w:cs="Arial" w:eastAsia="Arial" w:hAnsi="Arial"/>
          <w:sz w:val="17"/>
          <w:szCs w:val="17"/>
          <w:color w:val="auto"/>
        </w:rPr>
        <w:t>Subject to Applicable Laws and regulations, shares Owned or Controlled by an Unsuitable Person or an Affiliate of an Unsuitable Person shall be subject to compulsory redemption by the Company, out of funds legally available therefor, by a resolution of the Board of Directors, to the extent required by the Gaming Authority making the determination of Unsuitability or to the extent deemed necessary or advisable by the Board of Directors having regard to relevant Gaming Laws. If a Gaming Authority directly or indirectly requires the Company, or if the Board of Directors deems it necessary or advisable, to redeem the shares of a Member under this Article, the Company shall give a Redemption Notice to such Member and shall redeem on the Redemption Date the number of shares specified in the Redemption Notice for the Redemption Price set forth in the Redemption Notice. Upon such compulsory redemption under this Article being exercised by the Company against a Member, such Member will be entitled to receive the Redemption Price in respect of his shares so redeemed, and from the day on which such compulsory redemption is effected, shall have no other Member’s rights except the right to receive the Redemption Price and, to the extent not prohibited by the Law and any Gaming Authority Notices, the right to receive any dividends declared prior to any receipt of any Gaming Authority Notice under these Articles but not yet paid provided however that upon service of a copy of the Gaming Authority Notice on any relevant party, such Member’s rights will be limited upon such service of the Gaming Authority Notice as provided in paragraphs (i) to (iv) of the preceding Article.</w:t>
      </w:r>
    </w:p>
    <w:p>
      <w:pPr>
        <w:spacing w:after="0" w:line="93" w:lineRule="exact"/>
        <w:rPr>
          <w:rFonts w:ascii="Arial" w:cs="Arial" w:eastAsia="Arial" w:hAnsi="Arial"/>
          <w:sz w:val="17"/>
          <w:szCs w:val="17"/>
          <w:color w:val="auto"/>
        </w:rPr>
      </w:pPr>
    </w:p>
    <w:p>
      <w:pPr>
        <w:ind w:left="856" w:right="60" w:hanging="424"/>
        <w:spacing w:after="0" w:line="255" w:lineRule="auto"/>
        <w:tabs>
          <w:tab w:leader="none" w:pos="8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any shares of the Company are held in a street name, by a nominee, an agent or in trust, the holder of the shares entered in the Register may be required by the Company to disclose to it the identity of the beneficial owner of the shares. The Company may thereafter disclose the identity of the beneficial owner to a Gaming Authority. Each holder of the shares entered in the Register shall render maximum assistance to the Company in determining the identity of the beneficial owner of the relevant shares. A failure of a holder of the shares entered in the Register to disclose the identity of the beneficial owner of shares shall enable the Directors to make a finding of Unsuitability if so required by a Gaming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88900</wp:posOffset>
            </wp:positionV>
            <wp:extent cx="848995" cy="9861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96"/>
          </w:cols>
          <w:pgMar w:left="444" w:top="270" w:right="459" w:bottom="1440" w:gutter="0" w:footer="0" w:header="0"/>
        </w:sectPr>
      </w:pPr>
    </w:p>
    <w:bookmarkStart w:id="236" w:name="page237"/>
    <w:bookmarkEnd w:id="236"/>
    <w:p>
      <w:pPr>
        <w:ind w:left="860" w:hanging="424"/>
        <w:spacing w:after="0" w:line="279" w:lineRule="auto"/>
        <w:tabs>
          <w:tab w:leader="none" w:pos="8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Unsuitable Person and any Affiliate of an Unsuitable Person shall indemnify and hold harmless the Company and its Affiliates for any and all losses, costs, and expenses, including legal fees, incurred by the Company and its Affiliates as a result of, or arising out of, such Unsuitable Person’s or Affiliate’s continuing Ownership or Control of shares, the neglect, refusal or other failure to comply with this Article, or failure to promptly divest itself of any shares when required by the Gaming Laws or this Article.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BY WAY OF CONTINUATION</w:t>
      </w:r>
    </w:p>
    <w:p>
      <w:pPr>
        <w:spacing w:after="0" w:line="256" w:lineRule="exact"/>
        <w:rPr>
          <w:sz w:val="20"/>
          <w:szCs w:val="20"/>
          <w:color w:val="auto"/>
        </w:rPr>
      </w:pPr>
    </w:p>
    <w:p>
      <w:pPr>
        <w:ind w:left="440" w:right="240" w:hanging="436"/>
        <w:spacing w:after="0" w:line="276" w:lineRule="auto"/>
        <w:tabs>
          <w:tab w:leader="none" w:pos="4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38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MERGERS AND CONSOLIDATION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189.  The Company may merge or consolidate in accordance with the Law.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w:t>
      </w:r>
    </w:p>
    <w:p>
      <w:pPr>
        <w:spacing w:after="0" w:line="256" w:lineRule="exact"/>
        <w:rPr>
          <w:sz w:val="20"/>
          <w:szCs w:val="20"/>
          <w:color w:val="auto"/>
        </w:rPr>
      </w:pPr>
    </w:p>
    <w:p>
      <w:pPr>
        <w:ind w:left="440" w:right="100" w:hanging="436"/>
        <w:spacing w:after="0" w:line="259" w:lineRule="auto"/>
        <w:tabs>
          <w:tab w:leader="none" w:pos="4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Directors, or any authorised service providers (including the Officers, the Secretary and the registered office agent of the Company), shall be entitled to disclose to any regulatory or judicial authority, or to the NYSE or any other any stock exchange on which the shares may from time to time be listed, any information regarding the affairs of the Company including, without limitation, information contained in the Register and books of the Company.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SUPREMACY OF INITIAL SHAREHOLDERS AGREEMENT</w:t>
      </w:r>
    </w:p>
    <w:p>
      <w:pPr>
        <w:spacing w:after="0" w:line="256" w:lineRule="exact"/>
        <w:rPr>
          <w:sz w:val="20"/>
          <w:szCs w:val="20"/>
          <w:color w:val="auto"/>
        </w:rPr>
      </w:pPr>
    </w:p>
    <w:p>
      <w:pPr>
        <w:ind w:left="440" w:right="380" w:hanging="436"/>
        <w:spacing w:after="0" w:line="291" w:lineRule="auto"/>
        <w:tabs>
          <w:tab w:leader="none" w:pos="4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For so long as the Initial Shareholders Agreement has not been terminated or amended and restated by a binding agreement: (a) all of the provisions relating to the Company contained or referred to in the Initial Shareholders Agreement are hereby incorporated into these Articles,</w:t>
      </w:r>
    </w:p>
    <w:p>
      <w:pPr>
        <w:ind w:left="440" w:right="40" w:hanging="4"/>
        <w:spacing w:after="0" w:line="253" w:lineRule="auto"/>
        <w:tabs>
          <w:tab w:leader="none" w:pos="69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if any provisions of these Articles are at any time inconsistent with any of the provisions of the Initial Shareholders Agreement, the provisions of the Initial Shareholders Agreement shall prevail as between the Members only to the extent of that inconsistency, and (c) at the written request of any party to the Initial Shareholders Agreement, the Members shall exercise all voting and other rights and powers available to them to procure the amendment of these Articles to the extent necessary to enable the control, direction, business and affairs of the Company to be carried out in accordance with the Initial Shareholders Agreement.</w:t>
      </w:r>
    </w:p>
    <w:p>
      <w:pPr>
        <w:spacing w:after="0" w:line="96" w:lineRule="exact"/>
        <w:rPr>
          <w:rFonts w:ascii="Arial" w:cs="Arial" w:eastAsia="Arial" w:hAnsi="Arial"/>
          <w:sz w:val="18"/>
          <w:szCs w:val="18"/>
          <w:color w:val="auto"/>
        </w:rPr>
      </w:pPr>
    </w:p>
    <w:p>
      <w:pPr>
        <w:ind w:left="440" w:right="20" w:hanging="436"/>
        <w:spacing w:after="0" w:line="264" w:lineRule="auto"/>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the Memorandum of Association and these Articles (including but not limited to Article 191) or the Initial Shareholders Agreement, Article 191 shall be of no further effect upon the consummation of an initial public offering of ADSs representing the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6155690</wp:posOffset>
            </wp:positionH>
            <wp:positionV relativeFrom="paragraph">
              <wp:posOffset>81280</wp:posOffset>
            </wp:positionV>
            <wp:extent cx="848995" cy="9861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37" w:name="page238"/>
    <w:bookmarkEnd w:id="237"/>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OPPORTUNITY</w:t>
      </w:r>
    </w:p>
    <w:p>
      <w:pPr>
        <w:spacing w:after="0" w:line="256" w:lineRule="exact"/>
        <w:rPr>
          <w:sz w:val="20"/>
          <w:szCs w:val="20"/>
          <w:color w:val="auto"/>
        </w:rPr>
      </w:pPr>
    </w:p>
    <w:p>
      <w:pPr>
        <w:ind w:left="436" w:hanging="436"/>
        <w:spacing w:after="0" w:line="271" w:lineRule="auto"/>
        <w:tabs>
          <w:tab w:leader="none" w:pos="43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Company renounces any interest or expectancy of the Company in, or in being offered an opportunity to participate in, any Excluded Opportunity. For the purposes of this Article,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any Director or alternate Director (each a “</w:t>
      </w:r>
      <w:r>
        <w:rPr>
          <w:rFonts w:ascii="Arial" w:cs="Arial" w:eastAsia="Arial" w:hAnsi="Arial"/>
          <w:sz w:val="17"/>
          <w:szCs w:val="17"/>
          <w:b w:val="1"/>
          <w:bCs w:val="1"/>
          <w:color w:val="auto"/>
        </w:rPr>
        <w:t>Covered Person”),</w:t>
      </w:r>
      <w:r>
        <w:rPr>
          <w:rFonts w:ascii="Arial" w:cs="Arial" w:eastAsia="Arial" w:hAnsi="Arial"/>
          <w:sz w:val="17"/>
          <w:szCs w:val="17"/>
          <w:color w:val="auto"/>
        </w:rPr>
        <w:t xml:space="preserve"> unless such matter, transaction or interest is presented to, or acquired, created or developed by, or otherwise comes into the possession of, a Covered Person in such Covered Person’s position, role, title, activities in his or her capacity as, or duties in respect of the Company as, a Director or alternate Director. Notwithstanding the foregoing, the Company may pursue and/or participate in an Excluded Opportunity with the consent of the Covered Person who has received, acquired, created, developed or otherwise come into the possession of such Excluded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80010</wp:posOffset>
            </wp:positionV>
            <wp:extent cx="848995" cy="9861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8489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www.verify.gov.ky File#: 343696</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16"/>
          </w:cols>
          <w:pgMar w:left="444" w:top="270" w:right="4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1991676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169545</wp:posOffset>
            </wp:positionV>
            <wp:extent cx="1277620" cy="13722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127762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BRITISH VIRGIN ISLANDS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BVI BUSINESS COMPANIES ACT,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MSC COTAI LIMITED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FIRST INCORPORATED THE 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DAY OF SEPTEMBER,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Estera Corporate Services (BVI)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39" w:name="page240"/>
    <w:bookmarkEnd w:id="239"/>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TERRITORY OF THE BRITISH VIRGIN ISLANDS</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BVI BUSINESS COMPANIES ACT, 2004</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MSC COTAI LIMITED</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NAME</w:t>
      </w:r>
    </w:p>
    <w:p>
      <w:pPr>
        <w:spacing w:after="0" w:line="252" w:lineRule="exact"/>
        <w:rPr>
          <w:sz w:val="20"/>
          <w:szCs w:val="20"/>
          <w:color w:val="auto"/>
        </w:rPr>
      </w:pPr>
    </w:p>
    <w:p>
      <w:pPr>
        <w:ind w:left="436" w:hanging="436"/>
        <w:spacing w:after="0"/>
        <w:tabs>
          <w:tab w:leader="none" w:pos="43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MSC Cotai Limited</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CHANGE OF NAME</w:t>
      </w:r>
    </w:p>
    <w:p>
      <w:pPr>
        <w:spacing w:after="0" w:line="256" w:lineRule="exact"/>
        <w:rPr>
          <w:sz w:val="20"/>
          <w:szCs w:val="20"/>
          <w:color w:val="auto"/>
        </w:rPr>
      </w:pPr>
    </w:p>
    <w:p>
      <w:pPr>
        <w:ind w:left="436" w:right="160" w:hanging="436"/>
        <w:spacing w:after="0" w:line="308" w:lineRule="auto"/>
        <w:tabs>
          <w:tab w:leader="none" w:pos="43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Company may by Resolution of Shareholders or Resolution of Directors resolve to change its name and make application to the Registrar of Corporate Affairs in the approved form to give effect to such change of name in accordance with section 21 of the Act.</w:t>
      </w:r>
    </w:p>
    <w:p>
      <w:pPr>
        <w:spacing w:after="0" w:line="35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TYPE OF COMPANY</w:t>
      </w:r>
    </w:p>
    <w:p>
      <w:pPr>
        <w:spacing w:after="0" w:line="256" w:lineRule="exact"/>
        <w:rPr>
          <w:sz w:val="20"/>
          <w:szCs w:val="20"/>
          <w:color w:val="auto"/>
        </w:rPr>
      </w:pPr>
    </w:p>
    <w:p>
      <w:pPr>
        <w:ind w:left="436" w:hanging="436"/>
        <w:spacing w:after="0"/>
        <w:tabs>
          <w:tab w:leader="none" w:pos="43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is a company limited by shares.</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REGISTERED OFFICE AND REGISTERED AGENT</w:t>
      </w:r>
    </w:p>
    <w:p>
      <w:pPr>
        <w:spacing w:after="0" w:line="256" w:lineRule="exact"/>
        <w:rPr>
          <w:sz w:val="20"/>
          <w:szCs w:val="20"/>
          <w:color w:val="auto"/>
        </w:rPr>
      </w:pPr>
    </w:p>
    <w:p>
      <w:pPr>
        <w:ind w:left="436" w:right="240" w:hanging="436"/>
        <w:spacing w:after="0" w:line="277" w:lineRule="auto"/>
        <w:tabs>
          <w:tab w:leader="none" w:pos="43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first Registered Office of the Company will be situated at the offices of Estera Corporate Services (BVI) Limited of Jayla Place, Wickhams Cay I, Road Town, Tortola, British Virgin Islands.</w:t>
      </w:r>
    </w:p>
    <w:p>
      <w:pPr>
        <w:spacing w:after="0" w:line="75" w:lineRule="exact"/>
        <w:rPr>
          <w:rFonts w:ascii="Arial" w:cs="Arial" w:eastAsia="Arial" w:hAnsi="Arial"/>
          <w:sz w:val="18"/>
          <w:szCs w:val="18"/>
          <w:color w:val="auto"/>
        </w:rPr>
      </w:pPr>
    </w:p>
    <w:p>
      <w:pPr>
        <w:ind w:left="436" w:right="20" w:hanging="436"/>
        <w:spacing w:after="0" w:line="277" w:lineRule="auto"/>
        <w:tabs>
          <w:tab w:leader="none" w:pos="43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first Registered Agent of the Company will be Estera Corporate Services (BVI) Limited of Jayla Place, Wickhams Cay I, Road Town, Tortola, British Virgin Islands.</w:t>
      </w:r>
    </w:p>
    <w:p>
      <w:pPr>
        <w:spacing w:after="0" w:line="75" w:lineRule="exact"/>
        <w:rPr>
          <w:rFonts w:ascii="Arial" w:cs="Arial" w:eastAsia="Arial" w:hAnsi="Arial"/>
          <w:sz w:val="18"/>
          <w:szCs w:val="18"/>
          <w:color w:val="auto"/>
        </w:rPr>
      </w:pPr>
    </w:p>
    <w:p>
      <w:pPr>
        <w:ind w:left="436" w:right="20" w:hanging="436"/>
        <w:spacing w:after="0" w:line="286" w:lineRule="auto"/>
        <w:tabs>
          <w:tab w:leader="none" w:pos="43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Company may, by Resolution of Shareholders or by Resolution of Directors, change the location of its Registered Office or change its Registered Agent and any such changes shall take effect on the registration by the Registrar of Corporate Affairs of a notice of change, filed by the existing Registered Agent or a legal practitioner in the British Virgin Islands acting on behalf of the Company.</w:t>
      </w:r>
    </w:p>
    <w:p>
      <w:pPr>
        <w:spacing w:after="0" w:line="378"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LIMITATIONS ON BUSINESS OF COMPANY</w:t>
      </w:r>
    </w:p>
    <w:p>
      <w:pPr>
        <w:spacing w:after="0" w:line="256" w:lineRule="exact"/>
        <w:rPr>
          <w:sz w:val="20"/>
          <w:szCs w:val="20"/>
          <w:color w:val="auto"/>
        </w:rPr>
      </w:pPr>
    </w:p>
    <w:p>
      <w:pPr>
        <w:ind w:left="436" w:hanging="436"/>
        <w:spacing w:after="0" w:line="277" w:lineRule="auto"/>
        <w:tabs>
          <w:tab w:leader="none" w:pos="43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business and activities of the Company are limited to those businesses and activities which it is not prohibited from engaging in under any law for the time being in force in the British Virgin Islands.</w:t>
      </w:r>
    </w:p>
    <w:p>
      <w:pPr>
        <w:spacing w:after="0" w:line="75" w:lineRule="exact"/>
        <w:rPr>
          <w:rFonts w:ascii="Arial" w:cs="Arial" w:eastAsia="Arial" w:hAnsi="Arial"/>
          <w:sz w:val="18"/>
          <w:szCs w:val="18"/>
          <w:color w:val="auto"/>
        </w:rPr>
      </w:pPr>
    </w:p>
    <w:p>
      <w:pPr>
        <w:ind w:left="436" w:right="1040" w:hanging="436"/>
        <w:spacing w:after="0" w:line="277" w:lineRule="auto"/>
        <w:tabs>
          <w:tab w:leader="none" w:pos="43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the Act, any other enactment and this Memorandum (including, without limitation, paragraph 7 immediately above of this Memorandum) and the Articles, the Company has:</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full capacity to carry on or undertake any business or activity, do any act or enter into any transaction; and</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6"/>
          </w:cols>
          <w:pgMar w:left="444" w:top="270" w:right="439" w:bottom="1440" w:gutter="0" w:footer="0" w:header="0"/>
        </w:sectPr>
      </w:pPr>
    </w:p>
    <w:bookmarkStart w:id="240" w:name="page241"/>
    <w:bookmarkEnd w:id="240"/>
    <w:p>
      <w:pPr>
        <w:ind w:left="856" w:hanging="424"/>
        <w:spacing w:after="0"/>
        <w:tabs>
          <w:tab w:leader="none" w:pos="8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paragraph (a) immediately above, full rights, powers and privileges.</w:t>
      </w:r>
    </w:p>
    <w:p>
      <w:pPr>
        <w:spacing w:after="0" w:line="200" w:lineRule="exact"/>
        <w:rPr>
          <w:sz w:val="20"/>
          <w:szCs w:val="20"/>
          <w:color w:val="auto"/>
        </w:rPr>
      </w:pPr>
    </w:p>
    <w:p>
      <w:pPr>
        <w:spacing w:after="0" w:line="23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NUMBER, CLASSES AND PAR VALUE OF SHARES</w:t>
      </w:r>
    </w:p>
    <w:p>
      <w:pPr>
        <w:spacing w:after="0" w:line="256" w:lineRule="exact"/>
        <w:rPr>
          <w:sz w:val="20"/>
          <w:szCs w:val="20"/>
          <w:color w:val="auto"/>
        </w:rPr>
      </w:pPr>
    </w:p>
    <w:p>
      <w:pPr>
        <w:ind w:left="436" w:right="520" w:hanging="436"/>
        <w:spacing w:after="0" w:line="308" w:lineRule="auto"/>
        <w:tabs>
          <w:tab w:leader="none" w:pos="43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Company is authorised to issue a maximum of 1,927,488,240 ordinary shares, with a par value of US$0.0001 each, of a single Class to STUDIO CITY INTERNATIONAL HOLDINGS LIMITED which shares shall be issued fully paid or credited as fully paid.</w:t>
      </w:r>
    </w:p>
    <w:p>
      <w:pPr>
        <w:spacing w:after="0" w:line="35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RIGHTS, PRIVILEGES, RESTRICTIONS AND CONDITIONS OF SHARES</w:t>
      </w:r>
    </w:p>
    <w:p>
      <w:pPr>
        <w:spacing w:after="0" w:line="256" w:lineRule="exact"/>
        <w:rPr>
          <w:sz w:val="20"/>
          <w:szCs w:val="20"/>
          <w:color w:val="auto"/>
        </w:rPr>
      </w:pPr>
    </w:p>
    <w:p>
      <w:pPr>
        <w:ind w:left="436" w:right="620" w:hanging="436"/>
        <w:spacing w:after="0" w:line="277" w:lineRule="auto"/>
        <w:tabs>
          <w:tab w:leader="none" w:pos="43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Shares shall (in addition and subject to any rights, privileges, restrictions and conditions attaching to any of the Shares as provided for elsewhere in this Memorandum or in the Articles):</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have the right to one vote on any Resolution of Shareholders;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have equal rights with regard to dividends;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have equal rights with regard to distributions of the surplus assets of the Company.</w:t>
      </w:r>
    </w:p>
    <w:p>
      <w:pPr>
        <w:spacing w:after="0" w:line="130" w:lineRule="exact"/>
        <w:rPr>
          <w:rFonts w:ascii="Arial" w:cs="Arial" w:eastAsia="Arial" w:hAnsi="Arial"/>
          <w:sz w:val="18"/>
          <w:szCs w:val="18"/>
          <w:color w:val="auto"/>
        </w:rPr>
      </w:pPr>
    </w:p>
    <w:p>
      <w:pPr>
        <w:ind w:left="436" w:right="340" w:hanging="436"/>
        <w:spacing w:after="0" w:line="277" w:lineRule="auto"/>
        <w:tabs>
          <w:tab w:leader="none" w:pos="43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For the purposes of section 9 of the Act, any rights, privileges, restrictions and conditions attaching to any of the Shares as provided for in the Articles are deemed to be set out and stated in full in this Memorandum.</w:t>
      </w:r>
    </w:p>
    <w:p>
      <w:pPr>
        <w:spacing w:after="0" w:line="38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FRACTIONAL SHARES</w:t>
      </w:r>
    </w:p>
    <w:p>
      <w:pPr>
        <w:spacing w:after="0" w:line="256" w:lineRule="exact"/>
        <w:rPr>
          <w:sz w:val="20"/>
          <w:szCs w:val="20"/>
          <w:color w:val="auto"/>
        </w:rPr>
      </w:pPr>
    </w:p>
    <w:p>
      <w:pPr>
        <w:ind w:left="436" w:hanging="436"/>
        <w:spacing w:after="0" w:line="264" w:lineRule="auto"/>
        <w:tabs>
          <w:tab w:leader="none" w:pos="43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 may issue Fractional Shares. A Fractional Share shall have the corresponding fractional rights, obligations and liabilities of a whole Share of the same Class. If more than one fraction of a Share of the same Class is issued to or acquired by the same Shareholder such fractions shall be accumulated.</w:t>
      </w:r>
    </w:p>
    <w:p>
      <w:pPr>
        <w:spacing w:after="0" w:line="39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VARIATION OF CLASS RIGHTS AND PRIVILEGES</w:t>
      </w:r>
    </w:p>
    <w:p>
      <w:pPr>
        <w:spacing w:after="0" w:line="256" w:lineRule="exact"/>
        <w:rPr>
          <w:sz w:val="20"/>
          <w:szCs w:val="20"/>
          <w:color w:val="auto"/>
        </w:rPr>
      </w:pPr>
    </w:p>
    <w:p>
      <w:pPr>
        <w:ind w:left="436" w:hanging="436"/>
        <w:spacing w:after="0" w:line="257" w:lineRule="auto"/>
        <w:tabs>
          <w:tab w:leader="none" w:pos="43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at any time, there are different Classes or Series of Shares in issue, unless otherwise provided by the terms of issue of the Shares of that Class or Series, the rights and privileges attaching to any such Class or Series of Shares may, whether or not the Company is being wound up, be varied or abrogated with a resolution or the consent in writing of the holders of not less than three-fourths of the issued Shares of that Class or Series and of the holders of not less than three-fourths of the issued Shares of any other Class or Series of Shares which may be adversely affected by such variation.</w:t>
      </w:r>
    </w:p>
    <w:p>
      <w:pPr>
        <w:spacing w:after="0" w:line="400"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RIGHTS AND PRIVILEGES NOT VARIED BY THE ISSUE OF SHARES PARI PASSU</w:t>
      </w:r>
    </w:p>
    <w:p>
      <w:pPr>
        <w:spacing w:after="0" w:line="256" w:lineRule="exact"/>
        <w:rPr>
          <w:sz w:val="20"/>
          <w:szCs w:val="20"/>
          <w:color w:val="auto"/>
        </w:rPr>
      </w:pPr>
    </w:p>
    <w:p>
      <w:pPr>
        <w:ind w:left="436" w:right="280" w:hanging="436"/>
        <w:spacing w:after="0" w:line="264" w:lineRule="auto"/>
        <w:tabs>
          <w:tab w:leader="none" w:pos="43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The rights and privileges conferred upon the Shareholder of any Class of Shares issued with preferred or other rights and privileges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39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CHANGES TO SHARES</w:t>
      </w:r>
    </w:p>
    <w:p>
      <w:pPr>
        <w:spacing w:after="0" w:line="256" w:lineRule="exact"/>
        <w:rPr>
          <w:sz w:val="20"/>
          <w:szCs w:val="20"/>
          <w:color w:val="auto"/>
        </w:rPr>
      </w:pPr>
    </w:p>
    <w:p>
      <w:pPr>
        <w:ind w:left="436" w:right="220" w:hanging="436"/>
        <w:spacing w:after="0" w:line="277" w:lineRule="auto"/>
        <w:tabs>
          <w:tab w:leader="none" w:pos="43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Subject to complying with Article 9 of the Articles, the Company may by a Resolution of Shareholders amend this Memorandum to increase or reduce the number of Shares the Company is authorised to issue.</w:t>
      </w:r>
    </w:p>
    <w:p>
      <w:pPr>
        <w:spacing w:after="0" w:line="10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76"/>
          </w:cols>
          <w:pgMar w:left="444" w:top="274" w:right="479" w:bottom="1440" w:gutter="0" w:footer="0" w:header="0"/>
        </w:sectPr>
      </w:pPr>
    </w:p>
    <w:bookmarkStart w:id="241" w:name="page242"/>
    <w:bookmarkEnd w:id="241"/>
    <w:p>
      <w:pPr>
        <w:ind w:left="436" w:hanging="436"/>
        <w:spacing w:after="0"/>
        <w:tabs>
          <w:tab w:leader="none" w:pos="436"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by a Resolution of Shareholders: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divide the Shares, including issued Shares, of a Class or Series into a larger number of Shares of the same Class or Series;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53"/>
        </w:numPr>
        <w:rPr>
          <w:rFonts w:ascii="Arial" w:cs="Arial" w:eastAsia="Arial" w:hAnsi="Arial"/>
          <w:sz w:val="17"/>
          <w:szCs w:val="17"/>
          <w:color w:val="auto"/>
        </w:rPr>
      </w:pPr>
      <w:r>
        <w:rPr>
          <w:rFonts w:ascii="Arial" w:cs="Arial" w:eastAsia="Arial" w:hAnsi="Arial"/>
          <w:sz w:val="17"/>
          <w:szCs w:val="17"/>
          <w:color w:val="auto"/>
        </w:rPr>
        <w:t>combine the Shares, including issued Shares, of a Class or Series into a smaller number of Shares of the same Class or Series;</w:t>
      </w:r>
    </w:p>
    <w:p>
      <w:pPr>
        <w:spacing w:after="0" w:line="129" w:lineRule="exact"/>
        <w:rPr>
          <w:sz w:val="20"/>
          <w:szCs w:val="20"/>
          <w:color w:val="auto"/>
        </w:rPr>
      </w:pPr>
    </w:p>
    <w:p>
      <w:pPr>
        <w:ind w:left="436"/>
        <w:spacing w:after="0" w:line="277" w:lineRule="auto"/>
        <w:rPr>
          <w:sz w:val="20"/>
          <w:szCs w:val="20"/>
          <w:color w:val="auto"/>
        </w:rPr>
      </w:pPr>
      <w:r>
        <w:rPr>
          <w:rFonts w:ascii="Arial" w:cs="Arial" w:eastAsia="Arial" w:hAnsi="Arial"/>
          <w:sz w:val="18"/>
          <w:szCs w:val="18"/>
          <w:color w:val="auto"/>
        </w:rPr>
        <w:t>provided, however, that where Shares with a par value are divided or combined under paragraph 16 (a) or (b) above, the aggregate par value of the new Shares must be equal to the aggregate par value of the original Shares.</w:t>
      </w:r>
    </w:p>
    <w:p>
      <w:pPr>
        <w:spacing w:after="0" w:line="76" w:lineRule="exact"/>
        <w:rPr>
          <w:sz w:val="20"/>
          <w:szCs w:val="20"/>
          <w:color w:val="auto"/>
        </w:rPr>
      </w:pPr>
    </w:p>
    <w:p>
      <w:pPr>
        <w:ind w:left="436" w:right="80" w:hanging="436"/>
        <w:spacing w:after="0" w:line="277" w:lineRule="auto"/>
        <w:tabs>
          <w:tab w:leader="none" w:pos="4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the purposes of section 36(1)(f) of the Act, Shares in the Company may, where issued in, or converted to, one Class or Series, be converted to another Class or Series in any manner specified in paragraph 17 (a), (b) or (c) below:</w:t>
      </w:r>
    </w:p>
    <w:p>
      <w:pPr>
        <w:spacing w:after="0" w:line="62" w:lineRule="exact"/>
        <w:rPr>
          <w:rFonts w:ascii="Arial" w:cs="Arial" w:eastAsia="Arial" w:hAnsi="Arial"/>
          <w:sz w:val="18"/>
          <w:szCs w:val="18"/>
          <w:color w:val="auto"/>
        </w:rPr>
      </w:pPr>
    </w:p>
    <w:p>
      <w:pPr>
        <w:ind w:left="436"/>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130" w:lineRule="exact"/>
        <w:rPr>
          <w:rFonts w:ascii="Arial" w:cs="Arial" w:eastAsia="Arial" w:hAnsi="Arial"/>
          <w:sz w:val="18"/>
          <w:szCs w:val="18"/>
          <w:color w:val="auto"/>
        </w:rPr>
      </w:pPr>
    </w:p>
    <w:p>
      <w:pPr>
        <w:ind w:left="1416" w:hanging="538"/>
        <w:spacing w:after="0" w:line="264" w:lineRule="auto"/>
        <w:tabs>
          <w:tab w:leader="none" w:pos="141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amendment and/or restatement of this Memorandum and the Articles by Resolution of Shareholders to re-designate the Shares, including as regards their description and par value, and vary and/or abrogate any of the rights, privileges, restrictions and conditions attaching to the Shares;</w:t>
      </w:r>
    </w:p>
    <w:p>
      <w:pPr>
        <w:spacing w:after="0" w:line="86" w:lineRule="exact"/>
        <w:rPr>
          <w:rFonts w:ascii="Arial" w:cs="Arial" w:eastAsia="Arial" w:hAnsi="Arial"/>
          <w:sz w:val="18"/>
          <w:szCs w:val="18"/>
          <w:color w:val="auto"/>
        </w:rPr>
      </w:pPr>
    </w:p>
    <w:p>
      <w:pPr>
        <w:ind w:left="1416" w:right="140" w:hanging="538"/>
        <w:spacing w:after="0" w:line="277" w:lineRule="auto"/>
        <w:tabs>
          <w:tab w:leader="none" w:pos="141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passing of any resolution or execution of any written consent of the holders of the relevant Shares and any other Class or Series of Shares, where required pursuant to this Memorandum and the Articles;</w:t>
      </w:r>
    </w:p>
    <w:p>
      <w:pPr>
        <w:spacing w:after="0" w:line="75" w:lineRule="exact"/>
        <w:rPr>
          <w:rFonts w:ascii="Arial" w:cs="Arial" w:eastAsia="Arial" w:hAnsi="Arial"/>
          <w:sz w:val="18"/>
          <w:szCs w:val="18"/>
          <w:color w:val="auto"/>
        </w:rPr>
      </w:pPr>
    </w:p>
    <w:p>
      <w:pPr>
        <w:ind w:left="1416" w:right="980" w:hanging="538"/>
        <w:spacing w:after="0" w:line="277" w:lineRule="auto"/>
        <w:tabs>
          <w:tab w:leader="none" w:pos="1416"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required by the Directors, the delivery to the Company of the existing share certificates in respect of the Shares being re-designated; and</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 amendment of the Register of Members as required to reflect the re-designation made pursuant to paragraph 17 (a) (i) above; or</w:t>
      </w:r>
    </w:p>
    <w:p>
      <w:pPr>
        <w:spacing w:after="0" w:line="140" w:lineRule="exact"/>
        <w:rPr>
          <w:rFonts w:ascii="Arial" w:cs="Arial" w:eastAsia="Arial" w:hAnsi="Arial"/>
          <w:sz w:val="16"/>
          <w:szCs w:val="16"/>
          <w:color w:val="auto"/>
        </w:rPr>
      </w:pPr>
    </w:p>
    <w:p>
      <w:pPr>
        <w:ind w:left="436"/>
        <w:spacing w:after="0"/>
        <w:rPr>
          <w:rFonts w:ascii="Arial" w:cs="Arial" w:eastAsia="Arial" w:hAnsi="Arial"/>
          <w:sz w:val="16"/>
          <w:szCs w:val="16"/>
          <w:color w:val="auto"/>
        </w:rPr>
      </w:pPr>
      <w:r>
        <w:rPr>
          <w:rFonts w:ascii="Arial" w:cs="Arial" w:eastAsia="Arial" w:hAnsi="Arial"/>
          <w:sz w:val="18"/>
          <w:szCs w:val="18"/>
          <w:color w:val="auto"/>
        </w:rPr>
        <w:t>(b)</w:t>
      </w:r>
    </w:p>
    <w:p>
      <w:pPr>
        <w:spacing w:after="0" w:line="131" w:lineRule="exact"/>
        <w:rPr>
          <w:sz w:val="20"/>
          <w:szCs w:val="20"/>
          <w:color w:val="auto"/>
        </w:rPr>
      </w:pPr>
    </w:p>
    <w:p>
      <w:pPr>
        <w:ind w:left="1416" w:hanging="538"/>
        <w:spacing w:after="0"/>
        <w:tabs>
          <w:tab w:leader="none" w:pos="1416" w:val="left"/>
        </w:tabs>
        <w:numPr>
          <w:ilvl w:val="1"/>
          <w:numId w:val="255"/>
        </w:numPr>
        <w:rPr>
          <w:rFonts w:ascii="Arial" w:cs="Arial" w:eastAsia="Arial" w:hAnsi="Arial"/>
          <w:sz w:val="17"/>
          <w:szCs w:val="17"/>
          <w:color w:val="auto"/>
        </w:rPr>
      </w:pPr>
      <w:r>
        <w:rPr>
          <w:rFonts w:ascii="Arial" w:cs="Arial" w:eastAsia="Arial" w:hAnsi="Arial"/>
          <w:sz w:val="17"/>
          <w:szCs w:val="17"/>
          <w:color w:val="auto"/>
        </w:rPr>
        <w:t>the repurchase and cancellation of existing Shares in consideration for the issue of new Shares of a different Class or Series;</w:t>
      </w:r>
    </w:p>
    <w:p>
      <w:pPr>
        <w:spacing w:after="0" w:line="142" w:lineRule="exact"/>
        <w:rPr>
          <w:rFonts w:ascii="Arial" w:cs="Arial" w:eastAsia="Arial" w:hAnsi="Arial"/>
          <w:sz w:val="17"/>
          <w:szCs w:val="17"/>
          <w:color w:val="auto"/>
        </w:rPr>
      </w:pPr>
    </w:p>
    <w:p>
      <w:pPr>
        <w:ind w:left="1416" w:right="140" w:hanging="538"/>
        <w:spacing w:after="0" w:line="277" w:lineRule="auto"/>
        <w:tabs>
          <w:tab w:leader="none" w:pos="141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passing of any resolution or execution of any written consent of the holders of the relevant Shares and any other Class or Series of Shares, where required pursuant to this Memorandum and the Articles;</w:t>
      </w:r>
    </w:p>
    <w:p>
      <w:pPr>
        <w:spacing w:after="0" w:line="75" w:lineRule="exact"/>
        <w:rPr>
          <w:rFonts w:ascii="Arial" w:cs="Arial" w:eastAsia="Arial" w:hAnsi="Arial"/>
          <w:sz w:val="18"/>
          <w:szCs w:val="18"/>
          <w:color w:val="auto"/>
        </w:rPr>
      </w:pPr>
    </w:p>
    <w:p>
      <w:pPr>
        <w:ind w:left="1416" w:right="220" w:hanging="538"/>
        <w:spacing w:after="0" w:line="277" w:lineRule="auto"/>
        <w:tabs>
          <w:tab w:leader="none" w:pos="141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if required by the Directors, the delivery to the Company of the existing share certificates in respect of the Shares to be converted; and</w:t>
      </w:r>
    </w:p>
    <w:p>
      <w:pPr>
        <w:spacing w:after="0" w:line="75" w:lineRule="exact"/>
        <w:rPr>
          <w:rFonts w:ascii="Arial" w:cs="Arial" w:eastAsia="Arial" w:hAnsi="Arial"/>
          <w:sz w:val="18"/>
          <w:szCs w:val="18"/>
          <w:color w:val="auto"/>
        </w:rPr>
      </w:pPr>
    </w:p>
    <w:p>
      <w:pPr>
        <w:ind w:left="1416" w:right="280" w:hanging="538"/>
        <w:spacing w:after="0" w:line="277" w:lineRule="auto"/>
        <w:tabs>
          <w:tab w:leader="none" w:pos="141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amendment of the Register of Members as required to reflect the cancellation and issue made pursuant to paragraph 17 (b) (i) above; or</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any other manner permitted by the Act, this Memorandum and the Articles.</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6"/>
          </w:cols>
          <w:pgMar w:left="444" w:top="274" w:right="459" w:bottom="1440" w:gutter="0" w:footer="0" w:header="0"/>
        </w:sectPr>
      </w:pPr>
    </w:p>
    <w:bookmarkStart w:id="242" w:name="page243"/>
    <w:bookmarkEnd w:id="242"/>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BEARER SHARES</w:t>
      </w:r>
    </w:p>
    <w:p>
      <w:pPr>
        <w:spacing w:after="0" w:line="256" w:lineRule="exact"/>
        <w:rPr>
          <w:sz w:val="20"/>
          <w:szCs w:val="20"/>
          <w:color w:val="auto"/>
        </w:rPr>
      </w:pPr>
    </w:p>
    <w:p>
      <w:pPr>
        <w:ind w:left="436" w:hanging="436"/>
        <w:spacing w:after="0"/>
        <w:tabs>
          <w:tab w:leader="none" w:pos="43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is not authorised to issue bearer shares and all Shares shall be issued as registered shares.</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NO EXCHANGE FOR BEARER SHARES</w:t>
      </w:r>
    </w:p>
    <w:p>
      <w:pPr>
        <w:spacing w:after="0" w:line="256" w:lineRule="exact"/>
        <w:rPr>
          <w:sz w:val="20"/>
          <w:szCs w:val="20"/>
          <w:color w:val="auto"/>
        </w:rPr>
      </w:pPr>
    </w:p>
    <w:p>
      <w:pPr>
        <w:ind w:left="436" w:hanging="436"/>
        <w:spacing w:after="0"/>
        <w:tabs>
          <w:tab w:leader="none" w:pos="43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Shares may not be exchanged for, or converted into, bearer shares.</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TRANSFERS OF SHARES</w:t>
      </w:r>
    </w:p>
    <w:p>
      <w:pPr>
        <w:spacing w:after="0" w:line="256" w:lineRule="exact"/>
        <w:rPr>
          <w:sz w:val="20"/>
          <w:szCs w:val="20"/>
          <w:color w:val="auto"/>
        </w:rPr>
      </w:pPr>
    </w:p>
    <w:p>
      <w:pPr>
        <w:ind w:left="436" w:right="100" w:hanging="436"/>
        <w:spacing w:after="0" w:line="277" w:lineRule="auto"/>
        <w:tabs>
          <w:tab w:leader="none" w:pos="43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Subject to the provisions of this Memorandum and the Articles (including but not limited to paragraph 21 below), Shares in the Company may be transferred.</w:t>
      </w:r>
    </w:p>
    <w:p>
      <w:pPr>
        <w:spacing w:after="0" w:line="75" w:lineRule="exact"/>
        <w:rPr>
          <w:rFonts w:ascii="Arial" w:cs="Arial" w:eastAsia="Arial" w:hAnsi="Arial"/>
          <w:sz w:val="18"/>
          <w:szCs w:val="18"/>
          <w:color w:val="auto"/>
        </w:rPr>
      </w:pPr>
    </w:p>
    <w:p>
      <w:pPr>
        <w:ind w:left="436" w:hanging="436"/>
        <w:spacing w:after="0" w:line="264" w:lineRule="auto"/>
        <w:tabs>
          <w:tab w:leader="none" w:pos="43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share may be transferred and any purported transfer of shares shall be void if, upon the advice of US tax counsel, such transfer would cause the Company to be treated as a publicly traded partnership or to be classified as a corporation for U.S. Tax Purposes, in each case, pursuant to section 7704 of the Code. The Directors shall refuse to register any such transfers.</w:t>
      </w:r>
    </w:p>
    <w:p>
      <w:pPr>
        <w:spacing w:after="0" w:line="39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AMENDMENT OF MEMORANDUM AND ARTICLES OF ASSOCIATION</w:t>
      </w:r>
    </w:p>
    <w:p>
      <w:pPr>
        <w:spacing w:after="0" w:line="256" w:lineRule="exact"/>
        <w:rPr>
          <w:sz w:val="20"/>
          <w:szCs w:val="20"/>
          <w:color w:val="auto"/>
        </w:rPr>
      </w:pPr>
    </w:p>
    <w:p>
      <w:pPr>
        <w:ind w:left="436" w:right="140" w:hanging="436"/>
        <w:spacing w:after="0" w:line="277" w:lineRule="auto"/>
        <w:tabs>
          <w:tab w:leader="none" w:pos="43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Company may amend its Memorandum or Articles by a Resolution of Shareholders or by a Resolution of Directors except that the Directors have no power to amend the Memorandum or the Articles:</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to restrict the rights or powers of the Shareholders to amend the Memorandum or the Articles;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to change the percentage of Shareholders required to pass a resolution to amend the Memorandum or the Articles;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in circumstances where the Memorandum or the Articles cannot be amended by the Shareholders;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to change the provisions of paragraphs 9, 10, 11, 13, 14, 15, 16, 17, 18, 19 or 22 of this Memorandum.</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left="436" w:hanging="436"/>
        <w:spacing w:after="0"/>
        <w:tabs>
          <w:tab w:leader="none" w:pos="43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Words used in this Memorandum and not defined herein shall have the meanings set out in the Articles.</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SHAREHOLDER LIABILITY</w:t>
      </w:r>
    </w:p>
    <w:p>
      <w:pPr>
        <w:spacing w:after="0" w:line="256" w:lineRule="exact"/>
        <w:rPr>
          <w:sz w:val="20"/>
          <w:szCs w:val="20"/>
          <w:color w:val="auto"/>
        </w:rPr>
      </w:pPr>
    </w:p>
    <w:p>
      <w:pPr>
        <w:ind w:left="436" w:hanging="436"/>
        <w:spacing w:after="0"/>
        <w:tabs>
          <w:tab w:leader="none" w:pos="436"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Subject to the provisions of this Memorandum and the Articles, the liability of a Shareholder to the Company, as shareholder, is limited to:</w:t>
      </w:r>
    </w:p>
    <w:p>
      <w:pPr>
        <w:spacing w:after="0" w:line="142" w:lineRule="exact"/>
        <w:rPr>
          <w:rFonts w:ascii="Arial" w:cs="Arial" w:eastAsia="Arial" w:hAnsi="Arial"/>
          <w:sz w:val="17"/>
          <w:szCs w:val="17"/>
          <w:color w:val="auto"/>
        </w:rPr>
      </w:pPr>
    </w:p>
    <w:p>
      <w:pPr>
        <w:ind w:left="856" w:hanging="424"/>
        <w:spacing w:after="0"/>
        <w:tabs>
          <w:tab w:leader="none" w:pos="856"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amount unpaid on a Share held by the Shareholder;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(where applicable) any liability expressly provided for in this Memorandum or the Articles;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liability to repay a distribution under section 58(1) of the Act.</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6"/>
          </w:cols>
          <w:pgMar w:left="444" w:top="270" w:right="439" w:bottom="1440" w:gutter="0" w:footer="0" w:header="0"/>
        </w:sectPr>
      </w:pPr>
    </w:p>
    <w:bookmarkStart w:id="243" w:name="page244"/>
    <w:bookmarkEnd w:id="243"/>
    <w:p>
      <w:pPr>
        <w:ind w:left="436" w:hanging="436"/>
        <w:spacing w:after="0"/>
        <w:tabs>
          <w:tab w:leader="none" w:pos="436"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Shareholder has no liability, as a member, for the liabilities of the Company.</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SEPARATE LEGAL ENTITY AND PERPETUAL EXISTENCE</w:t>
      </w:r>
    </w:p>
    <w:p>
      <w:pPr>
        <w:spacing w:after="0" w:line="256" w:lineRule="exact"/>
        <w:rPr>
          <w:sz w:val="20"/>
          <w:szCs w:val="20"/>
          <w:color w:val="auto"/>
        </w:rPr>
      </w:pPr>
    </w:p>
    <w:p>
      <w:pPr>
        <w:ind w:left="436" w:right="160" w:hanging="436"/>
        <w:spacing w:after="0" w:line="277" w:lineRule="auto"/>
        <w:tabs>
          <w:tab w:leader="none" w:pos="4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accordance with section 27 of the Act, the Company is a legal entity in its own right separate from its Shareholders and continues in existence until it is dissolved.</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EFFECT OF MEMORANDUM AND ARTICLES OF ASSOCIATION</w:t>
      </w:r>
    </w:p>
    <w:p>
      <w:pPr>
        <w:spacing w:after="0" w:line="256" w:lineRule="exact"/>
        <w:rPr>
          <w:sz w:val="20"/>
          <w:szCs w:val="20"/>
          <w:color w:val="auto"/>
        </w:rPr>
      </w:pPr>
    </w:p>
    <w:p>
      <w:pPr>
        <w:ind w:left="436" w:hanging="436"/>
        <w:spacing w:after="0"/>
        <w:tabs>
          <w:tab w:leader="none" w:pos="4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accordance with section 11(1) of the Act, this Memorandum and the Articles are binding as between:</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Company and each Shareholder of the Company;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each Shareholder of the Company.</w:t>
      </w:r>
    </w:p>
    <w:p>
      <w:pPr>
        <w:spacing w:after="0" w:line="252" w:lineRule="exact"/>
        <w:rPr>
          <w:rFonts w:ascii="Arial" w:cs="Arial" w:eastAsia="Arial" w:hAnsi="Arial"/>
          <w:sz w:val="18"/>
          <w:szCs w:val="18"/>
          <w:color w:val="auto"/>
        </w:rPr>
      </w:pPr>
    </w:p>
    <w:p>
      <w:pPr>
        <w:ind w:left="436" w:right="340" w:hanging="436"/>
        <w:spacing w:after="0" w:line="264" w:lineRule="auto"/>
        <w:tabs>
          <w:tab w:leader="none" w:pos="4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accordance with section 11(2) of the Act, the Company, the board of Directors, each Director and each Shareholder of the Company has the rights, powers, duties and obligations set out in the Act except to the extent that they are negated or modified, as permitted by the Act, by this Memorandum or the Articles.</w:t>
      </w:r>
    </w:p>
    <w:p>
      <w:pPr>
        <w:spacing w:after="0" w:line="208" w:lineRule="exact"/>
        <w:rPr>
          <w:rFonts w:ascii="Arial" w:cs="Arial" w:eastAsia="Arial" w:hAnsi="Arial"/>
          <w:sz w:val="18"/>
          <w:szCs w:val="18"/>
          <w:color w:val="auto"/>
        </w:rPr>
      </w:pPr>
    </w:p>
    <w:p>
      <w:pPr>
        <w:ind w:left="436" w:hanging="436"/>
        <w:spacing w:after="0" w:line="277" w:lineRule="auto"/>
        <w:tabs>
          <w:tab w:leader="none" w:pos="4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accordance with section 11(3) of the Act, this Memorandum and the Articles have no effect to the extent that they contravene or are inconsistent with the Act.</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16"/>
          </w:cols>
          <w:pgMar w:left="444" w:top="274" w:right="439" w:bottom="1440" w:gutter="0" w:footer="0" w:header="0"/>
        </w:sectPr>
      </w:pPr>
    </w:p>
    <w:bookmarkStart w:id="244" w:name="page245"/>
    <w:bookmarkEnd w:id="24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Estera Corporate Services (BVI) Limited of Jayla Place, Wickhams Cay I, Road Town, Tortola, British Virgin Islands for the purpose of incorporating a BVI Business Company under the laws of the British Virgin Islands hereby sign our name to this Memorandum of Association this 7</w:t>
      </w:r>
      <w:r>
        <w:rPr>
          <w:rFonts w:ascii="Arial" w:cs="Arial" w:eastAsia="Arial" w:hAnsi="Arial"/>
          <w:sz w:val="15"/>
          <w:szCs w:val="15"/>
          <w:color w:val="auto"/>
        </w:rPr>
        <w:t>th</w:t>
      </w:r>
      <w:r>
        <w:rPr>
          <w:rFonts w:ascii="Arial" w:cs="Arial" w:eastAsia="Arial" w:hAnsi="Arial"/>
          <w:sz w:val="18"/>
          <w:szCs w:val="18"/>
          <w:color w:val="auto"/>
        </w:rPr>
        <w:t xml:space="preserve"> day of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Shanique Creque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183515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Shanique Creque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Estera Corporate Services (BVI)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40" w:top="274" w:right="61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34"/>
        </w:trPr>
        <w:tc>
          <w:tcPr>
            <w:tcW w:w="8560" w:type="dxa"/>
            <w:vAlign w:val="bottom"/>
          </w:tcPr>
          <w:p>
            <w:pPr>
              <w:ind w:left="45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377"/>
        </w:trPr>
        <w:tc>
          <w:tcPr>
            <w:tcW w:w="856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NAME</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CHANGE OF NAME</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TYPE OF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REGISTERED OFFICE AND REGISTERED AGENT</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LIMITATIONS ON BUSINESS OF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NUMBER, CLASSES AND PAR VALUE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RIGHTS, PRIVILEGES, RESTRICTIONS AND CONDITIONS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FRACTIONAL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VARIATION OF CLASS RIGHTS AND PRIVILEGES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RIGHTS AND PRIVILEGES NOT VARIED BY THE ISSUE OF SHARES PARI PASSU</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CHANGES TO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NO BEARER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NO EXCHANGE FOR BEARER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TRANSFERS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AMENDMENT OF MEMORANDUM AND ARTICLES OF ASSOCIATION</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SHAREHOLDER LIABILITY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SEPARATE LEGAL ENTITY AND PERPETUAL 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EFFECT OF MEMORANDUM AND ARTICLES OF ASSOCIATION</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INTERPRETATION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PRELIMINARY</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PARTICIPATION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8560" w:type="dxa"/>
            <w:vAlign w:val="bottom"/>
          </w:tcPr>
          <w:p>
            <w:pPr>
              <w:ind w:left="5460"/>
              <w:spacing w:after="0"/>
              <w:rPr>
                <w:sz w:val="20"/>
                <w:szCs w:val="20"/>
                <w:color w:val="auto"/>
              </w:rPr>
            </w:pPr>
            <w:r>
              <w:rPr>
                <w:rFonts w:ascii="Arial" w:cs="Arial" w:eastAsia="Arial" w:hAnsi="Arial"/>
                <w:sz w:val="18"/>
                <w:szCs w:val="18"/>
                <w:color w:val="auto"/>
              </w:rPr>
              <w:t>8</w:t>
            </w:r>
          </w:p>
        </w:tc>
        <w:tc>
          <w:tcPr>
            <w:tcW w:w="2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6" w:name="page247"/>
    <w:bookmarkEnd w:id="246"/>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FORFEITURE OF SHARES</w:t>
            </w:r>
          </w:p>
        </w:tc>
        <w:tc>
          <w:tcPr>
            <w:tcW w:w="5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TRANSFER OF SHARES</w:t>
            </w:r>
          </w:p>
        </w:tc>
        <w:tc>
          <w:tcPr>
            <w:tcW w:w="5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TRANSMISSION OF SHARES</w:t>
            </w:r>
          </w:p>
        </w:tc>
        <w:tc>
          <w:tcPr>
            <w:tcW w:w="5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REDEMPTION AND PURCHASE OF SHARES</w:t>
            </w:r>
          </w:p>
        </w:tc>
        <w:tc>
          <w:tcPr>
            <w:tcW w:w="5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TREASURY SHARES</w:t>
            </w:r>
          </w:p>
        </w:tc>
        <w:tc>
          <w:tcPr>
            <w:tcW w:w="5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MEETINGS OF SHAREHOLDERS</w:t>
            </w:r>
          </w:p>
        </w:tc>
        <w:tc>
          <w:tcPr>
            <w:tcW w:w="5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NOTICE OF MEETINGS OF SHAREHOLDERS</w:t>
            </w:r>
          </w:p>
        </w:tc>
        <w:tc>
          <w:tcPr>
            <w:tcW w:w="5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PROCEEDINGS AT SHAREHOLDERS’ MEETINGS</w:t>
            </w:r>
          </w:p>
        </w:tc>
        <w:tc>
          <w:tcPr>
            <w:tcW w:w="5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SCIH SHAREHOLDER APPROVAL MATTERS</w:t>
            </w:r>
          </w:p>
        </w:tc>
        <w:tc>
          <w:tcPr>
            <w:tcW w:w="5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VOTES OF SHAREHOLDERS</w:t>
            </w:r>
          </w:p>
        </w:tc>
        <w:tc>
          <w:tcPr>
            <w:tcW w:w="5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w w:val="96"/>
              </w:rPr>
              <w:t>CORPORATIONS ACTING BY REPRESENTATIVES AT MEETINGS</w:t>
            </w:r>
          </w:p>
        </w:tc>
        <w:tc>
          <w:tcPr>
            <w:tcW w:w="5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DIRECTORS</w:t>
            </w:r>
          </w:p>
        </w:tc>
        <w:tc>
          <w:tcPr>
            <w:tcW w:w="5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ALTERNATE DIRECTOR</w:t>
            </w:r>
          </w:p>
        </w:tc>
        <w:tc>
          <w:tcPr>
            <w:tcW w:w="5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POWERS OF DIRECTORS</w:t>
            </w:r>
          </w:p>
        </w:tc>
        <w:tc>
          <w:tcPr>
            <w:tcW w:w="5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BORROWING POWERS OF DIRECTORS</w:t>
            </w:r>
          </w:p>
        </w:tc>
        <w:tc>
          <w:tcPr>
            <w:tcW w:w="5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DUTIES OF DIRECTORS</w:t>
            </w:r>
          </w:p>
        </w:tc>
        <w:tc>
          <w:tcPr>
            <w:tcW w:w="5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PROCEEDINGS OF DIRECTORS</w:t>
            </w:r>
          </w:p>
        </w:tc>
        <w:tc>
          <w:tcPr>
            <w:tcW w:w="5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OFFICERS</w:t>
            </w:r>
          </w:p>
        </w:tc>
        <w:tc>
          <w:tcPr>
            <w:tcW w:w="5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CONFLICT OF INTERESTS</w:t>
            </w:r>
          </w:p>
        </w:tc>
        <w:tc>
          <w:tcPr>
            <w:tcW w:w="5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REGISTER OF CHARGES</w:t>
            </w:r>
          </w:p>
        </w:tc>
        <w:tc>
          <w:tcPr>
            <w:tcW w:w="5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THE SEAL, INSTRUMENTS UNDER SEAL AND DEEDS</w:t>
            </w:r>
          </w:p>
        </w:tc>
        <w:tc>
          <w:tcPr>
            <w:tcW w:w="5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DISTRIBUTIONS</w:t>
            </w:r>
          </w:p>
        </w:tc>
        <w:tc>
          <w:tcPr>
            <w:tcW w:w="5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RECORDS AND UNDERLYING DOCUMENTATION</w:t>
            </w:r>
          </w:p>
        </w:tc>
        <w:tc>
          <w:tcPr>
            <w:tcW w:w="5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NOTICES</w:t>
            </w:r>
          </w:p>
        </w:tc>
        <w:tc>
          <w:tcPr>
            <w:tcW w:w="5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INDEMNITY</w:t>
            </w:r>
          </w:p>
        </w:tc>
        <w:tc>
          <w:tcPr>
            <w:tcW w:w="5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INSURANCE</w:t>
            </w:r>
          </w:p>
        </w:tc>
        <w:tc>
          <w:tcPr>
            <w:tcW w:w="5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5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5360" w:type="dxa"/>
            <w:vAlign w:val="bottom"/>
          </w:tcPr>
          <w:p>
            <w:pPr>
              <w:spacing w:after="0"/>
              <w:rPr>
                <w:sz w:val="24"/>
                <w:szCs w:val="24"/>
                <w:color w:val="auto"/>
              </w:rPr>
            </w:pPr>
          </w:p>
        </w:tc>
        <w:tc>
          <w:tcPr>
            <w:tcW w:w="5620" w:type="dxa"/>
            <w:vAlign w:val="bottom"/>
          </w:tcPr>
          <w:p>
            <w:pPr>
              <w:jc w:val="right"/>
              <w:ind w:right="5330"/>
              <w:spacing w:after="0"/>
              <w:rPr>
                <w:sz w:val="20"/>
                <w:szCs w:val="20"/>
                <w:color w:val="auto"/>
              </w:rPr>
            </w:pPr>
            <w:r>
              <w:rPr>
                <w:rFonts w:ascii="Arial" w:cs="Arial" w:eastAsia="Arial" w:hAnsi="Arial"/>
                <w:sz w:val="18"/>
                <w:szCs w:val="18"/>
                <w:color w:val="auto"/>
              </w:rPr>
              <w:t>9</w:t>
            </w:r>
          </w:p>
        </w:tc>
      </w:tr>
    </w:tbl>
    <w:p>
      <w:pPr>
        <w:jc w:val="right"/>
        <w:ind w:right="533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7" w:name="page248"/>
    <w:bookmarkEnd w:id="247"/>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VOLUNTARY LIQUIDATION</w:t>
            </w:r>
          </w:p>
        </w:tc>
        <w:tc>
          <w:tcPr>
            <w:tcW w:w="5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5400" w:type="dxa"/>
            <w:vAlign w:val="bottom"/>
          </w:tcPr>
          <w:p>
            <w:pPr>
              <w:spacing w:after="0"/>
              <w:rPr>
                <w:sz w:val="20"/>
                <w:szCs w:val="20"/>
                <w:color w:val="auto"/>
              </w:rPr>
            </w:pPr>
            <w:r>
              <w:rPr>
                <w:rFonts w:ascii="Arial" w:cs="Arial" w:eastAsia="Arial" w:hAnsi="Arial"/>
                <w:sz w:val="18"/>
                <w:szCs w:val="18"/>
                <w:color w:val="auto"/>
              </w:rPr>
              <w:t>AMENDMENT OF ARTICLES OF ASSOCIATION</w:t>
            </w:r>
          </w:p>
        </w:tc>
        <w:tc>
          <w:tcPr>
            <w:tcW w:w="5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5400" w:type="dxa"/>
            <w:vAlign w:val="bottom"/>
          </w:tcPr>
          <w:p>
            <w:pPr>
              <w:spacing w:after="0"/>
              <w:rPr>
                <w:sz w:val="20"/>
                <w:szCs w:val="20"/>
                <w:color w:val="auto"/>
              </w:rPr>
            </w:pPr>
            <w:r>
              <w:rPr>
                <w:rFonts w:ascii="Arial" w:cs="Arial" w:eastAsia="Arial" w:hAnsi="Arial"/>
                <w:sz w:val="18"/>
                <w:szCs w:val="18"/>
                <w:color w:val="auto"/>
                <w:w w:val="94"/>
              </w:rPr>
              <w:t>CLOSING OF REGISTER OF MEMBERS OR FIXING RECORD DATE</w:t>
            </w:r>
          </w:p>
        </w:tc>
        <w:tc>
          <w:tcPr>
            <w:tcW w:w="5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5400" w:type="dxa"/>
            <w:vAlign w:val="bottom"/>
          </w:tcPr>
          <w:p>
            <w:pPr>
              <w:spacing w:after="0"/>
              <w:rPr>
                <w:sz w:val="20"/>
                <w:szCs w:val="20"/>
                <w:color w:val="auto"/>
              </w:rPr>
            </w:pPr>
            <w:r>
              <w:rPr>
                <w:rFonts w:ascii="Arial" w:cs="Arial" w:eastAsia="Arial" w:hAnsi="Arial"/>
                <w:sz w:val="18"/>
                <w:szCs w:val="18"/>
                <w:color w:val="auto"/>
              </w:rPr>
              <w:t>REGISTRATION BY WAY OF CONTINUATION</w:t>
            </w:r>
          </w:p>
        </w:tc>
        <w:tc>
          <w:tcPr>
            <w:tcW w:w="5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5400" w:type="dxa"/>
            <w:vAlign w:val="bottom"/>
          </w:tcPr>
          <w:p>
            <w:pPr>
              <w:spacing w:after="0"/>
              <w:rPr>
                <w:sz w:val="20"/>
                <w:szCs w:val="20"/>
                <w:color w:val="auto"/>
              </w:rPr>
            </w:pPr>
            <w:r>
              <w:rPr>
                <w:rFonts w:ascii="Arial" w:cs="Arial" w:eastAsia="Arial" w:hAnsi="Arial"/>
                <w:sz w:val="18"/>
                <w:szCs w:val="18"/>
                <w:color w:val="auto"/>
              </w:rPr>
              <w:t>DISCLOSURE</w:t>
            </w:r>
          </w:p>
        </w:tc>
        <w:tc>
          <w:tcPr>
            <w:tcW w:w="5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65"/>
        </w:trPr>
        <w:tc>
          <w:tcPr>
            <w:tcW w:w="5400" w:type="dxa"/>
            <w:vAlign w:val="bottom"/>
          </w:tcPr>
          <w:p>
            <w:pPr>
              <w:spacing w:after="0"/>
              <w:rPr>
                <w:sz w:val="24"/>
                <w:szCs w:val="24"/>
                <w:color w:val="auto"/>
              </w:rPr>
            </w:pPr>
          </w:p>
        </w:tc>
        <w:tc>
          <w:tcPr>
            <w:tcW w:w="5580" w:type="dxa"/>
            <w:vAlign w:val="bottom"/>
          </w:tcPr>
          <w:p>
            <w:pPr>
              <w:jc w:val="right"/>
              <w:ind w:right="5290"/>
              <w:spacing w:after="0"/>
              <w:rPr>
                <w:sz w:val="20"/>
                <w:szCs w:val="20"/>
                <w:color w:val="auto"/>
              </w:rPr>
            </w:pPr>
            <w:r>
              <w:rPr>
                <w:rFonts w:ascii="Arial" w:cs="Arial" w:eastAsia="Arial" w:hAnsi="Arial"/>
                <w:sz w:val="18"/>
                <w:szCs w:val="18"/>
                <w:color w:val="auto"/>
                <w:w w:val="89"/>
              </w:rPr>
              <w:t>10</w:t>
            </w:r>
          </w:p>
        </w:tc>
      </w:tr>
    </w:tbl>
    <w:p>
      <w:pPr>
        <w:jc w:val="right"/>
        <w:ind w:right="529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8" w:name="page249"/>
    <w:bookmarkEnd w:id="24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TERRITORY OF THE BRITISH VIRGIN ISLANDS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BVI BUSINESS COMPANIES ACT, 2004</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MSC Cotai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shall comprise the Articles of Association of </w:t>
      </w:r>
      <w:r>
        <w:rPr>
          <w:rFonts w:ascii="Arial" w:cs="Arial" w:eastAsia="Arial" w:hAnsi="Arial"/>
          <w:sz w:val="18"/>
          <w:szCs w:val="18"/>
          <w:b w:val="1"/>
          <w:bCs w:val="1"/>
          <w:color w:val="auto"/>
        </w:rPr>
        <w:t>MSC Cotai Limited</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440" w:hanging="436"/>
        <w:spacing w:after="0"/>
        <w:tabs>
          <w:tab w:leader="none" w:pos="4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w:t>
      </w:r>
    </w:p>
    <w:p>
      <w:pPr>
        <w:spacing w:after="0" w:line="113" w:lineRule="exact"/>
        <w:rPr>
          <w:rFonts w:ascii="Arial" w:cs="Arial" w:eastAsia="Arial" w:hAnsi="Arial"/>
          <w:sz w:val="18"/>
          <w:szCs w:val="18"/>
          <w:color w:val="auto"/>
        </w:rPr>
      </w:pPr>
    </w:p>
    <w:p>
      <w:pPr>
        <w:ind w:left="440" w:right="1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BVI Business Companies Act, 2004, including any modification, amendment, extension, re-enactment or renewal thereof and any regulations made thereunder;</w:t>
      </w:r>
    </w:p>
    <w:p>
      <w:pPr>
        <w:spacing w:after="0" w:line="53" w:lineRule="exact"/>
        <w:rPr>
          <w:rFonts w:ascii="Arial" w:cs="Arial" w:eastAsia="Arial" w:hAnsi="Arial"/>
          <w:sz w:val="18"/>
          <w:szCs w:val="18"/>
          <w:color w:val="auto"/>
        </w:rPr>
      </w:pPr>
    </w:p>
    <w:p>
      <w:pPr>
        <w:ind w:left="44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a Person who, directly or indirectly, through one or more intermediaries, controls, is controlled by or is under common control with, a specified Person;</w:t>
      </w:r>
    </w:p>
    <w:p>
      <w:pPr>
        <w:spacing w:after="0" w:line="53" w:lineRule="exact"/>
        <w:rPr>
          <w:rFonts w:ascii="Arial" w:cs="Arial" w:eastAsia="Arial" w:hAnsi="Arial"/>
          <w:sz w:val="18"/>
          <w:szCs w:val="18"/>
          <w:color w:val="auto"/>
        </w:rPr>
      </w:pPr>
    </w:p>
    <w:p>
      <w:pPr>
        <w:ind w:left="440" w:right="2380"/>
        <w:spacing w:after="0" w:line="42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means these articles of association of the Company, as amended and/or restated from time to time; “</w:t>
      </w:r>
      <w:r>
        <w:rPr>
          <w:rFonts w:ascii="Arial" w:cs="Arial" w:eastAsia="Arial" w:hAnsi="Arial"/>
          <w:sz w:val="16"/>
          <w:szCs w:val="16"/>
          <w:b w:val="1"/>
          <w:bCs w:val="1"/>
          <w:color w:val="auto"/>
        </w:rPr>
        <w:t>Class</w:t>
      </w:r>
      <w:r>
        <w:rPr>
          <w:rFonts w:ascii="Arial" w:cs="Arial" w:eastAsia="Arial" w:hAnsi="Arial"/>
          <w:sz w:val="16"/>
          <w:szCs w:val="16"/>
          <w:color w:val="auto"/>
        </w:rPr>
        <w:t>” or “</w:t>
      </w:r>
      <w:r>
        <w:rPr>
          <w:rFonts w:ascii="Arial" w:cs="Arial" w:eastAsia="Arial" w:hAnsi="Arial"/>
          <w:sz w:val="16"/>
          <w:szCs w:val="16"/>
          <w:b w:val="1"/>
          <w:bCs w:val="1"/>
          <w:color w:val="auto"/>
        </w:rPr>
        <w:t>Classes</w:t>
      </w:r>
      <w:r>
        <w:rPr>
          <w:rFonts w:ascii="Arial" w:cs="Arial" w:eastAsia="Arial" w:hAnsi="Arial"/>
          <w:sz w:val="16"/>
          <w:szCs w:val="16"/>
          <w:color w:val="auto"/>
        </w:rPr>
        <w:t>” means any class or classes of Shares as may from time to time be issued by the Company; “</w:t>
      </w:r>
      <w:r>
        <w:rPr>
          <w:rFonts w:ascii="Arial" w:cs="Arial" w:eastAsia="Arial" w:hAnsi="Arial"/>
          <w:sz w:val="16"/>
          <w:szCs w:val="16"/>
          <w:b w:val="1"/>
          <w:bCs w:val="1"/>
          <w:color w:val="auto"/>
        </w:rPr>
        <w:t>Code</w:t>
      </w:r>
      <w:r>
        <w:rPr>
          <w:rFonts w:ascii="Arial" w:cs="Arial" w:eastAsia="Arial" w:hAnsi="Arial"/>
          <w:sz w:val="16"/>
          <w:szCs w:val="16"/>
          <w:color w:val="auto"/>
        </w:rPr>
        <w:t>” means the United States Internal Revenue Code of 1986, as in effect from time to time.</w:t>
      </w:r>
    </w:p>
    <w:p>
      <w:pPr>
        <w:spacing w:after="0" w:line="1" w:lineRule="exact"/>
        <w:rPr>
          <w:rFonts w:ascii="Arial" w:cs="Arial" w:eastAsia="Arial" w:hAnsi="Arial"/>
          <w:sz w:val="18"/>
          <w:szCs w:val="18"/>
          <w:color w:val="auto"/>
        </w:rPr>
      </w:pPr>
    </w:p>
    <w:p>
      <w:pPr>
        <w:ind w:left="440" w:right="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the directors of the Company for the time being, or as the case may be, the directors assembled as a board or as a committee thereof, and “</w:t>
      </w:r>
      <w:r>
        <w:rPr>
          <w:rFonts w:ascii="Arial" w:cs="Arial" w:eastAsia="Arial" w:hAnsi="Arial"/>
          <w:sz w:val="18"/>
          <w:szCs w:val="18"/>
          <w:b w:val="1"/>
          <w:bCs w:val="1"/>
          <w:color w:val="auto"/>
        </w:rPr>
        <w:t>Director</w:t>
      </w:r>
      <w:r>
        <w:rPr>
          <w:rFonts w:ascii="Arial" w:cs="Arial" w:eastAsia="Arial" w:hAnsi="Arial"/>
          <w:sz w:val="18"/>
          <w:szCs w:val="18"/>
          <w:color w:val="auto"/>
        </w:rPr>
        <w:t>” means any one of them;</w:t>
      </w:r>
    </w:p>
    <w:p>
      <w:pPr>
        <w:spacing w:after="0" w:line="53" w:lineRule="exact"/>
        <w:rPr>
          <w:rFonts w:ascii="Arial" w:cs="Arial" w:eastAsia="Arial" w:hAnsi="Arial"/>
          <w:sz w:val="18"/>
          <w:szCs w:val="18"/>
          <w:color w:val="auto"/>
        </w:rPr>
      </w:pPr>
    </w:p>
    <w:p>
      <w:pPr>
        <w:ind w:left="440" w:right="14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Right</w:t>
      </w:r>
      <w:r>
        <w:rPr>
          <w:rFonts w:ascii="Arial" w:cs="Arial" w:eastAsia="Arial" w:hAnsi="Arial"/>
          <w:sz w:val="18"/>
          <w:szCs w:val="18"/>
          <w:color w:val="auto"/>
        </w:rPr>
        <w:t>” means any right, option, or warrant granted by SCIH to all holders of SCIH Class A Ordinary Shares to subscribe for, purchase, or otherwise acquire SCIH Class A Ordinary Shares, or other securities or rights convertible into, or exchangeable or exercisable for, SCIH Class A Ordinary Shares.</w:t>
      </w:r>
    </w:p>
    <w:p>
      <w:pPr>
        <w:spacing w:after="0" w:line="6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subject to the Act, in relation to a distribution by the Company to a Shareholder:</w:t>
      </w:r>
    </w:p>
    <w:p>
      <w:pPr>
        <w:spacing w:after="0" w:line="134" w:lineRule="exact"/>
        <w:rPr>
          <w:rFonts w:ascii="Arial" w:cs="Arial" w:eastAsia="Arial" w:hAnsi="Arial"/>
          <w:sz w:val="18"/>
          <w:szCs w:val="18"/>
          <w:color w:val="auto"/>
        </w:rPr>
      </w:pPr>
    </w:p>
    <w:p>
      <w:pPr>
        <w:ind w:left="860" w:hanging="424"/>
        <w:spacing w:after="0"/>
        <w:tabs>
          <w:tab w:leader="none" w:pos="8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direct or indirect transfer of an asset, other than Shares, to or for the benefit of the Shareholder;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incurring of a debt to or for the benefit of the Shareholder,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40" w:top="270" w:right="579" w:bottom="1440" w:gutter="0" w:footer="0" w:header="0"/>
        </w:sectPr>
      </w:pPr>
    </w:p>
    <w:bookmarkStart w:id="249" w:name="page250"/>
    <w:bookmarkEnd w:id="249"/>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relation to the Shares held by the Shareholder, and whether by means of the purchase of an asset, the purchase, redemption or other acquisition of Shares, a transfer of indebtedness or otherwise, and includes a dividend;</w:t>
      </w:r>
    </w:p>
    <w:p>
      <w:pPr>
        <w:spacing w:after="0" w:line="58"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“Equity Plan” </w:t>
      </w:r>
      <w:r>
        <w:rPr>
          <w:rFonts w:ascii="Arial" w:cs="Arial" w:eastAsia="Arial" w:hAnsi="Arial"/>
          <w:sz w:val="16"/>
          <w:szCs w:val="16"/>
          <w:color w:val="auto"/>
        </w:rPr>
        <w:t>means any compensation plan, agreement, or other arrangement that provides for the grant or issuance of equity or equity-based</w:t>
      </w:r>
      <w:r>
        <w:rPr>
          <w:rFonts w:ascii="Arial" w:cs="Arial" w:eastAsia="Arial" w:hAnsi="Arial"/>
          <w:sz w:val="16"/>
          <w:szCs w:val="16"/>
          <w:b w:val="1"/>
          <w:bCs w:val="1"/>
          <w:color w:val="auto"/>
        </w:rPr>
        <w:t xml:space="preserve"> </w:t>
      </w:r>
      <w:r>
        <w:rPr>
          <w:rFonts w:ascii="Arial" w:cs="Arial" w:eastAsia="Arial" w:hAnsi="Arial"/>
          <w:sz w:val="16"/>
          <w:szCs w:val="16"/>
          <w:color w:val="auto"/>
        </w:rPr>
        <w:t>awards (including share options) and that is approved by SCIH for the benefit of any of the employees of SCIH, the Company, Newco, or any Subsidiaries or Affiliates of Newco or other service providers (including directors, advisers and consultants), or the employees or other services providers (including directors, advisers and consultants) of any of their respective Affiliates or Subsidiaries.</w:t>
      </w:r>
    </w:p>
    <w:p>
      <w:pPr>
        <w:spacing w:after="0" w:line="4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means, with respect to any Person, shares or equity securities or any securities convertible into or exchangeable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for any shares or equity securities of such Person;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“Fractional Share” </w:t>
      </w:r>
      <w:r>
        <w:rPr>
          <w:rFonts w:ascii="Arial" w:cs="Arial" w:eastAsia="Arial" w:hAnsi="Arial"/>
          <w:sz w:val="18"/>
          <w:szCs w:val="18"/>
          <w:color w:val="auto"/>
        </w:rPr>
        <w:t>means a fraction of a Share;</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“Initial SCIH Shareholders Agreement” </w:t>
      </w:r>
      <w:r>
        <w:rPr>
          <w:rFonts w:ascii="Arial" w:cs="Arial" w:eastAsia="Arial" w:hAnsi="Arial"/>
          <w:sz w:val="18"/>
          <w:szCs w:val="18"/>
          <w:color w:val="auto"/>
        </w:rPr>
        <w:t>means the Shareholders Agreement dated July 27, 2011, as subsequently amended on September 25,</w:t>
      </w:r>
      <w:r>
        <w:rPr>
          <w:rFonts w:ascii="Arial" w:cs="Arial" w:eastAsia="Arial" w:hAnsi="Arial"/>
          <w:sz w:val="18"/>
          <w:szCs w:val="18"/>
          <w:b w:val="1"/>
          <w:bCs w:val="1"/>
          <w:color w:val="auto"/>
        </w:rPr>
        <w:t xml:space="preserve"> </w:t>
      </w:r>
      <w:r>
        <w:rPr>
          <w:rFonts w:ascii="Arial" w:cs="Arial" w:eastAsia="Arial" w:hAnsi="Arial"/>
          <w:sz w:val="18"/>
          <w:szCs w:val="18"/>
          <w:color w:val="auto"/>
        </w:rPr>
        <w:t>2012, May 17, 2013, June 3, 2014 and July 21, 2014, between MCE Cotai Investments Limited, an exempted company incorporated in the Cayman Islands, New Cotai, LLC, a limited liability company formed in Delaware, United States of America, Melco Resorts &amp; Entertainment Limited (formerly known as Melco Crown Entertainment Limited), an exempted company incorporated in the Cayman Islands, and SCIH. For the avoidance of doubt, the Initial SCIH Shareholders Agreement shall not include any other amendments, restatements or amended and restated agreement thereto;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“Memorandum” </w:t>
      </w:r>
      <w:r>
        <w:rPr>
          <w:rFonts w:ascii="Arial" w:cs="Arial" w:eastAsia="Arial" w:hAnsi="Arial"/>
          <w:sz w:val="18"/>
          <w:szCs w:val="18"/>
          <w:color w:val="auto"/>
        </w:rPr>
        <w:t>means the memorandum of association of the Company, as amended and/or restated from time to time;</w:t>
      </w:r>
    </w:p>
    <w:p>
      <w:pPr>
        <w:spacing w:after="0" w:line="117"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any Person appointed by the Directors as an officer of the Company and may include a chairman of the board of Directors, a</w:t>
      </w:r>
      <w:r>
        <w:rPr>
          <w:rFonts w:ascii="Arial" w:cs="Arial" w:eastAsia="Arial" w:hAnsi="Arial"/>
          <w:sz w:val="18"/>
          <w:szCs w:val="18"/>
          <w:b w:val="1"/>
          <w:bCs w:val="1"/>
          <w:color w:val="auto"/>
        </w:rPr>
        <w:t xml:space="preserve"> </w:t>
      </w:r>
      <w:r>
        <w:rPr>
          <w:rFonts w:ascii="Arial" w:cs="Arial" w:eastAsia="Arial" w:hAnsi="Arial"/>
          <w:sz w:val="18"/>
          <w:szCs w:val="18"/>
          <w:color w:val="auto"/>
        </w:rPr>
        <w:t>vice chairman of the board of Directors, a president, one or more vice presidents, secretaries and treasurers and such other officers as may from time to time be deemed desirable but shall exclude any auditor appointed by the Company;</w:t>
      </w:r>
    </w:p>
    <w:p>
      <w:pPr>
        <w:spacing w:after="0" w:line="68"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natural person, firm, company, joint venture, partnership, corporation, association or other entity (whether or not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legal personality) or any of them as the context so requires;</w:t>
      </w:r>
    </w:p>
    <w:p>
      <w:pPr>
        <w:spacing w:after="0" w:line="54" w:lineRule="exact"/>
        <w:rPr>
          <w:sz w:val="20"/>
          <w:szCs w:val="20"/>
          <w:color w:val="auto"/>
        </w:rPr>
      </w:pPr>
    </w:p>
    <w:p>
      <w:pPr>
        <w:ind w:right="2160"/>
        <w:spacing w:after="0" w:line="434" w:lineRule="auto"/>
        <w:rPr>
          <w:sz w:val="20"/>
          <w:szCs w:val="20"/>
          <w:color w:val="auto"/>
        </w:rPr>
      </w:pPr>
      <w:r>
        <w:rPr>
          <w:rFonts w:ascii="Arial" w:cs="Arial" w:eastAsia="Arial" w:hAnsi="Arial"/>
          <w:sz w:val="16"/>
          <w:szCs w:val="16"/>
          <w:b w:val="1"/>
          <w:bCs w:val="1"/>
          <w:color w:val="auto"/>
        </w:rPr>
        <w:t xml:space="preserve">“Register of Directors” </w:t>
      </w:r>
      <w:r>
        <w:rPr>
          <w:rFonts w:ascii="Arial" w:cs="Arial" w:eastAsia="Arial" w:hAnsi="Arial"/>
          <w:sz w:val="16"/>
          <w:szCs w:val="16"/>
          <w:color w:val="auto"/>
        </w:rPr>
        <w:t>means the register of the Directors of the Company required to be kept pursuant to the Act;</w:t>
      </w:r>
      <w:r>
        <w:rPr>
          <w:rFonts w:ascii="Arial" w:cs="Arial" w:eastAsia="Arial" w:hAnsi="Arial"/>
          <w:sz w:val="16"/>
          <w:szCs w:val="16"/>
          <w:b w:val="1"/>
          <w:bCs w:val="1"/>
          <w:color w:val="auto"/>
        </w:rPr>
        <w:t xml:space="preserve"> “Register of Members” </w:t>
      </w:r>
      <w:r>
        <w:rPr>
          <w:rFonts w:ascii="Arial" w:cs="Arial" w:eastAsia="Arial" w:hAnsi="Arial"/>
          <w:sz w:val="16"/>
          <w:szCs w:val="16"/>
          <w:color w:val="auto"/>
        </w:rPr>
        <w:t>means the register of the members of the Company required to be kept pursuant to the Act;</w:t>
      </w:r>
      <w:r>
        <w:rPr>
          <w:rFonts w:ascii="Arial" w:cs="Arial" w:eastAsia="Arial" w:hAnsi="Arial"/>
          <w:sz w:val="16"/>
          <w:szCs w:val="16"/>
          <w:b w:val="1"/>
          <w:bCs w:val="1"/>
          <w:color w:val="auto"/>
        </w:rPr>
        <w:t xml:space="preserve"> “Registered Agent” </w:t>
      </w:r>
      <w:r>
        <w:rPr>
          <w:rFonts w:ascii="Arial" w:cs="Arial" w:eastAsia="Arial" w:hAnsi="Arial"/>
          <w:sz w:val="16"/>
          <w:szCs w:val="16"/>
          <w:color w:val="auto"/>
        </w:rPr>
        <w:t>means the registered agent of the Company from time to time, as required by the Act;</w:t>
      </w:r>
      <w:r>
        <w:rPr>
          <w:rFonts w:ascii="Arial" w:cs="Arial" w:eastAsia="Arial" w:hAnsi="Arial"/>
          <w:sz w:val="16"/>
          <w:szCs w:val="16"/>
          <w:b w:val="1"/>
          <w:bCs w:val="1"/>
          <w:color w:val="auto"/>
        </w:rPr>
        <w:t xml:space="preserve"> “Registered Office” </w:t>
      </w:r>
      <w:r>
        <w:rPr>
          <w:rFonts w:ascii="Arial" w:cs="Arial" w:eastAsia="Arial" w:hAnsi="Arial"/>
          <w:sz w:val="16"/>
          <w:szCs w:val="16"/>
          <w:color w:val="auto"/>
        </w:rPr>
        <w:t>means the registered office of the Company from time to time, as required by the Act;</w:t>
      </w:r>
      <w:r>
        <w:rPr>
          <w:rFonts w:ascii="Arial" w:cs="Arial" w:eastAsia="Arial" w:hAnsi="Arial"/>
          <w:sz w:val="16"/>
          <w:szCs w:val="16"/>
          <w:b w:val="1"/>
          <w:bCs w:val="1"/>
          <w:color w:val="auto"/>
        </w:rPr>
        <w:t xml:space="preserve"> “Resolution of Directors” </w:t>
      </w:r>
      <w:r>
        <w:rPr>
          <w:rFonts w:ascii="Arial" w:cs="Arial" w:eastAsia="Arial" w:hAnsi="Arial"/>
          <w:sz w:val="16"/>
          <w:szCs w:val="16"/>
          <w:color w:val="auto"/>
        </w:rPr>
        <w:t>means, subject to the provisions of the Memorandum and these Articles, a resolution:</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250" w:name="page251"/>
    <w:bookmarkEnd w:id="250"/>
    <w:p>
      <w:pPr>
        <w:ind w:left="424" w:right="520" w:hanging="424"/>
        <w:spacing w:after="0" w:line="277"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approved at a duly convened and constituted meeting of Directors or of a committee of Directors, by the affirmative vote of a simple majority of the Directors present at such meeting who voted and did not abstain; or</w:t>
      </w:r>
    </w:p>
    <w:p>
      <w:pPr>
        <w:spacing w:after="0" w:line="75"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consented to in writing or by facsimile, electronic mail or other written electronic communications by a simple majority of the Directors (or a sole Director) or a simple majority of the members of a committee of Directors (or a sole member), as the case may be, in one or more instruments each signed by one or more of the Directors and the effective date of the resolution so adopted shall be the date on which the instrument, or the last of such instruments, if more than one, is executed.</w:t>
      </w:r>
    </w:p>
    <w:p>
      <w:pPr>
        <w:spacing w:after="0" w:line="79" w:lineRule="exact"/>
        <w:rPr>
          <w:sz w:val="20"/>
          <w:szCs w:val="20"/>
          <w:color w:val="auto"/>
        </w:rPr>
      </w:pPr>
    </w:p>
    <w:p>
      <w:pPr>
        <w:ind w:left="4" w:right="360"/>
        <w:spacing w:after="0" w:line="264" w:lineRule="auto"/>
        <w:rPr>
          <w:sz w:val="20"/>
          <w:szCs w:val="20"/>
          <w:color w:val="auto"/>
        </w:rPr>
      </w:pPr>
      <w:r>
        <w:rPr>
          <w:rFonts w:ascii="Arial" w:cs="Arial" w:eastAsia="Arial" w:hAnsi="Arial"/>
          <w:sz w:val="18"/>
          <w:szCs w:val="18"/>
          <w:color w:val="auto"/>
        </w:rPr>
        <w:t>Except as expressly provided to the contrary in the Memorandum and these Articles, each Director shall have one vote in relation to any Resolution of Directors. Where a Director is given more than one vote in any circumstances, he shall in the circumstances be counted for the purposes of establishing a majority, by the number of votes he casts;</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of Shareholders</w:t>
      </w:r>
      <w:r>
        <w:rPr>
          <w:rFonts w:ascii="Arial" w:cs="Arial" w:eastAsia="Arial" w:hAnsi="Arial"/>
          <w:sz w:val="18"/>
          <w:szCs w:val="18"/>
          <w:color w:val="auto"/>
        </w:rPr>
        <w:t>” means a resolution:</w:t>
      </w:r>
    </w:p>
    <w:p>
      <w:pPr>
        <w:spacing w:after="0" w:line="135" w:lineRule="exact"/>
        <w:rPr>
          <w:sz w:val="20"/>
          <w:szCs w:val="20"/>
          <w:color w:val="auto"/>
        </w:rPr>
      </w:pPr>
    </w:p>
    <w:p>
      <w:pPr>
        <w:ind w:left="424" w:right="240" w:hanging="424"/>
        <w:spacing w:after="0" w:line="312" w:lineRule="auto"/>
        <w:tabs>
          <w:tab w:leader="none" w:pos="42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passed by a simple majority, or such larger majority as may be specified in the Memorandum or these Articles, of such Shareholders as, being entitled to do so, vote in person or, where proxies are allowed, by proxy at a meeting of Shareholders of the Company and where a poll is taken regard shall be had in computing a majority to the number of votes to which each Shareholder is entitled; or</w:t>
      </w:r>
    </w:p>
    <w:p>
      <w:pPr>
        <w:spacing w:after="0" w:line="52" w:lineRule="exact"/>
        <w:rPr>
          <w:rFonts w:ascii="Arial" w:cs="Arial" w:eastAsia="Arial" w:hAnsi="Arial"/>
          <w:sz w:val="16"/>
          <w:szCs w:val="16"/>
          <w:color w:val="auto"/>
        </w:rPr>
      </w:pPr>
    </w:p>
    <w:p>
      <w:pPr>
        <w:ind w:left="424" w:hanging="424"/>
        <w:spacing w:after="0" w:line="279" w:lineRule="auto"/>
        <w:tabs>
          <w:tab w:leader="none" w:pos="42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approved in writing by a majority of in excess of 50 per cent or if a higher majority is required by the Memorandum or these Articles, that higher majority, of the votes of those Shareholders entitled to vote at a meeting of Shareholders of the Company (or a sole Shareholder) in one or more instruments each signed by one or more of the Shareholders and the effective date of the resolution so adopted shall be the date on which the instrument, or the last of such instruments, if more than one, is executed;</w:t>
      </w:r>
    </w:p>
    <w:p>
      <w:pPr>
        <w:spacing w:after="0" w:line="59"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SCIH</w:t>
      </w:r>
      <w:r>
        <w:rPr>
          <w:rFonts w:ascii="Arial" w:cs="Arial" w:eastAsia="Arial" w:hAnsi="Arial"/>
          <w:sz w:val="18"/>
          <w:szCs w:val="18"/>
          <w:color w:val="auto"/>
        </w:rPr>
        <w:t>” means STUDIO CITY INTERNATIONAL HOLDINGS LIMITED, a company incorporated in the British Virgin Islands with BVI business company number 399970;</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SCIH Class A Ordinary Shares</w:t>
      </w:r>
      <w:r>
        <w:rPr>
          <w:rFonts w:ascii="Arial" w:cs="Arial" w:eastAsia="Arial" w:hAnsi="Arial"/>
          <w:sz w:val="18"/>
          <w:szCs w:val="18"/>
          <w:color w:val="auto"/>
        </w:rPr>
        <w:t>” means class A ordinary shares in the share capital of SCIH in issue from time to time;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common seal of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any Person appointed by the Directors to perform any of the duties of the secretary of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means a division of a Class as may from time to time be issued by the Company;</w:t>
      </w:r>
    </w:p>
    <w:p>
      <w:pPr>
        <w:spacing w:after="0" w:line="117" w:lineRule="exact"/>
        <w:rPr>
          <w:sz w:val="20"/>
          <w:szCs w:val="20"/>
          <w:color w:val="auto"/>
        </w:rPr>
      </w:pPr>
    </w:p>
    <w:p>
      <w:pPr>
        <w:ind w:left="4" w:right="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an ordinary share in the Company issued subject to and in accordance with the provisions of the Act, the Memorandum and these Articles. For the avoidance of doubt in these Articles the expression “</w:t>
      </w:r>
      <w:r>
        <w:rPr>
          <w:rFonts w:ascii="Arial" w:cs="Arial" w:eastAsia="Arial" w:hAnsi="Arial"/>
          <w:sz w:val="17"/>
          <w:szCs w:val="17"/>
          <w:b w:val="1"/>
          <w:bCs w:val="1"/>
          <w:color w:val="auto"/>
        </w:rPr>
        <w:t>Share</w:t>
      </w:r>
      <w:r>
        <w:rPr>
          <w:rFonts w:ascii="Arial" w:cs="Arial" w:eastAsia="Arial" w:hAnsi="Arial"/>
          <w:sz w:val="17"/>
          <w:szCs w:val="17"/>
          <w:color w:val="auto"/>
        </w:rPr>
        <w:t>” shall include any Fractional Share;</w:t>
      </w:r>
    </w:p>
    <w:p>
      <w:pPr>
        <w:spacing w:after="0" w:line="30" w:lineRule="exact"/>
        <w:rPr>
          <w:sz w:val="20"/>
          <w:szCs w:val="20"/>
          <w:color w:val="auto"/>
        </w:rPr>
      </w:pPr>
    </w:p>
    <w:p>
      <w:pPr>
        <w:ind w:left="4" w:right="2020"/>
        <w:spacing w:after="0" w:line="4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w:t>
      </w:r>
      <w:r>
        <w:rPr>
          <w:rFonts w:ascii="Arial" w:cs="Arial" w:eastAsia="Arial" w:hAnsi="Arial"/>
          <w:sz w:val="17"/>
          <w:szCs w:val="17"/>
          <w:color w:val="auto"/>
        </w:rPr>
        <w:t>” means a Person whose name is entered as a holder of one or more Shares in the Register of Members; “</w:t>
      </w:r>
      <w:r>
        <w:rPr>
          <w:rFonts w:ascii="Arial" w:cs="Arial" w:eastAsia="Arial" w:hAnsi="Arial"/>
          <w:sz w:val="17"/>
          <w:szCs w:val="17"/>
          <w:b w:val="1"/>
          <w:bCs w:val="1"/>
          <w:color w:val="auto"/>
        </w:rPr>
        <w:t>signed</w:t>
      </w:r>
      <w:r>
        <w:rPr>
          <w:rFonts w:ascii="Arial" w:cs="Arial" w:eastAsia="Arial" w:hAnsi="Arial"/>
          <w:sz w:val="17"/>
          <w:szCs w:val="17"/>
          <w:color w:val="auto"/>
        </w:rPr>
        <w:t>” means bearing a signature or representation of a signature affixed by mechanical means;</w:t>
      </w:r>
    </w:p>
    <w:p>
      <w:pPr>
        <w:jc w:val="center"/>
        <w:ind w:right="33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4"/>
          </w:cols>
          <w:pgMar w:left="876" w:top="274" w:right="519" w:bottom="1440" w:gutter="0" w:footer="0" w:header="0"/>
        </w:sectPr>
      </w:pPr>
    </w:p>
    <w:bookmarkStart w:id="251" w:name="page252"/>
    <w:bookmarkEnd w:id="251"/>
    <w:p>
      <w:pPr>
        <w:ind w:left="436" w:right="2960"/>
        <w:spacing w:after="0" w:line="3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Solvency Test</w:t>
      </w:r>
      <w:r>
        <w:rPr>
          <w:rFonts w:ascii="Arial" w:cs="Arial" w:eastAsia="Arial" w:hAnsi="Arial"/>
          <w:sz w:val="18"/>
          <w:szCs w:val="18"/>
          <w:color w:val="auto"/>
        </w:rPr>
        <w:t>” means the solvency test prescribed by section 56 of the Act and set out in Article 123; “</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ind w:left="436" w:right="20" w:firstLine="4"/>
        <w:spacing w:after="0" w:line="297" w:lineRule="auto"/>
        <w:tabs>
          <w:tab w:leader="none" w:pos="65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(i) more than 50% of the total voting power of shares of capital stock entitled (without regard to the occurrence of any contingency and after giving effect to any voting agreement or shareholders’ agreement that effectively transfers voting power) to vote in the election of directors, managers or trustees of the corporation, association or other business entity that is at the time owned or controlled, directly or indirectly, by such Person or one or more of the other Subsidiaries of such Person (or a combination thereof) or (ii) the composition of its board of directors is directly or indirectly controlled by such Person; and</w:t>
      </w:r>
    </w:p>
    <w:p>
      <w:pPr>
        <w:spacing w:after="0" w:line="50" w:lineRule="exact"/>
        <w:rPr>
          <w:rFonts w:ascii="Arial" w:cs="Arial" w:eastAsia="Arial" w:hAnsi="Arial"/>
          <w:sz w:val="16"/>
          <w:szCs w:val="16"/>
          <w:color w:val="auto"/>
        </w:rPr>
      </w:pPr>
    </w:p>
    <w:p>
      <w:pPr>
        <w:ind w:left="436" w:firstLine="4"/>
        <w:spacing w:after="0" w:line="302" w:lineRule="auto"/>
        <w:tabs>
          <w:tab w:leader="none" w:pos="70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any partnership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42" w:lineRule="exact"/>
        <w:rPr>
          <w:sz w:val="20"/>
          <w:szCs w:val="20"/>
          <w:color w:val="auto"/>
        </w:rPr>
      </w:pPr>
    </w:p>
    <w:p>
      <w:pPr>
        <w:ind w:left="436"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Shares</w:t>
      </w:r>
      <w:r>
        <w:rPr>
          <w:rFonts w:ascii="Arial" w:cs="Arial" w:eastAsia="Arial" w:hAnsi="Arial"/>
          <w:sz w:val="18"/>
          <w:szCs w:val="18"/>
          <w:color w:val="auto"/>
        </w:rPr>
        <w:t>” means Shares that were previously issued but were purchased, redeemed or otherwise acquired by the Company and not cancelled;</w:t>
      </w:r>
    </w:p>
    <w:p>
      <w:pPr>
        <w:spacing w:after="0" w:line="54" w:lineRule="exact"/>
        <w:rPr>
          <w:sz w:val="20"/>
          <w:szCs w:val="20"/>
          <w:color w:val="auto"/>
        </w:rPr>
      </w:pPr>
    </w:p>
    <w:p>
      <w:pPr>
        <w:ind w:left="436" w:right="2060"/>
        <w:spacing w:after="0" w:line="4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Regulations</w:t>
      </w:r>
      <w:r>
        <w:rPr>
          <w:rFonts w:ascii="Arial" w:cs="Arial" w:eastAsia="Arial" w:hAnsi="Arial"/>
          <w:sz w:val="16"/>
          <w:szCs w:val="16"/>
          <w:color w:val="auto"/>
        </w:rPr>
        <w:t>” means regulations promulgated by the U.S. Internal Revenue Service under the Code; and “</w:t>
      </w:r>
      <w:r>
        <w:rPr>
          <w:rFonts w:ascii="Arial" w:cs="Arial" w:eastAsia="Arial" w:hAnsi="Arial"/>
          <w:sz w:val="16"/>
          <w:szCs w:val="16"/>
          <w:b w:val="1"/>
          <w:bCs w:val="1"/>
          <w:color w:val="auto"/>
        </w:rPr>
        <w:t>U.S. Tax Purposes</w:t>
      </w:r>
      <w:r>
        <w:rPr>
          <w:rFonts w:ascii="Arial" w:cs="Arial" w:eastAsia="Arial" w:hAnsi="Arial"/>
          <w:sz w:val="16"/>
          <w:szCs w:val="16"/>
          <w:color w:val="auto"/>
        </w:rPr>
        <w:t>” means, as the context requires, U.S. federal, state, and/or local income tax purposes.</w:t>
      </w:r>
    </w:p>
    <w:p>
      <w:pPr>
        <w:ind w:left="436" w:hanging="436"/>
        <w:spacing w:after="0"/>
        <w:tabs>
          <w:tab w:leader="none" w:pos="43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words importing the singular number shall include the plural number and vice versa;</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words importing the masculine gender only shall include the feminine gender and any Person as the context may require;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word “may” shall be construed as permissive and the word “shall” shall be construed as imperative;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0"/>
        </w:numPr>
        <w:rPr>
          <w:rFonts w:ascii="Arial" w:cs="Arial" w:eastAsia="Arial" w:hAnsi="Arial"/>
          <w:sz w:val="17"/>
          <w:szCs w:val="17"/>
          <w:color w:val="auto"/>
        </w:rPr>
      </w:pPr>
      <w:r>
        <w:rPr>
          <w:rFonts w:ascii="Arial" w:cs="Arial" w:eastAsia="Arial" w:hAnsi="Arial"/>
          <w:sz w:val="17"/>
          <w:szCs w:val="17"/>
          <w:color w:val="auto"/>
        </w:rPr>
        <w:t>reference to a statutory enactment shall include reference to any amendment or re-enactment thereof for the time being in force;</w:t>
      </w:r>
    </w:p>
    <w:p>
      <w:pPr>
        <w:spacing w:after="0" w:line="142" w:lineRule="exact"/>
        <w:rPr>
          <w:rFonts w:ascii="Arial" w:cs="Arial" w:eastAsia="Arial" w:hAnsi="Arial"/>
          <w:sz w:val="17"/>
          <w:szCs w:val="17"/>
          <w:color w:val="auto"/>
        </w:rPr>
      </w:pPr>
    </w:p>
    <w:p>
      <w:pPr>
        <w:ind w:left="856" w:right="60" w:hanging="424"/>
        <w:spacing w:after="0" w:line="277" w:lineRule="auto"/>
        <w:tabs>
          <w:tab w:leader="none" w:pos="85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reference to any determination by the Directors shall be construed as a determination by the Directors in their sole and absolute discretion and shall be applicable either generally or in any particular case; and</w:t>
      </w:r>
    </w:p>
    <w:p>
      <w:pPr>
        <w:spacing w:after="0" w:line="75" w:lineRule="exact"/>
        <w:rPr>
          <w:rFonts w:ascii="Arial" w:cs="Arial" w:eastAsia="Arial" w:hAnsi="Arial"/>
          <w:sz w:val="18"/>
          <w:szCs w:val="18"/>
          <w:color w:val="auto"/>
        </w:rPr>
      </w:pPr>
    </w:p>
    <w:p>
      <w:pPr>
        <w:ind w:left="856" w:right="20" w:hanging="424"/>
        <w:spacing w:after="0" w:line="264" w:lineRule="auto"/>
        <w:tabs>
          <w:tab w:leader="none" w:pos="85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reference to “in writing” shall be construed as written or represented by any means reproducible in writing, including any form of print, lithograph, email, facsimile or photograph or represented by any other substitute or format for storage or transmission for writing or partly one and partly another.</w:t>
      </w:r>
    </w:p>
    <w:p>
      <w:pPr>
        <w:spacing w:after="0" w:line="86" w:lineRule="exact"/>
        <w:rPr>
          <w:rFonts w:ascii="Arial" w:cs="Arial" w:eastAsia="Arial" w:hAnsi="Arial"/>
          <w:sz w:val="18"/>
          <w:szCs w:val="18"/>
          <w:color w:val="auto"/>
        </w:rPr>
      </w:pPr>
    </w:p>
    <w:p>
      <w:pPr>
        <w:ind w:left="436" w:right="460" w:hanging="436"/>
        <w:spacing w:after="0" w:line="277" w:lineRule="auto"/>
        <w:tabs>
          <w:tab w:leader="none" w:pos="43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Subject to the last two preceding Articles, any words defined in the Act shall, if not inconsistent with the subject or context, bear the same meaning in these Articles.</w:t>
      </w:r>
    </w:p>
    <w:p>
      <w:pPr>
        <w:spacing w:after="0" w:line="103" w:lineRule="exact"/>
        <w:rPr>
          <w:sz w:val="20"/>
          <w:szCs w:val="20"/>
          <w:color w:val="auto"/>
        </w:rPr>
      </w:pPr>
    </w:p>
    <w:p>
      <w:pPr>
        <w:jc w:val="center"/>
        <w:ind w:right="-17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36"/>
          </w:cols>
          <w:pgMar w:left="444" w:top="270" w:right="619" w:bottom="1440" w:gutter="0" w:footer="0" w:header="0"/>
        </w:sectPr>
      </w:pPr>
    </w:p>
    <w:bookmarkStart w:id="252" w:name="page253"/>
    <w:bookmarkEnd w:id="252"/>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PRELIMINARY</w:t>
      </w:r>
    </w:p>
    <w:p>
      <w:pPr>
        <w:spacing w:after="0" w:line="256" w:lineRule="exact"/>
        <w:rPr>
          <w:sz w:val="20"/>
          <w:szCs w:val="20"/>
          <w:color w:val="auto"/>
        </w:rPr>
      </w:pPr>
    </w:p>
    <w:p>
      <w:pPr>
        <w:ind w:left="436" w:hanging="436"/>
        <w:spacing w:after="0"/>
        <w:tabs>
          <w:tab w:leader="none" w:pos="43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business of the Company may be commenced at any time after incorporation.</w:t>
      </w:r>
    </w:p>
    <w:p>
      <w:pPr>
        <w:spacing w:after="0" w:line="130" w:lineRule="exact"/>
        <w:rPr>
          <w:rFonts w:ascii="Arial" w:cs="Arial" w:eastAsia="Arial" w:hAnsi="Arial"/>
          <w:sz w:val="18"/>
          <w:szCs w:val="18"/>
          <w:color w:val="auto"/>
        </w:rPr>
      </w:pPr>
    </w:p>
    <w:p>
      <w:pPr>
        <w:ind w:left="436" w:right="40" w:hanging="436"/>
        <w:spacing w:after="0" w:line="264" w:lineRule="auto"/>
        <w:tabs>
          <w:tab w:leader="none" w:pos="43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Registered Office shall be at such address in the British Virgin Islands as the Shareholders or Directors may from time to time determine. The Company may in addition establish and maintain such other offices and places of business and agencies in such places as the Directors may from time to time determine.</w:t>
      </w:r>
    </w:p>
    <w:p>
      <w:pPr>
        <w:spacing w:after="0" w:line="86" w:lineRule="exact"/>
        <w:rPr>
          <w:rFonts w:ascii="Arial" w:cs="Arial" w:eastAsia="Arial" w:hAnsi="Arial"/>
          <w:sz w:val="18"/>
          <w:szCs w:val="18"/>
          <w:color w:val="auto"/>
        </w:rPr>
      </w:pPr>
    </w:p>
    <w:p>
      <w:pPr>
        <w:ind w:left="436" w:right="140" w:hanging="436"/>
        <w:spacing w:after="0" w:line="277" w:lineRule="auto"/>
        <w:tabs>
          <w:tab w:leader="none" w:pos="43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expenses incurred in the formation of the Company and in connection with the offer for subscription and issue of Shares shall be paid by the Company.</w:t>
      </w:r>
    </w:p>
    <w:p>
      <w:pPr>
        <w:spacing w:after="0" w:line="75" w:lineRule="exact"/>
        <w:rPr>
          <w:rFonts w:ascii="Arial" w:cs="Arial" w:eastAsia="Arial" w:hAnsi="Arial"/>
          <w:sz w:val="18"/>
          <w:szCs w:val="18"/>
          <w:color w:val="auto"/>
        </w:rPr>
      </w:pPr>
    </w:p>
    <w:p>
      <w:pPr>
        <w:ind w:left="436" w:right="100" w:hanging="436"/>
        <w:spacing w:after="0" w:line="286" w:lineRule="auto"/>
        <w:tabs>
          <w:tab w:leader="none" w:pos="436"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Directors shall keep, or cause to be kept, the original Register of Members at such place as the Directors may from time to time determine and, in the absence of any such determination, the original Register of Members shall be kept at the office of the Registered Agent. If the original Register of Members is not kept at the office of the Registered Agent, a copy of it shall be kept there.</w:t>
      </w:r>
    </w:p>
    <w:p>
      <w:pPr>
        <w:spacing w:after="0" w:line="378"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SHARES</w:t>
      </w:r>
    </w:p>
    <w:p>
      <w:pPr>
        <w:spacing w:after="0" w:line="256" w:lineRule="exact"/>
        <w:rPr>
          <w:sz w:val="20"/>
          <w:szCs w:val="20"/>
          <w:color w:val="auto"/>
        </w:rPr>
      </w:pPr>
    </w:p>
    <w:p>
      <w:pPr>
        <w:ind w:left="436" w:right="340" w:hanging="436"/>
        <w:spacing w:after="0" w:line="277" w:lineRule="auto"/>
        <w:tabs>
          <w:tab w:leader="none" w:pos="43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Subject to the Act, the Memorandum and these Articles (including but not limited to Articles 9 and 10), all Shares for the time being unissued shall be under the control of the Directors who may:</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issue, allot and dispose of the same to SCIH;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2"/>
        </w:numPr>
        <w:rPr>
          <w:rFonts w:ascii="Arial" w:cs="Arial" w:eastAsia="Arial" w:hAnsi="Arial"/>
          <w:sz w:val="18"/>
          <w:szCs w:val="18"/>
          <w:color w:val="auto"/>
        </w:rPr>
      </w:pPr>
      <w:r>
        <w:rPr>
          <w:rFonts w:ascii="Arial" w:cs="Arial" w:eastAsia="Arial" w:hAnsi="Arial"/>
          <w:sz w:val="18"/>
          <w:szCs w:val="18"/>
          <w:color w:val="auto"/>
        </w:rPr>
        <w:t>grant options with respect to Shares and issue warrants or similar instruments with respect thereto to SCIH;</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and, for such purposes, the Directors may reserve an appropriate number of Shares for the time being unissued.</w:t>
      </w:r>
    </w:p>
    <w:p>
      <w:pPr>
        <w:spacing w:after="0" w:line="131" w:lineRule="exact"/>
        <w:rPr>
          <w:sz w:val="20"/>
          <w:szCs w:val="20"/>
          <w:color w:val="auto"/>
        </w:rPr>
      </w:pPr>
    </w:p>
    <w:p>
      <w:pPr>
        <w:ind w:left="436" w:right="340" w:hanging="436"/>
        <w:spacing w:after="0" w:line="277" w:lineRule="auto"/>
        <w:tabs>
          <w:tab w:leader="none" w:pos="43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Notwithstanding any other provision of the Memorandum or these Articles and during such time as one or more participation arrangements or participation agreements into which the Company has entered remain in effect:</w:t>
      </w:r>
    </w:p>
    <w:p>
      <w:pPr>
        <w:spacing w:after="0" w:line="75" w:lineRule="exact"/>
        <w:rPr>
          <w:rFonts w:ascii="Arial" w:cs="Arial" w:eastAsia="Arial" w:hAnsi="Arial"/>
          <w:sz w:val="18"/>
          <w:szCs w:val="18"/>
          <w:color w:val="auto"/>
        </w:rPr>
      </w:pPr>
    </w:p>
    <w:p>
      <w:pPr>
        <w:ind w:left="856" w:right="260" w:hanging="424"/>
        <w:spacing w:after="0" w:line="277" w:lineRule="auto"/>
        <w:tabs>
          <w:tab w:leader="none" w:pos="85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Company shall only issue ordinary Shares, Equity Securities or Corresponding Securities (defined below) of which all shall be issued fully paid or credited as fully paid to SCIH and SCIH shall be the sole Shareholder of the Company.</w:t>
      </w:r>
    </w:p>
    <w:p>
      <w:pPr>
        <w:spacing w:after="0" w:line="75" w:lineRule="exact"/>
        <w:rPr>
          <w:rFonts w:ascii="Arial" w:cs="Arial" w:eastAsia="Arial" w:hAnsi="Arial"/>
          <w:sz w:val="18"/>
          <w:szCs w:val="18"/>
          <w:color w:val="auto"/>
        </w:rPr>
      </w:pPr>
    </w:p>
    <w:p>
      <w:pPr>
        <w:ind w:left="856" w:hanging="424"/>
        <w:spacing w:after="0" w:line="291" w:lineRule="auto"/>
        <w:tabs>
          <w:tab w:leader="none" w:pos="856" w:val="left"/>
        </w:tabs>
        <w:numPr>
          <w:ilvl w:val="1"/>
          <w:numId w:val="273"/>
        </w:numPr>
        <w:rPr>
          <w:rFonts w:ascii="Arial" w:cs="Arial" w:eastAsia="Arial" w:hAnsi="Arial"/>
          <w:sz w:val="16"/>
          <w:szCs w:val="16"/>
          <w:color w:val="auto"/>
        </w:rPr>
      </w:pPr>
      <w:r>
        <w:rPr>
          <w:rFonts w:ascii="Arial" w:cs="Arial" w:eastAsia="Arial" w:hAnsi="Arial"/>
          <w:sz w:val="16"/>
          <w:szCs w:val="16"/>
          <w:color w:val="auto"/>
        </w:rPr>
        <w:t>the Company shall maintain the number of issued Shares so as to equal at all times the number of issued SCIH Class A Ordinary Shares and, in the event that any Equity Securities issued by SCIH are securities convertible into or exchangeable or exercisable for Equity Securities of SCIH (other than an option to purchase SCIH Class A Ordinary Shares in connection with any Equity Plan) (including Distributed Rights but excluding any option issued in connection with any Equity Plan), the Company shall, with respect to such convertible, exchangeable, or exercisable securities, issue to SCIH a like amount and type of convertible, exchangeable, or exercisable securities (“</w:t>
      </w:r>
      <w:r>
        <w:rPr>
          <w:rFonts w:ascii="Arial" w:cs="Arial" w:eastAsia="Arial" w:hAnsi="Arial"/>
          <w:sz w:val="16"/>
          <w:szCs w:val="16"/>
          <w:b w:val="1"/>
          <w:bCs w:val="1"/>
          <w:color w:val="auto"/>
        </w:rPr>
        <w:t>Corresponding</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that shall convert into or be exchanged or exercised for Equity Securities of the Company at the same time(s) and in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number(s) as the applicable securities of SCIH shall then convert or be exchanged or exercised into.</w:t>
      </w:r>
    </w:p>
    <w:p>
      <w:pPr>
        <w:spacing w:after="0" w:line="72" w:lineRule="exact"/>
        <w:rPr>
          <w:rFonts w:ascii="Arial" w:cs="Arial" w:eastAsia="Arial" w:hAnsi="Arial"/>
          <w:sz w:val="16"/>
          <w:szCs w:val="16"/>
          <w:color w:val="auto"/>
        </w:rPr>
      </w:pPr>
    </w:p>
    <w:p>
      <w:pPr>
        <w:ind w:left="436" w:hanging="436"/>
        <w:spacing w:after="0"/>
        <w:tabs>
          <w:tab w:leader="none" w:pos="43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pre-emption rights set out in section 46 of the Act shall not apply to the Company.</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96"/>
          </w:cols>
          <w:pgMar w:left="444" w:top="270" w:right="459" w:bottom="1440" w:gutter="0" w:footer="0" w:header="0"/>
        </w:sectPr>
      </w:pPr>
    </w:p>
    <w:bookmarkStart w:id="253" w:name="page254"/>
    <w:bookmarkEnd w:id="253"/>
    <w:p>
      <w:pPr>
        <w:ind w:left="436" w:right="280" w:hanging="436"/>
        <w:spacing w:after="0" w:line="264" w:lineRule="auto"/>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insofar as may be permitted by law, pay a commission in any form to any Person in consideration of his subscribing or agreeing to subscribe whether absolutely or conditionally for any Shares. The Company may also pay such brokerage as may be lawful on any issue of Shares.</w:t>
      </w:r>
    </w:p>
    <w:p>
      <w:pPr>
        <w:spacing w:after="0" w:line="86" w:lineRule="exact"/>
        <w:rPr>
          <w:rFonts w:ascii="Arial" w:cs="Arial" w:eastAsia="Arial" w:hAnsi="Arial"/>
          <w:sz w:val="18"/>
          <w:szCs w:val="18"/>
          <w:color w:val="auto"/>
        </w:rPr>
      </w:pPr>
    </w:p>
    <w:p>
      <w:pPr>
        <w:ind w:left="436" w:hanging="436"/>
        <w:spacing w:after="0"/>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Directors shall refuse to accept any application for Shares from any Person other than SCIH.</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Company may treat the holder of a Share as named in the Register of Members as the only Person entitled, with respect to such Share, to:</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exercise any voting rights attaching to such Share;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receive notices;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receive a Distribution;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exercise other rights and powers attaching to such Share.</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may, subject to the terms of the Act and these Articles issue bonus Shares.</w:t>
      </w:r>
    </w:p>
    <w:p>
      <w:pPr>
        <w:spacing w:after="0" w:line="130" w:lineRule="exact"/>
        <w:rPr>
          <w:rFonts w:ascii="Arial" w:cs="Arial" w:eastAsia="Arial" w:hAnsi="Arial"/>
          <w:sz w:val="18"/>
          <w:szCs w:val="18"/>
          <w:color w:val="auto"/>
        </w:rPr>
      </w:pPr>
    </w:p>
    <w:p>
      <w:pPr>
        <w:ind w:left="436" w:hanging="436"/>
        <w:spacing w:after="0" w:line="257" w:lineRule="auto"/>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Shares may, subject to the terms of the Act and these Articles, be issued for consideration in any form or a combination of forms, including money, a promissory note or other written obligation to contribute money or property, real property, personal property (including goodwill and know how), services rendered or a contract for future services. Shares may be issued for such amount of consideration as the Directors may from time to time by Resolution of Directors determine, except that in the case of Shares issued with a par value, the consideration paid or payable shall not be less than the par value.</w:t>
      </w:r>
    </w:p>
    <w:p>
      <w:pPr>
        <w:spacing w:after="0" w:line="93" w:lineRule="exact"/>
        <w:rPr>
          <w:rFonts w:ascii="Arial" w:cs="Arial" w:eastAsia="Arial" w:hAnsi="Arial"/>
          <w:sz w:val="18"/>
          <w:szCs w:val="18"/>
          <w:color w:val="auto"/>
        </w:rPr>
      </w:pPr>
    </w:p>
    <w:p>
      <w:pPr>
        <w:ind w:left="436" w:right="300" w:hanging="436"/>
        <w:spacing w:after="0" w:line="342" w:lineRule="auto"/>
        <w:tabs>
          <w:tab w:leader="none" w:pos="43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When the consideration in respect of the Share has been paid or the Share has been issued as a bonus Share, that Share is for all purposes fully paid, but if a Share is not fully paid on issue, the Share shall be subject to forfeiture in the manner prescribed in these Articles.</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Before issuing Shares for a consideration which is in whole or in part other than money, the Directors shall by a Resolution of Directors state:</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amount to be credited for the issue of the Shares; and</w:t>
      </w:r>
    </w:p>
    <w:p>
      <w:pPr>
        <w:spacing w:after="0" w:line="130" w:lineRule="exact"/>
        <w:rPr>
          <w:rFonts w:ascii="Arial" w:cs="Arial" w:eastAsia="Arial" w:hAnsi="Arial"/>
          <w:sz w:val="18"/>
          <w:szCs w:val="18"/>
          <w:color w:val="auto"/>
        </w:rPr>
      </w:pPr>
    </w:p>
    <w:p>
      <w:pPr>
        <w:ind w:left="856" w:right="100" w:hanging="424"/>
        <w:spacing w:after="0" w:line="277" w:lineRule="auto"/>
        <w:tabs>
          <w:tab w:leader="none" w:pos="85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that, in their opinion, the present cash value of the non-money consideration and money consideration, if any, is not less than the amount to be credited for the issue of the Shares.</w:t>
      </w:r>
    </w:p>
    <w:p>
      <w:pPr>
        <w:spacing w:after="0" w:line="75" w:lineRule="exact"/>
        <w:rPr>
          <w:rFonts w:ascii="Arial" w:cs="Arial" w:eastAsia="Arial" w:hAnsi="Arial"/>
          <w:sz w:val="18"/>
          <w:szCs w:val="18"/>
          <w:color w:val="auto"/>
        </w:rPr>
      </w:pPr>
    </w:p>
    <w:p>
      <w:pPr>
        <w:ind w:left="436" w:right="20" w:hanging="436"/>
        <w:spacing w:after="0" w:line="264" w:lineRule="auto"/>
        <w:tabs>
          <w:tab w:leader="none" w:pos="4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Share issued by the Company upon conversion of, or in exchange for, another Share or a debt obligation or other security in the Company, shall be treated for all purposes as having been issued for money equal to the value of the consideration received or deemed to have been received by the Company in respect of the other Share, debt obligation or security.</w:t>
      </w:r>
    </w:p>
    <w:p>
      <w:pPr>
        <w:spacing w:after="0" w:line="39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PARTICIPATION</w:t>
      </w:r>
    </w:p>
    <w:p>
      <w:pPr>
        <w:spacing w:after="0" w:line="256" w:lineRule="exact"/>
        <w:rPr>
          <w:sz w:val="20"/>
          <w:szCs w:val="20"/>
          <w:color w:val="auto"/>
        </w:rPr>
      </w:pPr>
    </w:p>
    <w:p>
      <w:pPr>
        <w:ind w:left="436" w:right="120" w:hanging="436"/>
        <w:spacing w:after="0" w:line="308" w:lineRule="auto"/>
        <w:tabs>
          <w:tab w:leader="none" w:pos="43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Company may enter into participation arrangements or participation agreements and, in such event, the Company shall and the Shareholders shall procure that the Company shall comply with the terms of such participation arrangements or participation agreements.</w:t>
      </w:r>
    </w:p>
    <w:p>
      <w:pPr>
        <w:spacing w:after="0" w:line="359"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CERTIFICATES</w:t>
      </w:r>
    </w:p>
    <w:p>
      <w:pPr>
        <w:spacing w:after="0" w:line="256" w:lineRule="exact"/>
        <w:rPr>
          <w:sz w:val="20"/>
          <w:szCs w:val="20"/>
          <w:color w:val="auto"/>
        </w:rPr>
      </w:pPr>
    </w:p>
    <w:p>
      <w:pPr>
        <w:ind w:left="436" w:right="180" w:hanging="436"/>
        <w:spacing w:after="0" w:line="302" w:lineRule="auto"/>
        <w:tabs>
          <w:tab w:leader="none" w:pos="43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Unless the Directors otherwise determine, share certificates shall not be issued provided that the Company shall, at the request of a Shareholder, issue a share certificate evidencing the number and Class of Shares held by that Shareholder signed by a Director or such other Person who has been duly authorised by a Resolution of Directors (an “</w:t>
      </w:r>
      <w:r>
        <w:rPr>
          <w:rFonts w:ascii="Arial" w:cs="Arial" w:eastAsia="Arial" w:hAnsi="Arial"/>
          <w:sz w:val="16"/>
          <w:szCs w:val="16"/>
          <w:b w:val="1"/>
          <w:bCs w:val="1"/>
          <w:color w:val="auto"/>
        </w:rPr>
        <w:t>Authorised Person</w:t>
      </w:r>
      <w:r>
        <w:rPr>
          <w:rFonts w:ascii="Arial" w:cs="Arial" w:eastAsia="Arial" w:hAnsi="Arial"/>
          <w:sz w:val="16"/>
          <w:szCs w:val="16"/>
          <w:color w:val="auto"/>
        </w:rPr>
        <w:t>”) or under the Seal, with or without the signature of a Director or an Authorised Person. The signature of the Director or of the Authorised Person and the Seal may be a facsimile.</w:t>
      </w:r>
    </w:p>
    <w:p>
      <w:pPr>
        <w:spacing w:after="0" w:line="87"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76"/>
          </w:cols>
          <w:pgMar w:left="444" w:top="274" w:right="479" w:bottom="1440" w:gutter="0" w:footer="0" w:header="0"/>
        </w:sectPr>
      </w:pPr>
    </w:p>
    <w:bookmarkStart w:id="254" w:name="page255"/>
    <w:bookmarkEnd w:id="254"/>
    <w:p>
      <w:pPr>
        <w:ind w:left="436" w:right="80" w:hanging="436"/>
        <w:spacing w:after="0" w:line="259" w:lineRule="auto"/>
        <w:tabs>
          <w:tab w:leader="none" w:pos="436"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Shareholder receiving a share certificate for Shares shall indemnify and hold the Company and its Directors and Officers harmless from any loss or liability which it or they may incur by reason of the issue of that share certificate. If a share certificate for Shares is worn out or lost it may be renewed or replaced on production of the worn out certificate or on satisfactory proof of its loss together with such indemnity as may be required by a Resolution of Directors.</w:t>
      </w:r>
    </w:p>
    <w:p>
      <w:pPr>
        <w:spacing w:after="0" w:line="39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FORFEITURE OF SHARES</w:t>
      </w:r>
    </w:p>
    <w:p>
      <w:pPr>
        <w:spacing w:after="0" w:line="256" w:lineRule="exact"/>
        <w:rPr>
          <w:sz w:val="20"/>
          <w:szCs w:val="20"/>
          <w:color w:val="auto"/>
        </w:rPr>
      </w:pPr>
    </w:p>
    <w:p>
      <w:pPr>
        <w:ind w:left="436" w:hanging="436"/>
        <w:spacing w:after="0"/>
        <w:tabs>
          <w:tab w:leader="none" w:pos="436"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Where Shares are not fully paid or deemed fully paid on issue or have been issued subject to forfeiture, the following provisions shall apply.</w:t>
      </w:r>
    </w:p>
    <w:p>
      <w:pPr>
        <w:spacing w:after="0" w:line="142" w:lineRule="exact"/>
        <w:rPr>
          <w:rFonts w:ascii="Arial" w:cs="Arial" w:eastAsia="Arial" w:hAnsi="Arial"/>
          <w:sz w:val="17"/>
          <w:szCs w:val="17"/>
          <w:color w:val="auto"/>
        </w:rPr>
      </w:pPr>
    </w:p>
    <w:p>
      <w:pPr>
        <w:ind w:left="436" w:right="260" w:hanging="436"/>
        <w:spacing w:after="0" w:line="277" w:lineRule="auto"/>
        <w:tabs>
          <w:tab w:leader="none" w:pos="43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Written notice of a call specifying a date for payment to be made in respect of a Share shall be served on a Shareholder who defaults in making payment in respect of that Share.</w:t>
      </w:r>
    </w:p>
    <w:p>
      <w:pPr>
        <w:spacing w:after="0" w:line="62" w:lineRule="exact"/>
        <w:rPr>
          <w:rFonts w:ascii="Arial" w:cs="Arial" w:eastAsia="Arial" w:hAnsi="Arial"/>
          <w:sz w:val="18"/>
          <w:szCs w:val="18"/>
          <w:color w:val="auto"/>
        </w:rPr>
      </w:pPr>
    </w:p>
    <w:p>
      <w:pPr>
        <w:ind w:left="276" w:hanging="276"/>
        <w:spacing w:after="0"/>
        <w:tabs>
          <w:tab w:leader="none" w:pos="27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written notice referred to in the immediately preceding Article shall:</w:t>
      </w:r>
    </w:p>
    <w:p>
      <w:pPr>
        <w:spacing w:after="0" w:line="130" w:lineRule="exact"/>
        <w:rPr>
          <w:rFonts w:ascii="Arial" w:cs="Arial" w:eastAsia="Arial" w:hAnsi="Arial"/>
          <w:sz w:val="18"/>
          <w:szCs w:val="18"/>
          <w:color w:val="auto"/>
        </w:rPr>
      </w:pPr>
    </w:p>
    <w:p>
      <w:pPr>
        <w:ind w:left="856" w:right="320" w:hanging="424"/>
        <w:spacing w:after="0" w:line="277" w:lineRule="auto"/>
        <w:tabs>
          <w:tab w:leader="none" w:pos="85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name a further date not earlier than the expiration of fourteen days from the date of service of the notice on or before which the payment required by the notice is to be made; and</w:t>
      </w:r>
    </w:p>
    <w:p>
      <w:pPr>
        <w:spacing w:after="0" w:line="75" w:lineRule="exact"/>
        <w:rPr>
          <w:rFonts w:ascii="Arial" w:cs="Arial" w:eastAsia="Arial" w:hAnsi="Arial"/>
          <w:sz w:val="18"/>
          <w:szCs w:val="18"/>
          <w:color w:val="auto"/>
        </w:rPr>
      </w:pPr>
    </w:p>
    <w:p>
      <w:pPr>
        <w:ind w:left="856" w:hanging="424"/>
        <w:spacing w:after="0" w:line="277" w:lineRule="auto"/>
        <w:tabs>
          <w:tab w:leader="none" w:pos="85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contain a statement that in the event of non-payment at or before the time named in the notice the Shares, or any of them, in respect of which payment is not made will be liable to be forfeited.</w:t>
      </w:r>
    </w:p>
    <w:p>
      <w:pPr>
        <w:spacing w:after="0" w:line="75" w:lineRule="exact"/>
        <w:rPr>
          <w:rFonts w:ascii="Arial" w:cs="Arial" w:eastAsia="Arial" w:hAnsi="Arial"/>
          <w:sz w:val="18"/>
          <w:szCs w:val="18"/>
          <w:color w:val="auto"/>
        </w:rPr>
      </w:pPr>
    </w:p>
    <w:p>
      <w:pPr>
        <w:ind w:left="436" w:right="360" w:hanging="436"/>
        <w:spacing w:after="0" w:line="277" w:lineRule="auto"/>
        <w:tabs>
          <w:tab w:leader="none" w:pos="43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Where a written notice has been issued under these Articles and the requirements have not been complied with, the Directors may at any time before tender of payment forfeit and cancel the Shares to which the notice relates.</w:t>
      </w:r>
    </w:p>
    <w:p>
      <w:pPr>
        <w:spacing w:after="0" w:line="75" w:lineRule="exact"/>
        <w:rPr>
          <w:rFonts w:ascii="Arial" w:cs="Arial" w:eastAsia="Arial" w:hAnsi="Arial"/>
          <w:sz w:val="18"/>
          <w:szCs w:val="18"/>
          <w:color w:val="auto"/>
        </w:rPr>
      </w:pPr>
    </w:p>
    <w:p>
      <w:pPr>
        <w:ind w:left="436" w:right="100" w:hanging="436"/>
        <w:spacing w:after="0" w:line="264" w:lineRule="auto"/>
        <w:tabs>
          <w:tab w:leader="none" w:pos="43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is under no obligation to refund any moneys to the Shareholder whose Shares have been forfeited and cancelled pursuant to these Articles. Upon forfeiture and cancellation of the Shares the Shareholder is discharged from any further obligation to the Company with respect to the Shares forfeited and cancelled.</w:t>
      </w:r>
    </w:p>
    <w:p>
      <w:pPr>
        <w:spacing w:after="0" w:line="39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TRANSFER OF SHARES</w:t>
      </w:r>
    </w:p>
    <w:p>
      <w:pPr>
        <w:spacing w:after="0" w:line="256" w:lineRule="exact"/>
        <w:rPr>
          <w:sz w:val="20"/>
          <w:szCs w:val="20"/>
          <w:color w:val="auto"/>
        </w:rPr>
      </w:pPr>
    </w:p>
    <w:p>
      <w:pPr>
        <w:ind w:left="436" w:right="380" w:hanging="436"/>
        <w:spacing w:after="0" w:line="277" w:lineRule="auto"/>
        <w:tabs>
          <w:tab w:leader="none" w:pos="43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Subject to the Memorandum and these Articles (including, but without limitation, Article 9), Shares are transferred by a written instrument of transfer.</w:t>
      </w:r>
    </w:p>
    <w:p>
      <w:pPr>
        <w:spacing w:after="0" w:line="75" w:lineRule="exact"/>
        <w:rPr>
          <w:rFonts w:ascii="Arial" w:cs="Arial" w:eastAsia="Arial" w:hAnsi="Arial"/>
          <w:sz w:val="18"/>
          <w:szCs w:val="18"/>
          <w:color w:val="auto"/>
        </w:rPr>
      </w:pPr>
    </w:p>
    <w:p>
      <w:pPr>
        <w:ind w:left="436" w:hanging="436"/>
        <w:spacing w:after="0" w:line="276" w:lineRule="auto"/>
        <w:tabs>
          <w:tab w:leader="none" w:pos="436"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instrument of transfer of any Share shall be in any usual or common form or such other form as the Directors may, in their absolute discretion, approve and be executed by or on behalf of the transferor and if so required by the Directors, shall also be executed by or on behalf of the transferee and shall, if required by the Directors,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of Members in respect of the relevant Shares.</w:t>
      </w:r>
    </w:p>
    <w:p>
      <w:pPr>
        <w:spacing w:after="0" w:line="77" w:lineRule="exact"/>
        <w:rPr>
          <w:rFonts w:ascii="Arial" w:cs="Arial" w:eastAsia="Arial" w:hAnsi="Arial"/>
          <w:sz w:val="17"/>
          <w:szCs w:val="17"/>
          <w:color w:val="auto"/>
        </w:rPr>
      </w:pPr>
    </w:p>
    <w:p>
      <w:pPr>
        <w:ind w:left="436" w:right="100" w:hanging="436"/>
        <w:spacing w:after="0" w:line="277" w:lineRule="auto"/>
        <w:tabs>
          <w:tab w:leader="none" w:pos="43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Directors may in their absolute discretion decline to register any transfer of Shares without assigning any reason therefor and shall decline to register any purported transfer of Shares in breach of paragraph 21 of the Memorandum.</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96"/>
          </w:cols>
          <w:pgMar w:left="444" w:top="274" w:right="459" w:bottom="1440" w:gutter="0" w:footer="0" w:header="0"/>
        </w:sectPr>
      </w:pPr>
    </w:p>
    <w:bookmarkStart w:id="255" w:name="page256"/>
    <w:bookmarkEnd w:id="255"/>
    <w:p>
      <w:pPr>
        <w:ind w:left="436" w:hanging="436"/>
        <w:spacing w:after="0"/>
        <w:tabs>
          <w:tab w:leader="none" w:pos="436" w:val="left"/>
        </w:tabs>
        <w:numPr>
          <w:ilvl w:val="0"/>
          <w:numId w:val="2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registration of transfers may be suspended at such times and for such periods as the Directors may from time to time determine.</w:t>
      </w:r>
    </w:p>
    <w:p>
      <w:pPr>
        <w:spacing w:after="0" w:line="142" w:lineRule="exact"/>
        <w:rPr>
          <w:rFonts w:ascii="Arial" w:cs="Arial" w:eastAsia="Arial" w:hAnsi="Arial"/>
          <w:sz w:val="17"/>
          <w:szCs w:val="17"/>
          <w:color w:val="auto"/>
        </w:rPr>
      </w:pPr>
    </w:p>
    <w:p>
      <w:pPr>
        <w:ind w:left="436" w:right="240" w:hanging="436"/>
        <w:spacing w:after="0" w:line="342" w:lineRule="auto"/>
        <w:tabs>
          <w:tab w:leader="none" w:pos="43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All instruments of transfer effecting a transfer which is registered shall be retained by the Company, but any instrument of transfer relating to a transfer which the Directors decline to register shall (except in any case of fraud) be returned to the Person depositing the same.</w:t>
      </w:r>
    </w:p>
    <w:p>
      <w:pPr>
        <w:spacing w:after="0" w:line="336"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color w:val="auto"/>
        </w:rPr>
        <w:t>TRANSMISSION OF SHARES</w:t>
      </w:r>
    </w:p>
    <w:p>
      <w:pPr>
        <w:spacing w:after="0" w:line="256" w:lineRule="exact"/>
        <w:rPr>
          <w:sz w:val="20"/>
          <w:szCs w:val="20"/>
          <w:color w:val="auto"/>
        </w:rPr>
      </w:pPr>
    </w:p>
    <w:p>
      <w:pPr>
        <w:jc w:val="both"/>
        <w:ind w:left="436" w:right="140" w:hanging="436"/>
        <w:spacing w:after="0" w:line="286" w:lineRule="auto"/>
        <w:tabs>
          <w:tab w:leader="none" w:pos="43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70" w:lineRule="exact"/>
        <w:rPr>
          <w:rFonts w:ascii="Arial" w:cs="Arial" w:eastAsia="Arial" w:hAnsi="Arial"/>
          <w:sz w:val="17"/>
          <w:szCs w:val="17"/>
          <w:color w:val="auto"/>
        </w:rPr>
      </w:pPr>
    </w:p>
    <w:p>
      <w:pPr>
        <w:ind w:left="436" w:right="180" w:hanging="436"/>
        <w:spacing w:after="0" w:line="257" w:lineRule="auto"/>
        <w:tabs>
          <w:tab w:leader="none" w:pos="43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bankrupt Person could have made; but the Directors shall, in either case, have the same right to decline or suspend registration as they would have had in the case of a transfer of the Share by the bankrupt Person before the bankruptcy.</w:t>
      </w:r>
    </w:p>
    <w:p>
      <w:pPr>
        <w:spacing w:after="0" w:line="93" w:lineRule="exact"/>
        <w:rPr>
          <w:rFonts w:ascii="Arial" w:cs="Arial" w:eastAsia="Arial" w:hAnsi="Arial"/>
          <w:sz w:val="18"/>
          <w:szCs w:val="18"/>
          <w:color w:val="auto"/>
        </w:rPr>
      </w:pPr>
    </w:p>
    <w:p>
      <w:pPr>
        <w:ind w:left="436" w:right="40" w:hanging="436"/>
        <w:spacing w:after="0" w:line="312" w:lineRule="auto"/>
        <w:tabs>
          <w:tab w:leader="none" w:pos="43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Person becoming entitled to a Share by reason of the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w:t>
      </w:r>
    </w:p>
    <w:p>
      <w:pPr>
        <w:spacing w:after="0" w:line="359"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color w:val="auto"/>
        </w:rPr>
        <w:t>REDEMPTION AND PURCHASE OF SHARES</w:t>
      </w:r>
    </w:p>
    <w:p>
      <w:pPr>
        <w:spacing w:after="0" w:line="256" w:lineRule="exact"/>
        <w:rPr>
          <w:sz w:val="20"/>
          <w:szCs w:val="20"/>
          <w:color w:val="auto"/>
        </w:rPr>
      </w:pPr>
    </w:p>
    <w:p>
      <w:pPr>
        <w:ind w:left="436" w:right="720" w:hanging="436"/>
        <w:spacing w:after="0" w:line="342" w:lineRule="auto"/>
        <w:tabs>
          <w:tab w:leader="none" w:pos="43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Subject to the Act, the Memorandum and these Articles (including, but without limitation, Article 9), including the Solvency Test where applicable, the Company may purchase, redeem or otherwise acquire its own Shares from one or more or all of the Shareholders:</w:t>
      </w:r>
    </w:p>
    <w:p>
      <w:pPr>
        <w:spacing w:after="0" w:line="29" w:lineRule="exact"/>
        <w:rPr>
          <w:rFonts w:ascii="Arial" w:cs="Arial" w:eastAsia="Arial" w:hAnsi="Arial"/>
          <w:sz w:val="16"/>
          <w:szCs w:val="16"/>
          <w:color w:val="auto"/>
        </w:rPr>
      </w:pPr>
    </w:p>
    <w:p>
      <w:pPr>
        <w:ind w:left="856" w:hanging="424"/>
        <w:spacing w:after="0"/>
        <w:tabs>
          <w:tab w:leader="none" w:pos="85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accordance with Sections 60, 61, 62 or Part IX of the Act;</w:t>
      </w:r>
    </w:p>
    <w:p>
      <w:pPr>
        <w:spacing w:after="0" w:line="130" w:lineRule="exact"/>
        <w:rPr>
          <w:rFonts w:ascii="Arial" w:cs="Arial" w:eastAsia="Arial" w:hAnsi="Arial"/>
          <w:sz w:val="18"/>
          <w:szCs w:val="18"/>
          <w:color w:val="auto"/>
        </w:rPr>
      </w:pPr>
    </w:p>
    <w:p>
      <w:pPr>
        <w:ind w:left="856" w:right="540" w:hanging="424"/>
        <w:spacing w:after="0" w:line="308" w:lineRule="auto"/>
        <w:tabs>
          <w:tab w:leader="none" w:pos="856" w:val="left"/>
        </w:tabs>
        <w:numPr>
          <w:ilvl w:val="1"/>
          <w:numId w:val="282"/>
        </w:numPr>
        <w:rPr>
          <w:rFonts w:ascii="Arial" w:cs="Arial" w:eastAsia="Arial" w:hAnsi="Arial"/>
          <w:sz w:val="17"/>
          <w:szCs w:val="17"/>
          <w:color w:val="auto"/>
        </w:rPr>
      </w:pPr>
      <w:r>
        <w:rPr>
          <w:rFonts w:ascii="Arial" w:cs="Arial" w:eastAsia="Arial" w:hAnsi="Arial"/>
          <w:sz w:val="17"/>
          <w:szCs w:val="17"/>
          <w:color w:val="auto"/>
        </w:rPr>
        <w:t>in accordance with a right of a Shareholder to have his Shares purchased or redeemed, or to have his Shares exchanged for money or non-money consideration in any form or combination of forms, including a new issue of Shares by the Company;</w:t>
      </w:r>
    </w:p>
    <w:p>
      <w:pPr>
        <w:spacing w:after="0" w:line="51" w:lineRule="exact"/>
        <w:rPr>
          <w:rFonts w:ascii="Arial" w:cs="Arial" w:eastAsia="Arial" w:hAnsi="Arial"/>
          <w:sz w:val="17"/>
          <w:szCs w:val="17"/>
          <w:color w:val="auto"/>
        </w:rPr>
      </w:pPr>
    </w:p>
    <w:p>
      <w:pPr>
        <w:ind w:left="856" w:hanging="424"/>
        <w:spacing w:after="0" w:line="277" w:lineRule="auto"/>
        <w:tabs>
          <w:tab w:leader="none" w:pos="85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accordance with a right of the Company to purchase or redeem Shares in exchange for money or non-money consideration in any form or combination of forms, including a new issue of Shares by the Company;</w:t>
      </w:r>
    </w:p>
    <w:p>
      <w:pPr>
        <w:spacing w:after="0" w:line="75" w:lineRule="exact"/>
        <w:rPr>
          <w:rFonts w:ascii="Arial" w:cs="Arial" w:eastAsia="Arial" w:hAnsi="Arial"/>
          <w:sz w:val="18"/>
          <w:szCs w:val="18"/>
          <w:color w:val="auto"/>
        </w:rPr>
      </w:pPr>
    </w:p>
    <w:p>
      <w:pPr>
        <w:ind w:left="856" w:right="120" w:hanging="424"/>
        <w:spacing w:after="0" w:line="264" w:lineRule="auto"/>
        <w:tabs>
          <w:tab w:leader="none" w:pos="85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accordance with an agreement between the Shareholder and the Company pursuant to which the Shareholder agrees to sell and the Company agrees to purchase some or all of the Shares held by that Shareholder in exchange for money or non-money consideration in any form or combination of forms, including a new issue of Shares by the Company;</w:t>
      </w:r>
    </w:p>
    <w:p>
      <w:pPr>
        <w:spacing w:after="0" w:line="86" w:lineRule="exact"/>
        <w:rPr>
          <w:rFonts w:ascii="Arial" w:cs="Arial" w:eastAsia="Arial" w:hAnsi="Arial"/>
          <w:sz w:val="18"/>
          <w:szCs w:val="18"/>
          <w:color w:val="auto"/>
        </w:rPr>
      </w:pPr>
    </w:p>
    <w:p>
      <w:pPr>
        <w:ind w:left="856" w:right="140" w:hanging="424"/>
        <w:spacing w:after="0" w:line="277" w:lineRule="auto"/>
        <w:tabs>
          <w:tab w:leader="none" w:pos="85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for no consideration by way of surrender in writing of the Share or Shares to the Company signed by the Shareholder holding the Share or Shares; or</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 accordance with any other provisions of the Memorandum and Articles.</w:t>
      </w:r>
    </w:p>
    <w:p>
      <w:pPr>
        <w:spacing w:after="0" w:line="158"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56"/>
          </w:cols>
          <w:pgMar w:left="444" w:top="274" w:right="499" w:bottom="1440" w:gutter="0" w:footer="0" w:header="0"/>
        </w:sectPr>
      </w:pPr>
    </w:p>
    <w:bookmarkStart w:id="256" w:name="page257"/>
    <w:bookmarkEnd w:id="256"/>
    <w:p>
      <w:pPr>
        <w:ind w:left="436" w:right="420" w:hanging="436"/>
        <w:spacing w:after="0" w:line="277" w:lineRule="auto"/>
        <w:tabs>
          <w:tab w:leader="none" w:pos="436"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not purchase, redeem or otherwise acquire its own Shares without the consent of the Shareholders whose Shares are to be purchased, redeemed or otherwise acquired unless the Company is:</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permitted by the Memorandum or these Articles;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entitled pursuant to the provisions of the Act, including for the avoidance of doubt Part IX,</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to purchase redeem or otherwise acquire the relevant Shares without the consent of such Shareholder.</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TREASURY SHARES</w:t>
      </w:r>
    </w:p>
    <w:p>
      <w:pPr>
        <w:spacing w:after="0" w:line="256" w:lineRule="exact"/>
        <w:rPr>
          <w:sz w:val="20"/>
          <w:szCs w:val="20"/>
          <w:color w:val="auto"/>
        </w:rPr>
      </w:pPr>
    </w:p>
    <w:p>
      <w:pPr>
        <w:ind w:left="436" w:right="20" w:hanging="436"/>
        <w:spacing w:after="0" w:line="277" w:lineRule="auto"/>
        <w:tabs>
          <w:tab w:leader="none" w:pos="43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Shares that the Company purchases, redeems or otherwise acquires pursuant to these Articles shall be cancelled immediately or, if the Directors so determine, held as Treasury Shares in accordance with the Act and Article 38.</w:t>
      </w:r>
    </w:p>
    <w:p>
      <w:pPr>
        <w:spacing w:after="0" w:line="75" w:lineRule="exact"/>
        <w:rPr>
          <w:rFonts w:ascii="Arial" w:cs="Arial" w:eastAsia="Arial" w:hAnsi="Arial"/>
          <w:sz w:val="18"/>
          <w:szCs w:val="18"/>
          <w:color w:val="auto"/>
        </w:rPr>
      </w:pPr>
    </w:p>
    <w:p>
      <w:pPr>
        <w:ind w:left="436" w:hanging="436"/>
        <w:spacing w:after="0" w:line="286" w:lineRule="auto"/>
        <w:tabs>
          <w:tab w:leader="none" w:pos="436" w:val="left"/>
        </w:tabs>
        <w:numPr>
          <w:ilvl w:val="0"/>
          <w:numId w:val="284"/>
        </w:numPr>
        <w:rPr>
          <w:rFonts w:ascii="Arial" w:cs="Arial" w:eastAsia="Arial" w:hAnsi="Arial"/>
          <w:sz w:val="17"/>
          <w:szCs w:val="17"/>
          <w:color w:val="auto"/>
        </w:rPr>
      </w:pPr>
      <w:r>
        <w:rPr>
          <w:rFonts w:ascii="Arial" w:cs="Arial" w:eastAsia="Arial" w:hAnsi="Arial"/>
          <w:sz w:val="17"/>
          <w:szCs w:val="17"/>
          <w:color w:val="auto"/>
        </w:rPr>
        <w:t>Shares may only be purchased, redeemed or otherwise acquired and held as Treasury Shares where, when aggregated with the number of Shares of the same Class already held by the Company as Treasury Shares, the total number of Treasury Shares does not exceed 50 percent of the Shares of that Class previously issued by the Company, excluding those Shares that have been cancelled.</w:t>
      </w:r>
    </w:p>
    <w:p>
      <w:pPr>
        <w:spacing w:after="0" w:line="70" w:lineRule="exact"/>
        <w:rPr>
          <w:rFonts w:ascii="Arial" w:cs="Arial" w:eastAsia="Arial" w:hAnsi="Arial"/>
          <w:sz w:val="17"/>
          <w:szCs w:val="17"/>
          <w:color w:val="auto"/>
        </w:rPr>
      </w:pPr>
    </w:p>
    <w:p>
      <w:pPr>
        <w:ind w:left="436" w:right="280" w:hanging="436"/>
        <w:spacing w:after="0" w:line="277" w:lineRule="auto"/>
        <w:tabs>
          <w:tab w:leader="none" w:pos="43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Where and for so long as Shares are held by the Company as Treasury Shares, all rights and obligations attaching to such Shares are suspended and shall not be exercised by or against the Company.</w:t>
      </w:r>
    </w:p>
    <w:p>
      <w:pPr>
        <w:spacing w:after="0" w:line="75" w:lineRule="exact"/>
        <w:rPr>
          <w:rFonts w:ascii="Arial" w:cs="Arial" w:eastAsia="Arial" w:hAnsi="Arial"/>
          <w:sz w:val="18"/>
          <w:szCs w:val="18"/>
          <w:color w:val="auto"/>
        </w:rPr>
      </w:pPr>
    </w:p>
    <w:p>
      <w:pPr>
        <w:ind w:left="436" w:right="980" w:hanging="436"/>
        <w:spacing w:after="0" w:line="277" w:lineRule="auto"/>
        <w:tabs>
          <w:tab w:leader="none" w:pos="43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Treasury Shares may be disposed of by the Company only to SCIH on such terms and conditions (not otherwise inconsistent with the Memorandum and these Articles) as the Company may by Resolution of Directors determine.</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MEETINGS OF SHAREHOLDERS</w:t>
      </w:r>
    </w:p>
    <w:p>
      <w:pPr>
        <w:spacing w:after="0" w:line="256" w:lineRule="exact"/>
        <w:rPr>
          <w:sz w:val="20"/>
          <w:szCs w:val="20"/>
          <w:color w:val="auto"/>
        </w:rPr>
      </w:pPr>
    </w:p>
    <w:p>
      <w:pPr>
        <w:ind w:left="436" w:hanging="436"/>
        <w:spacing w:after="0"/>
        <w:tabs>
          <w:tab w:leader="none" w:pos="43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Directors may, whenever they think fit, convene a meeting of Shareholders.</w:t>
      </w:r>
    </w:p>
    <w:p>
      <w:pPr>
        <w:spacing w:after="0" w:line="130" w:lineRule="exact"/>
        <w:rPr>
          <w:rFonts w:ascii="Arial" w:cs="Arial" w:eastAsia="Arial" w:hAnsi="Arial"/>
          <w:sz w:val="18"/>
          <w:szCs w:val="18"/>
          <w:color w:val="auto"/>
        </w:rPr>
      </w:pPr>
    </w:p>
    <w:p>
      <w:pPr>
        <w:ind w:left="436" w:right="80" w:hanging="436"/>
        <w:spacing w:after="0" w:line="291" w:lineRule="auto"/>
        <w:tabs>
          <w:tab w:leader="none" w:pos="436"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Shareholders’ meetings shall also be convened on the requisition in writing of any Shareholder or Shareholders entitled to attend and vote at a meeting of the Shareholders of the Company on the matter for which the meeting is being requested holding at least thirty percent of outstanding Shares entitled to vote in the Company deposited at the Registered Office specifying the objects of the meeting for a date no later than twenty one days from the date of deposit of the requisition signed by the requisitionists, and if the Directors do not convene such meeting for a date not later than forty five days after the date of such deposit, the requisitionists themselves may convene the Shareholders’ meeting in the same manner, as nearly as possible, as that in which Shareholders’ meetings may be convened by the Directors, and all reasonable expenses incurred by the requisitionists as a result of the failure of the Directors to convene the Shareholders’ meeting shall be reimbursed to them by the Company.</w:t>
      </w:r>
    </w:p>
    <w:p>
      <w:pPr>
        <w:spacing w:after="0" w:line="72" w:lineRule="exact"/>
        <w:rPr>
          <w:rFonts w:ascii="Arial" w:cs="Arial" w:eastAsia="Arial" w:hAnsi="Arial"/>
          <w:sz w:val="16"/>
          <w:szCs w:val="16"/>
          <w:color w:val="auto"/>
        </w:rPr>
      </w:pPr>
    </w:p>
    <w:p>
      <w:pPr>
        <w:ind w:left="436" w:right="160" w:hanging="436"/>
        <w:spacing w:after="0" w:line="264" w:lineRule="auto"/>
        <w:tabs>
          <w:tab w:leader="none" w:pos="43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at any time there are no Directors, any two Shareholders (or if there is only one Shareholder then that Shareholder) entitled to vote at meetings of the Shareholders of the Company may convene a Shareholders’ meeting in the same manner as nearly as possible as that in which Shareholders’ meetings may be convened by the Directors.</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16"/>
          </w:cols>
          <w:pgMar w:left="444" w:top="274" w:right="439" w:bottom="1440" w:gutter="0" w:footer="0" w:header="0"/>
        </w:sectPr>
      </w:pPr>
    </w:p>
    <w:bookmarkStart w:id="257" w:name="page258"/>
    <w:bookmarkEnd w:id="257"/>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MEETINGS OF SHAREHOLDERS</w:t>
      </w:r>
    </w:p>
    <w:p>
      <w:pPr>
        <w:spacing w:after="0" w:line="256" w:lineRule="exact"/>
        <w:rPr>
          <w:sz w:val="20"/>
          <w:szCs w:val="20"/>
          <w:color w:val="auto"/>
        </w:rPr>
      </w:pPr>
    </w:p>
    <w:p>
      <w:pPr>
        <w:ind w:left="436" w:right="180" w:hanging="436"/>
        <w:spacing w:after="0" w:line="286" w:lineRule="auto"/>
        <w:tabs>
          <w:tab w:leader="none" w:pos="436"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At least two days’ notice in writing counting from the date service is deemed to take place as provided in these Articles specifying the place, the day and the hour of the meeting and the general nature of the business to be considered at the meeting, shall be given in the manner hereinafter provided to such Persons as are, under these Articles, entitled to receive such notices from the Company.</w:t>
      </w:r>
    </w:p>
    <w:p>
      <w:pPr>
        <w:spacing w:after="0" w:line="70" w:lineRule="exact"/>
        <w:rPr>
          <w:rFonts w:ascii="Arial" w:cs="Arial" w:eastAsia="Arial" w:hAnsi="Arial"/>
          <w:sz w:val="17"/>
          <w:szCs w:val="17"/>
          <w:color w:val="auto"/>
        </w:rPr>
      </w:pPr>
    </w:p>
    <w:p>
      <w:pPr>
        <w:ind w:left="436" w:right="260" w:hanging="436"/>
        <w:spacing w:after="0" w:line="277" w:lineRule="auto"/>
        <w:tabs>
          <w:tab w:leader="none" w:pos="43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meeting of Shareholders held in contravention of the notice requirements set out above is valid if Shareholders holding not less than a ninety percent majority of the:</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total number of Shares entitled to vote on all matters to be considered at the meeting; or</w:t>
      </w:r>
    </w:p>
    <w:p>
      <w:pPr>
        <w:spacing w:after="0" w:line="130" w:lineRule="exact"/>
        <w:rPr>
          <w:rFonts w:ascii="Arial" w:cs="Arial" w:eastAsia="Arial" w:hAnsi="Arial"/>
          <w:sz w:val="18"/>
          <w:szCs w:val="18"/>
          <w:color w:val="auto"/>
        </w:rPr>
      </w:pPr>
    </w:p>
    <w:p>
      <w:pPr>
        <w:ind w:left="856" w:right="180" w:hanging="424"/>
        <w:spacing w:after="0" w:line="277" w:lineRule="auto"/>
        <w:tabs>
          <w:tab w:leader="none" w:pos="856" w:val="left"/>
        </w:tabs>
        <w:numPr>
          <w:ilvl w:val="1"/>
          <w:numId w:val="286"/>
        </w:numPr>
        <w:rPr>
          <w:rFonts w:ascii="Arial" w:cs="Arial" w:eastAsia="Arial" w:hAnsi="Arial"/>
          <w:sz w:val="18"/>
          <w:szCs w:val="18"/>
          <w:color w:val="auto"/>
        </w:rPr>
      </w:pPr>
      <w:r>
        <w:rPr>
          <w:rFonts w:ascii="Arial" w:cs="Arial" w:eastAsia="Arial" w:hAnsi="Arial"/>
          <w:sz w:val="18"/>
          <w:szCs w:val="18"/>
          <w:color w:val="auto"/>
        </w:rPr>
        <w:t>votes of each Class of Shares where Shareholders are entitled to vote thereon as a Class together with not less than an absolute majority of the remaining votes,</w:t>
      </w:r>
    </w:p>
    <w:p>
      <w:pPr>
        <w:spacing w:after="0" w:line="62" w:lineRule="exact"/>
        <w:rPr>
          <w:sz w:val="20"/>
          <w:szCs w:val="20"/>
          <w:color w:val="auto"/>
        </w:rPr>
      </w:pPr>
    </w:p>
    <w:p>
      <w:pPr>
        <w:ind w:left="436"/>
        <w:spacing w:after="0"/>
        <w:rPr>
          <w:sz w:val="20"/>
          <w:szCs w:val="20"/>
          <w:color w:val="auto"/>
        </w:rPr>
      </w:pPr>
      <w:r>
        <w:rPr>
          <w:rFonts w:ascii="Arial" w:cs="Arial" w:eastAsia="Arial" w:hAnsi="Arial"/>
          <w:sz w:val="18"/>
          <w:szCs w:val="18"/>
          <w:color w:val="auto"/>
        </w:rPr>
        <w:t>have waived notice of the meeting and for this purpose presence at the meeting shall be deemed to constitute a waiver.</w:t>
      </w:r>
    </w:p>
    <w:p>
      <w:pPr>
        <w:spacing w:after="0" w:line="131" w:lineRule="exact"/>
        <w:rPr>
          <w:sz w:val="20"/>
          <w:szCs w:val="20"/>
          <w:color w:val="auto"/>
        </w:rPr>
      </w:pPr>
    </w:p>
    <w:p>
      <w:pPr>
        <w:ind w:left="436" w:right="460" w:hanging="436"/>
        <w:spacing w:after="0" w:line="277" w:lineRule="auto"/>
        <w:tabs>
          <w:tab w:leader="none" w:pos="43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a notice of a meeting by any Shareholder shall not invalidate the proceedings at any meeting.</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PROCEEDINGS AT SHAREHOLDERS’ MEETINGS</w:t>
      </w:r>
    </w:p>
    <w:p>
      <w:pPr>
        <w:spacing w:after="0" w:line="256" w:lineRule="exact"/>
        <w:rPr>
          <w:sz w:val="20"/>
          <w:szCs w:val="20"/>
          <w:color w:val="auto"/>
        </w:rPr>
      </w:pPr>
    </w:p>
    <w:p>
      <w:pPr>
        <w:jc w:val="both"/>
        <w:ind w:left="436" w:hanging="436"/>
        <w:spacing w:after="0" w:line="264" w:lineRule="auto"/>
        <w:tabs>
          <w:tab w:leader="none" w:pos="43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business shall be transacted at any Shareholders’ meeting unless a quorum of Shareholders is present at the time when the meeting proceeds to business. Save as otherwise provided by these Articles, one or more Shareholders holding at least a majority of the Shares of the Company entitled to vote at the meeting, present in person or by proxy, shall form a quorum.</w:t>
      </w:r>
    </w:p>
    <w:p>
      <w:pPr>
        <w:spacing w:after="0" w:line="86" w:lineRule="exact"/>
        <w:rPr>
          <w:rFonts w:ascii="Arial" w:cs="Arial" w:eastAsia="Arial" w:hAnsi="Arial"/>
          <w:sz w:val="18"/>
          <w:szCs w:val="18"/>
          <w:color w:val="auto"/>
        </w:rPr>
      </w:pPr>
    </w:p>
    <w:p>
      <w:pPr>
        <w:ind w:left="436" w:right="140" w:hanging="436"/>
        <w:spacing w:after="0" w:line="259" w:lineRule="auto"/>
        <w:tabs>
          <w:tab w:leader="none" w:pos="43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the meeting, if convened upon the requisition of Shareholders, shall be dissolved. In any other case it shall stand adjourned to the same day in the next week, at the same time and place, and if at the adjourned meeting a quorum is not present within half an hour from the time appointed for the meeting the Shareholder or Shareholders present and entitled to vote shall form a quorum.</w:t>
      </w:r>
    </w:p>
    <w:p>
      <w:pPr>
        <w:spacing w:after="0" w:line="92" w:lineRule="exact"/>
        <w:rPr>
          <w:rFonts w:ascii="Arial" w:cs="Arial" w:eastAsia="Arial" w:hAnsi="Arial"/>
          <w:sz w:val="18"/>
          <w:szCs w:val="18"/>
          <w:color w:val="auto"/>
        </w:rPr>
      </w:pPr>
    </w:p>
    <w:p>
      <w:pPr>
        <w:ind w:left="436" w:right="60" w:hanging="436"/>
        <w:spacing w:after="0" w:line="312" w:lineRule="auto"/>
        <w:tabs>
          <w:tab w:leader="none" w:pos="43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If the Directors wish to make this facility available for a specific Shareholders’ meeting or all Shareholders’ meetings of the Company, participation in any Shareholders’ meeting may be by means of a telephone or by other electronic means provided that all Persons participating in such meeting are able to hear each other and such participation shall be deemed to constitute presence in person at the meeting.</w:t>
      </w:r>
    </w:p>
    <w:p>
      <w:pPr>
        <w:spacing w:after="0" w:line="52" w:lineRule="exact"/>
        <w:rPr>
          <w:rFonts w:ascii="Arial" w:cs="Arial" w:eastAsia="Arial" w:hAnsi="Arial"/>
          <w:sz w:val="16"/>
          <w:szCs w:val="16"/>
          <w:color w:val="auto"/>
        </w:rPr>
      </w:pPr>
    </w:p>
    <w:p>
      <w:pPr>
        <w:ind w:left="436" w:hanging="436"/>
        <w:spacing w:after="0"/>
        <w:tabs>
          <w:tab w:leader="none" w:pos="43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chairman, if any, of the Directors shall preside as chairman at every Shareholders’ meeting.</w:t>
      </w:r>
    </w:p>
    <w:p>
      <w:pPr>
        <w:spacing w:after="0" w:line="130" w:lineRule="exact"/>
        <w:rPr>
          <w:rFonts w:ascii="Arial" w:cs="Arial" w:eastAsia="Arial" w:hAnsi="Arial"/>
          <w:sz w:val="18"/>
          <w:szCs w:val="18"/>
          <w:color w:val="auto"/>
        </w:rPr>
      </w:pPr>
    </w:p>
    <w:p>
      <w:pPr>
        <w:ind w:left="436" w:right="140" w:hanging="436"/>
        <w:spacing w:after="0" w:line="259" w:lineRule="auto"/>
        <w:tabs>
          <w:tab w:leader="none" w:pos="43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there is no such chairman, or if at any Shareholders’ meeting he is not present within fifteen minutes after the time appointed for holding the meeting or is unwilling to act as chairman, any Director or Person nominated by the Directors shall preside as chairman, failing which the Shareholders present in person or by proxy holding a majority of the outstanding Shares on issue shall choose any Person present to be chairman of that meeting.</w:t>
      </w:r>
    </w:p>
    <w:p>
      <w:pPr>
        <w:spacing w:after="0" w:line="92" w:lineRule="exact"/>
        <w:rPr>
          <w:rFonts w:ascii="Arial" w:cs="Arial" w:eastAsia="Arial" w:hAnsi="Arial"/>
          <w:sz w:val="18"/>
          <w:szCs w:val="18"/>
          <w:color w:val="auto"/>
        </w:rPr>
      </w:pPr>
    </w:p>
    <w:p>
      <w:pPr>
        <w:ind w:left="436" w:right="40" w:hanging="436"/>
        <w:spacing w:after="0" w:line="276" w:lineRule="auto"/>
        <w:tabs>
          <w:tab w:leader="none" w:pos="436"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chairman may with the consent of any Shareholders’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or adjourned meeting, is adjourned for fourteen days or more, notice of the adjourned meeting shall be given as in the case of an original meeting. Save as aforesaid it shall not be necessary to give any notice of an adjournment or of the business to be transacted at an adjourned meeting.</w:t>
      </w:r>
    </w:p>
    <w:p>
      <w:pPr>
        <w:spacing w:after="0" w:line="10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6"/>
          </w:cols>
          <w:pgMar w:left="444" w:top="270" w:right="459" w:bottom="1440" w:gutter="0" w:footer="0" w:header="0"/>
        </w:sectPr>
      </w:pPr>
    </w:p>
    <w:bookmarkStart w:id="258" w:name="page259"/>
    <w:bookmarkEnd w:id="258"/>
    <w:p>
      <w:pPr>
        <w:ind w:left="440" w:right="480" w:hanging="436"/>
        <w:spacing w:after="0" w:line="312" w:lineRule="auto"/>
        <w:tabs>
          <w:tab w:leader="none" w:pos="4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Directors may cancel or postpone any duly convened Shareholders’ meeting at any time prior to such meeting, except for Shareholders’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52" w:lineRule="exact"/>
        <w:rPr>
          <w:rFonts w:ascii="Arial" w:cs="Arial" w:eastAsia="Arial" w:hAnsi="Arial"/>
          <w:sz w:val="16"/>
          <w:szCs w:val="16"/>
          <w:color w:val="auto"/>
        </w:rPr>
      </w:pPr>
    </w:p>
    <w:p>
      <w:pPr>
        <w:ind w:left="440" w:right="260" w:hanging="436"/>
        <w:spacing w:after="0" w:line="297" w:lineRule="auto"/>
        <w:tabs>
          <w:tab w:leader="none" w:pos="4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At any Shareholders’ meeting a resolution put to the vote of the meeting shall be decided on a show of hands, unless a poll is (before or on the declaration of the result of the show of hands) demanded by the chairman or one or more Shareholders present in person or by proxy entitled to vote,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63" w:lineRule="exact"/>
        <w:rPr>
          <w:rFonts w:ascii="Arial" w:cs="Arial" w:eastAsia="Arial" w:hAnsi="Arial"/>
          <w:sz w:val="16"/>
          <w:szCs w:val="16"/>
          <w:color w:val="auto"/>
        </w:rPr>
      </w:pPr>
    </w:p>
    <w:p>
      <w:pPr>
        <w:ind w:left="440" w:hanging="436"/>
        <w:spacing w:after="0" w:line="277" w:lineRule="auto"/>
        <w:tabs>
          <w:tab w:leader="none" w:pos="4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75" w:lineRule="exact"/>
        <w:rPr>
          <w:rFonts w:ascii="Arial" w:cs="Arial" w:eastAsia="Arial" w:hAnsi="Arial"/>
          <w:sz w:val="18"/>
          <w:szCs w:val="18"/>
          <w:color w:val="auto"/>
        </w:rPr>
      </w:pPr>
    </w:p>
    <w:p>
      <w:pPr>
        <w:ind w:left="440" w:right="40" w:hanging="436"/>
        <w:spacing w:after="0" w:line="277" w:lineRule="auto"/>
        <w:tabs>
          <w:tab w:leader="none" w:pos="4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the case of an equality of votes, whether on a show of hands or on a poll, the chairman of the meeting at which the show of hands takes place or at which the poll is demanded, shall be entitled to a second or casting vote.</w:t>
      </w:r>
    </w:p>
    <w:p>
      <w:pPr>
        <w:spacing w:after="0" w:line="75"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SCIH SHAREHOLDER APPROVAL MATTERS</w:t>
      </w:r>
    </w:p>
    <w:p>
      <w:pPr>
        <w:spacing w:after="0" w:line="256" w:lineRule="exact"/>
        <w:rPr>
          <w:sz w:val="20"/>
          <w:szCs w:val="20"/>
          <w:color w:val="auto"/>
        </w:rPr>
      </w:pPr>
    </w:p>
    <w:p>
      <w:pPr>
        <w:ind w:left="440" w:right="100" w:hanging="436"/>
        <w:spacing w:after="0" w:line="259" w:lineRule="auto"/>
        <w:tabs>
          <w:tab w:leader="none" w:pos="4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 must not, at any time in the period during which the Initial SCIH Shareholders Agreement is in effect and has not been terminated, amended and restated or otherwise modified, undertake any action described in clause 7.2(a) of the Initial SCIH Shareholders Agreement (“</w:t>
      </w:r>
      <w:r>
        <w:rPr>
          <w:rFonts w:ascii="Arial" w:cs="Arial" w:eastAsia="Arial" w:hAnsi="Arial"/>
          <w:sz w:val="18"/>
          <w:szCs w:val="18"/>
          <w:b w:val="1"/>
          <w:bCs w:val="1"/>
          <w:color w:val="auto"/>
        </w:rPr>
        <w:t>Clause 7.2</w:t>
      </w:r>
      <w:r>
        <w:rPr>
          <w:rFonts w:ascii="Arial" w:cs="Arial" w:eastAsia="Arial" w:hAnsi="Arial"/>
          <w:sz w:val="18"/>
          <w:szCs w:val="18"/>
          <w:color w:val="auto"/>
        </w:rPr>
        <w:t>”) without obtaining the approval that would be required in respect of the same action being carried out by SCIH under that same Clause 7.2.</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VOTES OF SHAREHOLDERS</w:t>
      </w:r>
    </w:p>
    <w:p>
      <w:pPr>
        <w:spacing w:after="0" w:line="256" w:lineRule="exact"/>
        <w:rPr>
          <w:sz w:val="20"/>
          <w:szCs w:val="20"/>
          <w:color w:val="auto"/>
        </w:rPr>
      </w:pPr>
    </w:p>
    <w:p>
      <w:pPr>
        <w:ind w:left="440" w:right="160" w:hanging="436"/>
        <w:spacing w:after="0" w:line="312" w:lineRule="auto"/>
        <w:tabs>
          <w:tab w:leader="none" w:pos="44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Subject to any rights and restrictions for the time being attached to any Share, on a show of hands every Shareholder present in person and every Person representing a Shareholder by proxy shall, at a Shareholders’ meeting, each have one vote and on a poll every Shareholder and every Person representing a Shareholder by proxy shall have one vote for each Share of which he or the Person represented by proxy is the holder.</w:t>
      </w:r>
    </w:p>
    <w:p>
      <w:pPr>
        <w:spacing w:after="0" w:line="52" w:lineRule="exact"/>
        <w:rPr>
          <w:rFonts w:ascii="Arial" w:cs="Arial" w:eastAsia="Arial" w:hAnsi="Arial"/>
          <w:sz w:val="16"/>
          <w:szCs w:val="16"/>
          <w:color w:val="auto"/>
        </w:rPr>
      </w:pPr>
    </w:p>
    <w:p>
      <w:pPr>
        <w:ind w:left="440" w:hanging="436"/>
        <w:spacing w:after="0"/>
        <w:tabs>
          <w:tab w:leader="none" w:pos="4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following shall apply in respect of joint ownership of Shares:</w:t>
      </w:r>
    </w:p>
    <w:p>
      <w:pPr>
        <w:spacing w:after="0" w:line="130" w:lineRule="exact"/>
        <w:rPr>
          <w:rFonts w:ascii="Arial" w:cs="Arial" w:eastAsia="Arial" w:hAnsi="Arial"/>
          <w:sz w:val="18"/>
          <w:szCs w:val="18"/>
          <w:color w:val="auto"/>
        </w:rPr>
      </w:pPr>
    </w:p>
    <w:p>
      <w:pPr>
        <w:ind w:left="860" w:right="180" w:hanging="424"/>
        <w:spacing w:after="0" w:line="277" w:lineRule="auto"/>
        <w:tabs>
          <w:tab w:leader="none" w:pos="8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if two or more Persons hold Shares jointly each of them may be present in person or by proxy at a meeting of Shareholders and may speak as a Shareholder;</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if only one of the joint owners is present in person or by proxy he may vote on behalf of all joint owners;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if two or more of the joint owners are present in person or by proxy they must vote as 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59" w:name="page260"/>
    <w:bookmarkEnd w:id="259"/>
    <w:p>
      <w:pPr>
        <w:jc w:val="both"/>
        <w:ind w:left="436" w:right="40" w:hanging="436"/>
        <w:spacing w:after="0" w:line="264" w:lineRule="auto"/>
        <w:tabs>
          <w:tab w:leader="none" w:pos="4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Shareholder of unsound mind, or in respect of whom an order has been made by any court having jurisdiction in lunacy, may vote in respect of Shares carrying the right to vote held by him, whether on a show of hands or on a poll, by the Person or Persons appointed by that court, and any such Person or Persons may vote by proxy.</w:t>
      </w:r>
    </w:p>
    <w:p>
      <w:pPr>
        <w:spacing w:after="0" w:line="86" w:lineRule="exact"/>
        <w:rPr>
          <w:rFonts w:ascii="Arial" w:cs="Arial" w:eastAsia="Arial" w:hAnsi="Arial"/>
          <w:sz w:val="18"/>
          <w:szCs w:val="18"/>
          <w:color w:val="auto"/>
        </w:rPr>
      </w:pPr>
    </w:p>
    <w:p>
      <w:pPr>
        <w:ind w:left="436" w:right="40" w:hanging="436"/>
        <w:spacing w:after="0" w:line="277" w:lineRule="auto"/>
        <w:tabs>
          <w:tab w:leader="none" w:pos="4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 Shareholder shall be entitled to vote at any Shareholders’ meeting unless all calls, if any, or other sums presently payable by him in respect of Shares carrying the right to vote held by him have been paid.</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 Shareholder may be represented at a meeting of Shareholders by a proxy who may speak and vote on behalf of the Shareholder.</w:t>
      </w:r>
    </w:p>
    <w:p>
      <w:pPr>
        <w:spacing w:after="0" w:line="130" w:lineRule="exact"/>
        <w:rPr>
          <w:rFonts w:ascii="Arial" w:cs="Arial" w:eastAsia="Arial" w:hAnsi="Arial"/>
          <w:sz w:val="18"/>
          <w:szCs w:val="18"/>
          <w:color w:val="auto"/>
        </w:rPr>
      </w:pPr>
    </w:p>
    <w:p>
      <w:pPr>
        <w:jc w:val="both"/>
        <w:ind w:left="436" w:right="480" w:hanging="436"/>
        <w:spacing w:after="0" w:line="342" w:lineRule="auto"/>
        <w:tabs>
          <w:tab w:leader="none" w:pos="43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 instrument appointing a proxy may be in any usual or common form or such other form as the Directors may approve.</w:t>
      </w:r>
    </w:p>
    <w:p>
      <w:pPr>
        <w:spacing w:after="0" w:line="130" w:lineRule="exact"/>
        <w:rPr>
          <w:rFonts w:ascii="Arial" w:cs="Arial" w:eastAsia="Arial" w:hAnsi="Arial"/>
          <w:sz w:val="18"/>
          <w:szCs w:val="18"/>
          <w:color w:val="auto"/>
        </w:rPr>
      </w:pPr>
    </w:p>
    <w:p>
      <w:pPr>
        <w:ind w:left="436" w:hanging="436"/>
        <w:spacing w:after="0" w:line="342" w:lineRule="auto"/>
        <w:tabs>
          <w:tab w:leader="none" w:pos="43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instrument appointing a proxy shall be deposited at the Registered Office or at such other place as is specified for that purpose in the notice convening the meeting no later than the time for holding the meeting or, if the meeting is adjourned, the time for holding such adjourned meeting.</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w:t>
      </w:r>
    </w:p>
    <w:p>
      <w:pPr>
        <w:spacing w:after="0" w:line="130" w:lineRule="exact"/>
        <w:rPr>
          <w:rFonts w:ascii="Arial" w:cs="Arial" w:eastAsia="Arial" w:hAnsi="Arial"/>
          <w:sz w:val="18"/>
          <w:szCs w:val="18"/>
          <w:color w:val="auto"/>
        </w:rPr>
      </w:pPr>
    </w:p>
    <w:p>
      <w:pPr>
        <w:ind w:left="436" w:right="260" w:hanging="436"/>
        <w:spacing w:after="0" w:line="257" w:lineRule="auto"/>
        <w:tabs>
          <w:tab w:leader="none" w:pos="4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 action that may be taken by the Shareholders at a meeting may also be taken by a Resolution of Shareholders consented to in writing or by facsimile, electronic mail or other written electronic communication, without the need for any notice, but if any such resolution is adopted otherwise than by the unanimous written consent of all Shareholders, a copy of such resolution shall forthwith be sent to all Shareholders not consenting to such resolution. The consent may be in the form of counterparts in like form each counterpart being signed by one or more Shareholders.</w:t>
      </w:r>
    </w:p>
    <w:p>
      <w:pPr>
        <w:spacing w:after="0" w:line="93" w:lineRule="exact"/>
        <w:rPr>
          <w:rFonts w:ascii="Arial" w:cs="Arial" w:eastAsia="Arial" w:hAnsi="Arial"/>
          <w:sz w:val="18"/>
          <w:szCs w:val="18"/>
          <w:color w:val="auto"/>
        </w:rPr>
      </w:pPr>
    </w:p>
    <w:p>
      <w:pPr>
        <w:ind w:left="436" w:right="280" w:hanging="436"/>
        <w:spacing w:after="0" w:line="277" w:lineRule="auto"/>
        <w:tabs>
          <w:tab w:leader="none" w:pos="4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provisions of the Memorandum and these Articles as regards Shareholders’ meetings and Resolutions of Shareholders shall apply mutatis mutandis to any meeting or resolution of the holders of a Class or Series of Shares.</w:t>
      </w:r>
    </w:p>
    <w:p>
      <w:pPr>
        <w:spacing w:after="0" w:line="383"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CORPORATIONS ACTING BY REPRESENTATIVES AT MEETINGS</w:t>
      </w:r>
    </w:p>
    <w:p>
      <w:pPr>
        <w:spacing w:after="0" w:line="256" w:lineRule="exact"/>
        <w:rPr>
          <w:sz w:val="20"/>
          <w:szCs w:val="20"/>
          <w:color w:val="auto"/>
        </w:rPr>
      </w:pPr>
    </w:p>
    <w:p>
      <w:pPr>
        <w:ind w:left="436" w:right="60" w:hanging="436"/>
        <w:spacing w:after="0" w:line="279" w:lineRule="auto"/>
        <w:tabs>
          <w:tab w:leader="none" w:pos="43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Any Shareholder or Director that is a corporation or other entity may by resolution of its directors or other governing body authorise such natural person as it thinks fit to act as its representative at any meeting of the Company or of any meeting of holders of a Class or Series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384"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ind w:left="436" w:right="160" w:hanging="436"/>
        <w:spacing w:after="0" w:line="277" w:lineRule="auto"/>
        <w:tabs>
          <w:tab w:leader="none" w:pos="43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Except during the period from the date of incorporation until the date on which the first Directors are appointed by the first Registered Agent of the Company pursuant to Article 74, the minimum number of Directors shall be one.</w:t>
      </w:r>
    </w:p>
    <w:p>
      <w:pPr>
        <w:spacing w:after="0" w:line="103"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36"/>
          </w:cols>
          <w:pgMar w:left="444" w:top="274" w:right="519" w:bottom="1440" w:gutter="0" w:footer="0" w:header="0"/>
        </w:sectPr>
      </w:pPr>
    </w:p>
    <w:bookmarkStart w:id="260" w:name="page261"/>
    <w:bookmarkEnd w:id="260"/>
    <w:p>
      <w:pPr>
        <w:ind w:left="436" w:right="20" w:hanging="436"/>
        <w:spacing w:after="0" w:line="264" w:lineRule="auto"/>
        <w:tabs>
          <w:tab w:leader="none" w:pos="436"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Article above, the Company may by a Resolution of Shareholders from time to time fix the maximum and minimum number of Directors to be appointed but unless such numbers are fixed as aforesaid the minimum number of Directors shall be one and the maximum number of Directors shall be unlimited.</w:t>
      </w:r>
    </w:p>
    <w:p>
      <w:pPr>
        <w:spacing w:after="0" w:line="86" w:lineRule="exact"/>
        <w:rPr>
          <w:rFonts w:ascii="Arial" w:cs="Arial" w:eastAsia="Arial" w:hAnsi="Arial"/>
          <w:sz w:val="18"/>
          <w:szCs w:val="18"/>
          <w:color w:val="auto"/>
        </w:rPr>
      </w:pPr>
    </w:p>
    <w:p>
      <w:pPr>
        <w:ind w:left="436" w:hanging="436"/>
        <w:spacing w:after="0"/>
        <w:tabs>
          <w:tab w:leader="none" w:pos="436" w:val="left"/>
        </w:tabs>
        <w:numPr>
          <w:ilvl w:val="0"/>
          <w:numId w:val="295"/>
        </w:numPr>
        <w:rPr>
          <w:rFonts w:ascii="Arial" w:cs="Arial" w:eastAsia="Arial" w:hAnsi="Arial"/>
          <w:sz w:val="16"/>
          <w:szCs w:val="16"/>
          <w:color w:val="auto"/>
        </w:rPr>
      </w:pPr>
      <w:r>
        <w:rPr>
          <w:rFonts w:ascii="Arial" w:cs="Arial" w:eastAsia="Arial" w:hAnsi="Arial"/>
          <w:sz w:val="16"/>
          <w:szCs w:val="16"/>
          <w:color w:val="auto"/>
        </w:rPr>
        <w:t>Subject to these Articles, the Company may appoint any Person to be a Director. The following are disqualified from appointment as a Director:</w:t>
      </w:r>
    </w:p>
    <w:p>
      <w:pPr>
        <w:spacing w:after="0" w:line="153" w:lineRule="exact"/>
        <w:rPr>
          <w:rFonts w:ascii="Arial" w:cs="Arial" w:eastAsia="Arial" w:hAnsi="Arial"/>
          <w:sz w:val="16"/>
          <w:szCs w:val="16"/>
          <w:color w:val="auto"/>
        </w:rPr>
      </w:pPr>
    </w:p>
    <w:p>
      <w:pPr>
        <w:ind w:left="856" w:hanging="424"/>
        <w:spacing w:after="0"/>
        <w:tabs>
          <w:tab w:leader="none" w:pos="8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 individual who is under eighteen years of age;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person who is a disqualified person within the meaning of section 260(4) of the Insolvency Act (or any successor provision);</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person who is a restricted person within the meaning of section 409 of the Insolvency Act (or any successor provision);</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 undischarged bankrupt;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any other person disqualified by the Memorandum and these Articles.</w:t>
      </w:r>
    </w:p>
    <w:p>
      <w:pPr>
        <w:spacing w:after="0" w:line="130" w:lineRule="exact"/>
        <w:rPr>
          <w:rFonts w:ascii="Arial" w:cs="Arial" w:eastAsia="Arial" w:hAnsi="Arial"/>
          <w:sz w:val="18"/>
          <w:szCs w:val="18"/>
          <w:color w:val="auto"/>
        </w:rPr>
      </w:pPr>
    </w:p>
    <w:p>
      <w:pPr>
        <w:ind w:left="436" w:right="540" w:hanging="436"/>
        <w:spacing w:after="0" w:line="277" w:lineRule="auto"/>
        <w:tabs>
          <w:tab w:leader="none" w:pos="43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first Director(s) shall be appointed by the first Registered Agent of the Company within six months of the date of its incorporation, and thereafter, the Directors shall be elected:</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by the Shareholders for such terms as the Shareholders may determine; or</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by the Directors for such terms as the Directors may determine.</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 person shall not be appointed as a Director unless he has consented in writing to be a Director.</w:t>
      </w:r>
    </w:p>
    <w:p>
      <w:pPr>
        <w:spacing w:after="0" w:line="131" w:lineRule="exact"/>
        <w:rPr>
          <w:sz w:val="20"/>
          <w:szCs w:val="20"/>
          <w:color w:val="auto"/>
        </w:rPr>
      </w:pPr>
    </w:p>
    <w:p>
      <w:pPr>
        <w:ind w:left="436" w:hanging="436"/>
        <w:spacing w:after="0" w:line="259" w:lineRule="auto"/>
        <w:tabs>
          <w:tab w:leader="none" w:pos="4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Director shall hold office for the term, if any, fixed by the Resolution of Shareholders or the Resolution of Directors, as the case may be, appointing him. In the case of a Director who is an individual the term of office of a Director shall terminate on the Director’s death, resignation or removal. The bankruptcy of a Director or the appointment of a liquidator, administrator or receiver of a corporate Director shall terminate the term of office of such Director.</w:t>
      </w:r>
    </w:p>
    <w:p>
      <w:pPr>
        <w:spacing w:after="0" w:line="92" w:lineRule="exact"/>
        <w:rPr>
          <w:rFonts w:ascii="Arial" w:cs="Arial" w:eastAsia="Arial" w:hAnsi="Arial"/>
          <w:sz w:val="18"/>
          <w:szCs w:val="18"/>
          <w:color w:val="auto"/>
        </w:rPr>
      </w:pPr>
    </w:p>
    <w:p>
      <w:pPr>
        <w:ind w:left="436" w:right="440" w:hanging="436"/>
        <w:spacing w:after="0" w:line="277" w:lineRule="auto"/>
        <w:tabs>
          <w:tab w:leader="none" w:pos="4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Director may be removed from office, with or without cause, by a Resolution of Shareholders or, with cause, by a Resolution of Directors. Section 114(2) of the Act shall not apply to the removal of a Director.</w:t>
      </w:r>
    </w:p>
    <w:p>
      <w:pPr>
        <w:spacing w:after="0" w:line="75" w:lineRule="exact"/>
        <w:rPr>
          <w:rFonts w:ascii="Arial" w:cs="Arial" w:eastAsia="Arial" w:hAnsi="Arial"/>
          <w:sz w:val="18"/>
          <w:szCs w:val="18"/>
          <w:color w:val="auto"/>
        </w:rPr>
      </w:pPr>
    </w:p>
    <w:p>
      <w:pPr>
        <w:ind w:left="436" w:right="80" w:hanging="436"/>
        <w:spacing w:after="0" w:line="277" w:lineRule="auto"/>
        <w:tabs>
          <w:tab w:leader="none" w:pos="4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Director may resign his office by giving written notice of his resignation to the Company and the resignation shall have effect from the date the notice is received by the Company or from such later date as may be specified in the notice.</w:t>
      </w:r>
    </w:p>
    <w:p>
      <w:pPr>
        <w:spacing w:after="0" w:line="75" w:lineRule="exact"/>
        <w:rPr>
          <w:rFonts w:ascii="Arial" w:cs="Arial" w:eastAsia="Arial" w:hAnsi="Arial"/>
          <w:sz w:val="18"/>
          <w:szCs w:val="18"/>
          <w:color w:val="auto"/>
        </w:rPr>
      </w:pPr>
    </w:p>
    <w:p>
      <w:pPr>
        <w:ind w:left="436" w:right="500" w:hanging="436"/>
        <w:spacing w:after="0" w:line="277" w:lineRule="auto"/>
        <w:tabs>
          <w:tab w:leader="none" w:pos="4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vacancy in the board of Directors existing or arising because the maximum number of directors has not been appointed may be filled by a Resolution of Shareholders or by a Resolution of Directors.</w:t>
      </w:r>
    </w:p>
    <w:p>
      <w:pPr>
        <w:spacing w:after="0" w:line="75" w:lineRule="exact"/>
        <w:rPr>
          <w:rFonts w:ascii="Arial" w:cs="Arial" w:eastAsia="Arial" w:hAnsi="Arial"/>
          <w:sz w:val="18"/>
          <w:szCs w:val="18"/>
          <w:color w:val="auto"/>
        </w:rPr>
      </w:pPr>
    </w:p>
    <w:p>
      <w:pPr>
        <w:ind w:left="436" w:hanging="436"/>
        <w:spacing w:after="0"/>
        <w:tabs>
          <w:tab w:leader="none" w:pos="4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remuneration of the Directors may be determined by a Resolution of Directors or by a Resolution of Shareholders.</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There shall be no shareholding qualification for Directors unless determined otherwise by a Resolution of Shareholders.</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shall keep a Register of Directors containing the particulars required by the Act, including:</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4" w:right="439" w:bottom="1440" w:gutter="0" w:footer="0" w:header="0"/>
        </w:sectPr>
      </w:pPr>
    </w:p>
    <w:bookmarkStart w:id="261" w:name="page262"/>
    <w:bookmarkEnd w:id="261"/>
    <w:p>
      <w:pPr>
        <w:ind w:left="856" w:hanging="424"/>
        <w:spacing w:after="0"/>
        <w:tabs>
          <w:tab w:leader="none" w:pos="856" w:val="left"/>
        </w:tabs>
        <w:numPr>
          <w:ilvl w:val="1"/>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names and addresses of the persons who are Directors or who have been nominated as reserve directors of the Company;</w:t>
      </w:r>
    </w:p>
    <w:p>
      <w:pPr>
        <w:spacing w:after="0" w:line="130" w:lineRule="exact"/>
        <w:rPr>
          <w:rFonts w:ascii="Arial" w:cs="Arial" w:eastAsia="Arial" w:hAnsi="Arial"/>
          <w:sz w:val="18"/>
          <w:szCs w:val="18"/>
          <w:color w:val="auto"/>
        </w:rPr>
      </w:pPr>
    </w:p>
    <w:p>
      <w:pPr>
        <w:ind w:left="856" w:right="300" w:hanging="424"/>
        <w:spacing w:after="0" w:line="277" w:lineRule="auto"/>
        <w:tabs>
          <w:tab w:leader="none" w:pos="85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date on which each person whose name is entered in the Register of Directors was appointed as a Director, or nominated as a reserve director, of the Company;</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date on which each person named as a Director ceased to be a Director;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date on which the nomination of any person nominated as a reserve director ceased to have effect.</w:t>
      </w:r>
    </w:p>
    <w:p>
      <w:pPr>
        <w:spacing w:after="0" w:line="130" w:lineRule="exact"/>
        <w:rPr>
          <w:rFonts w:ascii="Arial" w:cs="Arial" w:eastAsia="Arial" w:hAnsi="Arial"/>
          <w:sz w:val="18"/>
          <w:szCs w:val="18"/>
          <w:color w:val="auto"/>
        </w:rPr>
      </w:pPr>
    </w:p>
    <w:p>
      <w:pPr>
        <w:ind w:left="436" w:right="140" w:hanging="436"/>
        <w:spacing w:after="0" w:line="277" w:lineRule="auto"/>
        <w:tabs>
          <w:tab w:leader="none" w:pos="43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Register of Directors or a copy of it shall be kept at the office of the Registered Agent and the Company shall file a copy of such Register of Directors with the Registrar of Corporate Affairs for registration, where required by the Act.</w:t>
      </w:r>
    </w:p>
    <w:p>
      <w:pPr>
        <w:spacing w:after="0" w:line="383"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ALTERNATE DIRECTOR</w:t>
      </w:r>
    </w:p>
    <w:p>
      <w:pPr>
        <w:spacing w:after="0" w:line="256" w:lineRule="exact"/>
        <w:rPr>
          <w:sz w:val="20"/>
          <w:szCs w:val="20"/>
          <w:color w:val="auto"/>
        </w:rPr>
      </w:pPr>
    </w:p>
    <w:p>
      <w:pPr>
        <w:ind w:left="436" w:hanging="436"/>
        <w:spacing w:after="0" w:line="255" w:lineRule="auto"/>
        <w:tabs>
          <w:tab w:leader="none" w:pos="43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Director may in writing appoint another person, who need not be a Director, to be his alternate. Every such alternate shall be entitled to attend meetings in the absence of the Director who appointed him and to vote on and/or consent in writing to any Resolution of Directors in the place of the Director. Where the alternate is a Director he shall be entitled to have a separate vote on behalf of the Director he is representing in addition to his own vote. A Director may at any time in writing revoke the appointment of an alternate appointed by him. Such alternate shall not be an Officer. The remuneration of such alternate shall be payable out of the remuneration of the Director appointing him and the proportion thereof shall be agreed between them.</w:t>
      </w:r>
    </w:p>
    <w:p>
      <w:pPr>
        <w:spacing w:after="0" w:line="200" w:lineRule="exact"/>
        <w:rPr>
          <w:sz w:val="20"/>
          <w:szCs w:val="20"/>
          <w:color w:val="auto"/>
        </w:rPr>
      </w:pPr>
    </w:p>
    <w:p>
      <w:pPr>
        <w:spacing w:after="0" w:line="20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POWERS OF DIRECTORS</w:t>
      </w:r>
    </w:p>
    <w:p>
      <w:pPr>
        <w:spacing w:after="0" w:line="256" w:lineRule="exact"/>
        <w:rPr>
          <w:sz w:val="20"/>
          <w:szCs w:val="20"/>
          <w:color w:val="auto"/>
        </w:rPr>
      </w:pPr>
    </w:p>
    <w:p>
      <w:pPr>
        <w:ind w:left="436" w:right="20" w:hanging="436"/>
        <w:spacing w:after="0" w:line="259" w:lineRule="auto"/>
        <w:tabs>
          <w:tab w:leader="none" w:pos="43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business and affairs of the Company shall be managed by, or be under the direction or supervision of, the Directors who may pay all expenses incurred preliminary to and in connection with the formation and registration of the Company and may exercise all such powers of the Company as are not by the Act or the Memorandum or these Articles required to be exercised by the Shareholders, subject to any delegation of such powers as may be authorised by these Articles.</w:t>
      </w:r>
    </w:p>
    <w:p>
      <w:pPr>
        <w:spacing w:after="0" w:line="92" w:lineRule="exact"/>
        <w:rPr>
          <w:rFonts w:ascii="Arial" w:cs="Arial" w:eastAsia="Arial" w:hAnsi="Arial"/>
          <w:sz w:val="18"/>
          <w:szCs w:val="18"/>
          <w:color w:val="auto"/>
        </w:rPr>
      </w:pPr>
    </w:p>
    <w:p>
      <w:pPr>
        <w:ind w:left="436" w:right="320" w:hanging="436"/>
        <w:spacing w:after="0" w:line="342" w:lineRule="auto"/>
        <w:tabs>
          <w:tab w:leader="none" w:pos="43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Notwithstanding section 175 of the Act, the Directors have the power to sell, transfer, lease, exchange or otherwise dispose of the assets of the Company, without restriction and without complying with the provisions of section 175, which shall not apply to the Company.</w:t>
      </w:r>
    </w:p>
    <w:p>
      <w:pPr>
        <w:spacing w:after="0" w:line="29" w:lineRule="exact"/>
        <w:rPr>
          <w:rFonts w:ascii="Arial" w:cs="Arial" w:eastAsia="Arial" w:hAnsi="Arial"/>
          <w:sz w:val="16"/>
          <w:szCs w:val="16"/>
          <w:color w:val="auto"/>
        </w:rPr>
      </w:pPr>
    </w:p>
    <w:p>
      <w:pPr>
        <w:ind w:left="436" w:right="320" w:hanging="436"/>
        <w:spacing w:after="0" w:line="264" w:lineRule="auto"/>
        <w:tabs>
          <w:tab w:leader="none" w:pos="43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Directors may, by a Resolution of Directors, appoint any Person, including a person who is a Director, to be an Officer or agent of the Company. The Resolution of Directors appointing an agent may authorise the agent to appoint one or more substitutes or delegates to exercise some or all of the powers conferred on the agent by the Company.</w:t>
      </w:r>
    </w:p>
    <w:p>
      <w:pPr>
        <w:spacing w:after="0" w:line="86" w:lineRule="exact"/>
        <w:rPr>
          <w:rFonts w:ascii="Arial" w:cs="Arial" w:eastAsia="Arial" w:hAnsi="Arial"/>
          <w:sz w:val="18"/>
          <w:szCs w:val="18"/>
          <w:color w:val="auto"/>
        </w:rPr>
      </w:pPr>
    </w:p>
    <w:p>
      <w:pPr>
        <w:ind w:left="436" w:right="120" w:hanging="436"/>
        <w:spacing w:after="0" w:line="259" w:lineRule="auto"/>
        <w:tabs>
          <w:tab w:leader="none" w:pos="43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Every Officer or agent of the Company has such powers and authority of the Directors, including the power and authority to affix the Seal, as are set forth in these Articles or in the Resolution of Directors appointing the Officer or agent, except that no Officer or agent has any power or authority with respect to the matters requiring a Resolution of Directors under the Act or these Articles or are otherwise not permitted to be delegated under the Act.</w:t>
      </w:r>
    </w:p>
    <w:p>
      <w:pPr>
        <w:spacing w:after="0" w:line="92" w:lineRule="exact"/>
        <w:rPr>
          <w:rFonts w:ascii="Arial" w:cs="Arial" w:eastAsia="Arial" w:hAnsi="Arial"/>
          <w:sz w:val="18"/>
          <w:szCs w:val="18"/>
          <w:color w:val="auto"/>
        </w:rPr>
      </w:pPr>
    </w:p>
    <w:p>
      <w:pPr>
        <w:ind w:left="436" w:right="20" w:hanging="436"/>
        <w:spacing w:after="0" w:line="264" w:lineRule="auto"/>
        <w:tabs>
          <w:tab w:leader="none" w:pos="43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negotiable instruments and all receipts for monies paid to the Company, shall be signed, drawn, accepted, endorsed or otherwise executed, as the case may be, in such manner as shall from time to time be determined by Resolution of Directors.</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96"/>
          </w:cols>
          <w:pgMar w:left="444" w:top="274" w:right="459" w:bottom="1440" w:gutter="0" w:footer="0" w:header="0"/>
        </w:sectPr>
      </w:pPr>
    </w:p>
    <w:bookmarkStart w:id="262" w:name="page263"/>
    <w:bookmarkEnd w:id="262"/>
    <w:p>
      <w:pPr>
        <w:ind w:left="440" w:right="400" w:hanging="436"/>
        <w:spacing w:after="0" w:line="277" w:lineRule="auto"/>
        <w:tabs>
          <w:tab w:leader="none" w:pos="4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may, by a Resolution of Directors, designate one or more committees of Directors, each consisting of one or more Directors, in accordance with section 110 of the Act (each a “</w:t>
      </w:r>
      <w:r>
        <w:rPr>
          <w:rFonts w:ascii="Arial" w:cs="Arial" w:eastAsia="Arial" w:hAnsi="Arial"/>
          <w:sz w:val="18"/>
          <w:szCs w:val="18"/>
          <w:b w:val="1"/>
          <w:bCs w:val="1"/>
          <w:color w:val="auto"/>
        </w:rPr>
        <w:t>Committee of Directors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40" w:right="40" w:hanging="436"/>
        <w:spacing w:after="0" w:line="264" w:lineRule="auto"/>
        <w:tabs>
          <w:tab w:leader="none" w:pos="4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Committee of Directors has such powers of the Directors, including the power to affix the Seal and to appoint a sub-committee and delegate its powers to that sub-committee, as are set forth in the Resolution of Directors establishing the Committee of Directors, except that no Committee of Directors may be delegated any power:</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amend the Memorandum or these Articles;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designate committees of Directors;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delegate powers to a committee of Directors;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appoint or remove Directors;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appoint or remove an agent;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approve a plan of merger, consolidation or arrangement;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make a declaration of solvency for the purposes of section 198(1)(a) of the Act or approve a liquidation plan; or</w:t>
      </w:r>
    </w:p>
    <w:p>
      <w:pPr>
        <w:spacing w:after="0" w:line="130" w:lineRule="exact"/>
        <w:rPr>
          <w:rFonts w:ascii="Arial" w:cs="Arial" w:eastAsia="Arial" w:hAnsi="Arial"/>
          <w:sz w:val="18"/>
          <w:szCs w:val="18"/>
          <w:color w:val="auto"/>
        </w:rPr>
      </w:pPr>
    </w:p>
    <w:p>
      <w:pPr>
        <w:ind w:left="860" w:right="700" w:hanging="424"/>
        <w:spacing w:after="0" w:line="277" w:lineRule="auto"/>
        <w:tabs>
          <w:tab w:leader="none" w:pos="8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make a determination under section 57(1) of the Act that the company will, immediately after a proposed distribution, satisfy the Solvency Test.</w:t>
      </w:r>
    </w:p>
    <w:p>
      <w:pPr>
        <w:spacing w:after="0" w:line="75" w:lineRule="exact"/>
        <w:rPr>
          <w:rFonts w:ascii="Arial" w:cs="Arial" w:eastAsia="Arial" w:hAnsi="Arial"/>
          <w:sz w:val="18"/>
          <w:szCs w:val="18"/>
          <w:color w:val="auto"/>
        </w:rPr>
      </w:pPr>
    </w:p>
    <w:p>
      <w:pPr>
        <w:ind w:left="440" w:hanging="436"/>
        <w:spacing w:after="0" w:line="272" w:lineRule="auto"/>
        <w:tabs>
          <w:tab w:leader="none" w:pos="44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Directors may from time to time and at any time by power of attorney (whether under Seal or under hand or otherwise) appoint any Person or body of Persons, whether nominated directly or indirectly by the Directors, to be the attorney or attorneys or authorised signatory (any such Person being an “</w:t>
      </w:r>
      <w:r>
        <w:rPr>
          <w:rFonts w:ascii="Arial" w:cs="Arial" w:eastAsia="Arial" w:hAnsi="Arial"/>
          <w:sz w:val="17"/>
          <w:szCs w:val="17"/>
          <w:b w:val="1"/>
          <w:bCs w:val="1"/>
          <w:color w:val="auto"/>
        </w:rPr>
        <w:t>Attorney</w:t>
      </w:r>
      <w:r>
        <w:rPr>
          <w:rFonts w:ascii="Arial" w:cs="Arial" w:eastAsia="Arial" w:hAnsi="Arial"/>
          <w:sz w:val="17"/>
          <w:szCs w:val="17"/>
          <w:color w:val="auto"/>
        </w:rPr>
        <w:t>” or “</w:t>
      </w:r>
      <w:r>
        <w:rPr>
          <w:rFonts w:ascii="Arial" w:cs="Arial" w:eastAsia="Arial" w:hAnsi="Arial"/>
          <w:sz w:val="17"/>
          <w:szCs w:val="17"/>
          <w:b w:val="1"/>
          <w:bCs w:val="1"/>
          <w:color w:val="auto"/>
        </w:rPr>
        <w:t>Authorised Signatory</w:t>
      </w:r>
      <w:r>
        <w:rPr>
          <w:rFonts w:ascii="Arial" w:cs="Arial" w:eastAsia="Arial" w:hAnsi="Arial"/>
          <w:sz w:val="17"/>
          <w:szCs w:val="17"/>
          <w:color w:val="auto"/>
        </w:rPr>
        <w:t>”, respectively) of the Company for such purposes and with such powers, authorities and discretions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 OF DIRECTORS</w:t>
      </w:r>
    </w:p>
    <w:p>
      <w:pPr>
        <w:spacing w:after="0" w:line="256" w:lineRule="exact"/>
        <w:rPr>
          <w:sz w:val="20"/>
          <w:szCs w:val="20"/>
          <w:color w:val="auto"/>
        </w:rPr>
      </w:pPr>
    </w:p>
    <w:p>
      <w:pPr>
        <w:ind w:left="440" w:right="340" w:hanging="436"/>
        <w:spacing w:after="0" w:line="264" w:lineRule="auto"/>
        <w:tabs>
          <w:tab w:leader="none" w:pos="4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Directors may exercise all the powers of the Company to borrow money and to mortgage or charge its undertaking, property and uncalled capital or any part thereof, to issue debentures, debenture stock and other securities whenever money is borrowed or as security for any debt, liability or obligation of the Company or of any third party.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DUTIES OF DIRECTORS</w:t>
      </w:r>
    </w:p>
    <w:p>
      <w:pPr>
        <w:spacing w:after="0" w:line="256" w:lineRule="exact"/>
        <w:rPr>
          <w:sz w:val="20"/>
          <w:szCs w:val="20"/>
          <w:color w:val="auto"/>
        </w:rPr>
      </w:pPr>
    </w:p>
    <w:p>
      <w:pPr>
        <w:ind w:left="440" w:right="100" w:hanging="436"/>
        <w:spacing w:after="0" w:line="277" w:lineRule="auto"/>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Directors when exercising their powers or performing their duties, shall act honestly and in good faith and in what the Director believes to be in the best interests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63" w:name="page264"/>
    <w:bookmarkEnd w:id="263"/>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OF DIRECTORS</w:t>
      </w:r>
    </w:p>
    <w:p>
      <w:pPr>
        <w:spacing w:after="0" w:line="256" w:lineRule="exact"/>
        <w:rPr>
          <w:sz w:val="20"/>
          <w:szCs w:val="20"/>
          <w:color w:val="auto"/>
        </w:rPr>
      </w:pPr>
    </w:p>
    <w:p>
      <w:pPr>
        <w:jc w:val="both"/>
        <w:ind w:left="436" w:hanging="436"/>
        <w:spacing w:after="0" w:line="259"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Directors may meet together (either within or without the British Virgin Islands) for the despatch of business, adjourn, and otherwise regulate their meetings and proceedings as they think fit. Questions arising at any meeting shall be decided by a majority of votes. In case of an equality of votes the chairman shall have a second or casting vote. A Director may, and a Secretary or assistant Secretary on the requisition of a Director shall, at any time summon a meeting of the Directors.</w:t>
      </w:r>
    </w:p>
    <w:p>
      <w:pPr>
        <w:spacing w:after="0" w:line="92" w:lineRule="exact"/>
        <w:rPr>
          <w:rFonts w:ascii="Arial" w:cs="Arial" w:eastAsia="Arial" w:hAnsi="Arial"/>
          <w:sz w:val="18"/>
          <w:szCs w:val="18"/>
          <w:color w:val="auto"/>
        </w:rPr>
      </w:pPr>
    </w:p>
    <w:p>
      <w:pPr>
        <w:ind w:left="436" w:right="120" w:hanging="436"/>
        <w:spacing w:after="0" w:line="264"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 Director may participate in any meeting of the Directors, or of any committee appointed by the Directors of which such Director is a member, by means of telephone or other electronic means provided that all persons participating in such meeting can hear one other and such participation shall be deemed to constitute presence in person at the meeting.</w:t>
      </w:r>
    </w:p>
    <w:p>
      <w:pPr>
        <w:spacing w:after="0" w:line="86" w:lineRule="exact"/>
        <w:rPr>
          <w:rFonts w:ascii="Arial" w:cs="Arial" w:eastAsia="Arial" w:hAnsi="Arial"/>
          <w:sz w:val="18"/>
          <w:szCs w:val="18"/>
          <w:color w:val="auto"/>
        </w:rPr>
      </w:pPr>
    </w:p>
    <w:p>
      <w:pPr>
        <w:ind w:left="436" w:right="80" w:hanging="436"/>
        <w:spacing w:after="0" w:line="279" w:lineRule="auto"/>
        <w:tabs>
          <w:tab w:leader="none" w:pos="436"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 Director shall be given not less than two days’ notice of meetings of Directors, but a meeting of Directors held without two days’ notice having been given to all Directors shall be valid if all the Directors entitled to vote at the meeting, waive such notice of the meeting, and for this purpose, the presence of a Director at the meeting shall be deemed to constitute waiver on his part. The inadvertent failure to give notice of a meeting to a Director, or the fact that a Director has not received the notice, does not invalidate the meeting.</w:t>
      </w:r>
    </w:p>
    <w:p>
      <w:pPr>
        <w:spacing w:after="0" w:line="76" w:lineRule="exact"/>
        <w:rPr>
          <w:rFonts w:ascii="Arial" w:cs="Arial" w:eastAsia="Arial" w:hAnsi="Arial"/>
          <w:sz w:val="17"/>
          <w:szCs w:val="17"/>
          <w:color w:val="auto"/>
        </w:rPr>
      </w:pPr>
    </w:p>
    <w:p>
      <w:pPr>
        <w:ind w:left="436" w:right="20" w:hanging="436"/>
        <w:spacing w:after="0" w:line="259"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Directors may be fixed by the Directors, and unless so fixed, if there be three or more Directors the quorum shall be a majority of the Directors, two Directors the quorum shall be two, and if there be one Director the quorum shall be one. A Director represented by an alternate Director at any meeting shall be deemed to be present for the purposes of determining whether or not a quorum is present.</w:t>
      </w:r>
    </w:p>
    <w:p>
      <w:pPr>
        <w:spacing w:after="0" w:line="92" w:lineRule="exact"/>
        <w:rPr>
          <w:rFonts w:ascii="Arial" w:cs="Arial" w:eastAsia="Arial" w:hAnsi="Arial"/>
          <w:sz w:val="18"/>
          <w:szCs w:val="18"/>
          <w:color w:val="auto"/>
        </w:rPr>
      </w:pPr>
    </w:p>
    <w:p>
      <w:pPr>
        <w:ind w:left="436" w:right="40" w:hanging="436"/>
        <w:spacing w:after="0" w:line="264"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the Company shall have only one Director the provisions herein contained for meetings of the Directors shall not apply but such sole Director shall have full power to represent and act for the Company in all matters as are not by the Act or the Memorandum or these Articles required to be exercised by the Shareholders.</w:t>
      </w:r>
    </w:p>
    <w:p>
      <w:pPr>
        <w:spacing w:after="0" w:line="86" w:lineRule="exact"/>
        <w:rPr>
          <w:rFonts w:ascii="Arial" w:cs="Arial" w:eastAsia="Arial" w:hAnsi="Arial"/>
          <w:sz w:val="18"/>
          <w:szCs w:val="18"/>
          <w:color w:val="auto"/>
        </w:rPr>
      </w:pPr>
    </w:p>
    <w:p>
      <w:pPr>
        <w:ind w:left="436" w:right="160" w:hanging="436"/>
        <w:spacing w:after="0" w:line="257"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by a Resolution of Directors determine. Any Director may act by himself or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93" w:lineRule="exact"/>
        <w:rPr>
          <w:rFonts w:ascii="Arial" w:cs="Arial" w:eastAsia="Arial" w:hAnsi="Arial"/>
          <w:sz w:val="18"/>
          <w:szCs w:val="18"/>
          <w:color w:val="auto"/>
        </w:rPr>
      </w:pPr>
    </w:p>
    <w:p>
      <w:pPr>
        <w:ind w:left="436" w:hanging="436"/>
        <w:spacing w:after="0"/>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Directors shall cause the following corporate records to be kept:</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304"/>
        </w:numPr>
        <w:rPr>
          <w:rFonts w:ascii="Arial" w:cs="Arial" w:eastAsia="Arial" w:hAnsi="Arial"/>
          <w:sz w:val="16"/>
          <w:szCs w:val="16"/>
          <w:color w:val="auto"/>
        </w:rPr>
      </w:pPr>
      <w:r>
        <w:rPr>
          <w:rFonts w:ascii="Arial" w:cs="Arial" w:eastAsia="Arial" w:hAnsi="Arial"/>
          <w:sz w:val="16"/>
          <w:szCs w:val="16"/>
          <w:color w:val="auto"/>
        </w:rPr>
        <w:t>minutes of all meetings of Directors, Shareholders, committees of Directors, committees of Officers and committees of Shareholders; and</w:t>
      </w:r>
    </w:p>
    <w:p>
      <w:pPr>
        <w:spacing w:after="0" w:line="153" w:lineRule="exact"/>
        <w:rPr>
          <w:rFonts w:ascii="Arial" w:cs="Arial" w:eastAsia="Arial" w:hAnsi="Arial"/>
          <w:sz w:val="16"/>
          <w:szCs w:val="16"/>
          <w:color w:val="auto"/>
        </w:rPr>
      </w:pPr>
    </w:p>
    <w:p>
      <w:pPr>
        <w:ind w:left="856" w:right="140" w:hanging="424"/>
        <w:spacing w:after="0" w:line="277" w:lineRule="auto"/>
        <w:tabs>
          <w:tab w:leader="none" w:pos="856" w:val="left"/>
        </w:tabs>
        <w:numPr>
          <w:ilvl w:val="1"/>
          <w:numId w:val="304"/>
        </w:numPr>
        <w:rPr>
          <w:rFonts w:ascii="Arial" w:cs="Arial" w:eastAsia="Arial" w:hAnsi="Arial"/>
          <w:sz w:val="18"/>
          <w:szCs w:val="18"/>
          <w:color w:val="auto"/>
        </w:rPr>
      </w:pPr>
      <w:r>
        <w:rPr>
          <w:rFonts w:ascii="Arial" w:cs="Arial" w:eastAsia="Arial" w:hAnsi="Arial"/>
          <w:sz w:val="18"/>
          <w:szCs w:val="18"/>
          <w:color w:val="auto"/>
        </w:rPr>
        <w:t>copies of all resolutions consented to by Directors, Shareholders, Classes of Shareholders, committees of Directors, committees of Officers and committees of Shareholders.</w:t>
      </w:r>
    </w:p>
    <w:p>
      <w:pPr>
        <w:spacing w:after="0" w:line="75" w:lineRule="exact"/>
        <w:rPr>
          <w:rFonts w:ascii="Arial" w:cs="Arial" w:eastAsia="Arial" w:hAnsi="Arial"/>
          <w:sz w:val="18"/>
          <w:szCs w:val="18"/>
          <w:color w:val="auto"/>
        </w:rPr>
      </w:pPr>
    </w:p>
    <w:p>
      <w:pPr>
        <w:ind w:left="436" w:right="280" w:hanging="436"/>
        <w:spacing w:after="0" w:line="277"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books, corporate records and minutes shall be kept at the office of the Registered Agent, at the Company’s principal place of business or at such other place as the Directors determine.</w:t>
      </w:r>
    </w:p>
    <w:p>
      <w:pPr>
        <w:spacing w:after="0" w:line="75" w:lineRule="exact"/>
        <w:rPr>
          <w:rFonts w:ascii="Arial" w:cs="Arial" w:eastAsia="Arial" w:hAnsi="Arial"/>
          <w:sz w:val="18"/>
          <w:szCs w:val="18"/>
          <w:color w:val="auto"/>
        </w:rPr>
      </w:pPr>
    </w:p>
    <w:p>
      <w:pPr>
        <w:ind w:left="436" w:right="100" w:hanging="436"/>
        <w:spacing w:after="0" w:line="277"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When the chairman of a meeting of the Directors signs the minutes of such meeting the same shall be presumed to have been duly held unless the contrary is shown.</w:t>
      </w:r>
    </w:p>
    <w:p>
      <w:pPr>
        <w:spacing w:after="0" w:line="75" w:lineRule="exact"/>
        <w:rPr>
          <w:rFonts w:ascii="Arial" w:cs="Arial" w:eastAsia="Arial" w:hAnsi="Arial"/>
          <w:sz w:val="18"/>
          <w:szCs w:val="18"/>
          <w:color w:val="auto"/>
        </w:rPr>
      </w:pPr>
    </w:p>
    <w:p>
      <w:pPr>
        <w:ind w:left="436" w:right="100" w:hanging="436"/>
        <w:spacing w:after="0" w:line="257" w:lineRule="auto"/>
        <w:tabs>
          <w:tab w:leader="none" w:pos="4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 action that may be taken by the Directors or a committee of Directors at a meeting may also be taken by a Resolution of Directors or a resolution of the relevant committee of Directors consented to in writing or by facsimile, electronic mail or other written electronic communication by the Directors holding a simple majority of the votes or by the members of the relevant committee holding a simple majority of the votes, as the case may be, without the need for any notice. Such consent may be in the form of counterparts, each counterpart being signed by one or more Directors.</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16"/>
          </w:cols>
          <w:pgMar w:left="444" w:top="270" w:right="439" w:bottom="1440" w:gutter="0" w:footer="0" w:header="0"/>
        </w:sectPr>
      </w:pPr>
    </w:p>
    <w:bookmarkStart w:id="264" w:name="page265"/>
    <w:bookmarkEnd w:id="264"/>
    <w:p>
      <w:pPr>
        <w:ind w:left="436" w:right="200" w:hanging="436"/>
        <w:spacing w:after="0" w:line="264" w:lineRule="auto"/>
        <w:tabs>
          <w:tab w:leader="none" w:pos="436"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of Directors, or of summoning a Shareholders’ meeting, but for no other purpose.</w:t>
      </w:r>
    </w:p>
    <w:p>
      <w:pPr>
        <w:spacing w:after="0" w:line="86" w:lineRule="exact"/>
        <w:rPr>
          <w:rFonts w:ascii="Arial" w:cs="Arial" w:eastAsia="Arial" w:hAnsi="Arial"/>
          <w:sz w:val="18"/>
          <w:szCs w:val="18"/>
          <w:color w:val="auto"/>
        </w:rPr>
      </w:pPr>
    </w:p>
    <w:p>
      <w:pPr>
        <w:ind w:left="436" w:right="80" w:hanging="436"/>
        <w:spacing w:after="0" w:line="264" w:lineRule="auto"/>
        <w:tabs>
          <w:tab w:leader="none" w:pos="43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Directors may elect a chairman of their meetings and determine the period for which he is to hold office but if no such chairman is elected, or if at any meeting the chairman is not present within fifteen minutes after the time appointed for holding the meeting, a majority of the Directors present may choose one of their number to be chairman of the meeting.</w:t>
      </w:r>
    </w:p>
    <w:p>
      <w:pPr>
        <w:spacing w:after="0" w:line="86" w:lineRule="exact"/>
        <w:rPr>
          <w:rFonts w:ascii="Arial" w:cs="Arial" w:eastAsia="Arial" w:hAnsi="Arial"/>
          <w:sz w:val="18"/>
          <w:szCs w:val="18"/>
          <w:color w:val="auto"/>
        </w:rPr>
      </w:pPr>
    </w:p>
    <w:p>
      <w:pPr>
        <w:ind w:left="436" w:right="60" w:hanging="436"/>
        <w:spacing w:after="0" w:line="286" w:lineRule="auto"/>
        <w:tabs>
          <w:tab w:leader="none" w:pos="436" w:val="left"/>
        </w:tabs>
        <w:numPr>
          <w:ilvl w:val="0"/>
          <w:numId w:val="305"/>
        </w:numPr>
        <w:rPr>
          <w:rFonts w:ascii="Arial" w:cs="Arial" w:eastAsia="Arial" w:hAnsi="Arial"/>
          <w:sz w:val="17"/>
          <w:szCs w:val="17"/>
          <w:color w:val="auto"/>
        </w:rPr>
      </w:pPr>
      <w:r>
        <w:rPr>
          <w:rFonts w:ascii="Arial" w:cs="Arial" w:eastAsia="Arial" w:hAnsi="Arial"/>
          <w:sz w:val="17"/>
          <w:szCs w:val="17"/>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a majority of the committee members present may choose one of their number to be chairman of the meeting.</w:t>
      </w:r>
    </w:p>
    <w:p>
      <w:pPr>
        <w:spacing w:after="0" w:line="70" w:lineRule="exact"/>
        <w:rPr>
          <w:rFonts w:ascii="Arial" w:cs="Arial" w:eastAsia="Arial" w:hAnsi="Arial"/>
          <w:sz w:val="17"/>
          <w:szCs w:val="17"/>
          <w:color w:val="auto"/>
        </w:rPr>
      </w:pPr>
    </w:p>
    <w:p>
      <w:pPr>
        <w:ind w:left="436" w:right="160" w:hanging="436"/>
        <w:spacing w:after="0" w:line="264" w:lineRule="auto"/>
        <w:tabs>
          <w:tab w:leader="none" w:pos="43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w:t>
      </w:r>
    </w:p>
    <w:p>
      <w:pPr>
        <w:spacing w:after="0" w:line="86" w:lineRule="exact"/>
        <w:rPr>
          <w:rFonts w:ascii="Arial" w:cs="Arial" w:eastAsia="Arial" w:hAnsi="Arial"/>
          <w:sz w:val="18"/>
          <w:szCs w:val="18"/>
          <w:color w:val="auto"/>
        </w:rPr>
      </w:pPr>
    </w:p>
    <w:p>
      <w:pPr>
        <w:jc w:val="both"/>
        <w:ind w:left="436" w:right="20" w:hanging="436"/>
        <w:spacing w:after="0" w:line="286" w:lineRule="auto"/>
        <w:tabs>
          <w:tab w:leader="none" w:pos="436"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378"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OFFICERS</w:t>
      </w:r>
    </w:p>
    <w:p>
      <w:pPr>
        <w:spacing w:after="0" w:line="256" w:lineRule="exact"/>
        <w:rPr>
          <w:sz w:val="20"/>
          <w:szCs w:val="20"/>
          <w:color w:val="auto"/>
        </w:rPr>
      </w:pPr>
    </w:p>
    <w:p>
      <w:pPr>
        <w:ind w:left="436" w:right="20" w:hanging="436"/>
        <w:spacing w:after="0" w:line="277" w:lineRule="auto"/>
        <w:tabs>
          <w:tab w:leader="none" w:pos="43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 may by Resolution of Directors appoint Officers at such times as shall be considered necessary or expedient. Any number of offices may be held by the same person.</w:t>
      </w:r>
    </w:p>
    <w:p>
      <w:pPr>
        <w:spacing w:after="0" w:line="75" w:lineRule="exact"/>
        <w:rPr>
          <w:rFonts w:ascii="Arial" w:cs="Arial" w:eastAsia="Arial" w:hAnsi="Arial"/>
          <w:sz w:val="18"/>
          <w:szCs w:val="18"/>
          <w:color w:val="auto"/>
        </w:rPr>
      </w:pPr>
    </w:p>
    <w:p>
      <w:pPr>
        <w:ind w:left="436" w:hanging="436"/>
        <w:spacing w:after="0" w:line="291" w:lineRule="auto"/>
        <w:tabs>
          <w:tab w:leader="none" w:pos="43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Officers shall perform such duties as shall be prescribed at the time of their appointment subject to any modification in such duties as may be prescribed thereafter by Resolution of Directors or Resolution of Shareholders, but in the absence of any specific allocation of duties it shall be the responsibility of the chairman of the board of Directors to preside at meetings of Directors and Shareholders, the vice chairman to act in the absence of the chairman, the president to manage the day to day affairs of the Company, the vice presidents to act in order of seniority in the absence of the president but otherwise to perform such duties as may be delegated to them by the president, the secretaries to maintain the Register of Members, minute books and records (other than financial records) of the Company and to ensure compliance with all procedural requirements imposed on the Company by applicable law, and the treasurer to be responsible for the financial affairs of the Company.</w:t>
      </w:r>
    </w:p>
    <w:p>
      <w:pPr>
        <w:spacing w:after="0" w:line="72" w:lineRule="exact"/>
        <w:rPr>
          <w:rFonts w:ascii="Arial" w:cs="Arial" w:eastAsia="Arial" w:hAnsi="Arial"/>
          <w:sz w:val="16"/>
          <w:szCs w:val="16"/>
          <w:color w:val="auto"/>
        </w:rPr>
      </w:pPr>
    </w:p>
    <w:p>
      <w:pPr>
        <w:ind w:left="436" w:hanging="436"/>
        <w:spacing w:after="0"/>
        <w:tabs>
          <w:tab w:leader="none" w:pos="43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emoluments of all Officers shall be fixed by Resolution of Directors.</w:t>
      </w:r>
    </w:p>
    <w:p>
      <w:pPr>
        <w:spacing w:after="0" w:line="130" w:lineRule="exact"/>
        <w:rPr>
          <w:rFonts w:ascii="Arial" w:cs="Arial" w:eastAsia="Arial" w:hAnsi="Arial"/>
          <w:sz w:val="18"/>
          <w:szCs w:val="18"/>
          <w:color w:val="auto"/>
        </w:rPr>
      </w:pPr>
    </w:p>
    <w:p>
      <w:pPr>
        <w:jc w:val="both"/>
        <w:ind w:left="436" w:right="260" w:hanging="436"/>
        <w:spacing w:after="0" w:line="264" w:lineRule="auto"/>
        <w:tabs>
          <w:tab w:leader="none" w:pos="43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Officers shall hold office until their successors are duly elected and qualified, but any Officer elected or appointed by the Directors may be removed at any time, with or without cause, by Resolution of Directors. Any vacancy occurring in any office of the Company may be filled by Resolution of Directors.</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16"/>
          </w:cols>
          <w:pgMar w:left="444" w:top="274" w:right="439" w:bottom="1440" w:gutter="0" w:footer="0" w:header="0"/>
        </w:sectPr>
      </w:pPr>
    </w:p>
    <w:bookmarkStart w:id="265" w:name="page266"/>
    <w:bookmarkEnd w:id="265"/>
    <w:p>
      <w:pPr>
        <w:jc w:val="center"/>
        <w:ind w:right="-5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 OF INTERESTS</w:t>
      </w:r>
    </w:p>
    <w:p>
      <w:pPr>
        <w:spacing w:after="0" w:line="256" w:lineRule="exact"/>
        <w:rPr>
          <w:sz w:val="20"/>
          <w:szCs w:val="20"/>
          <w:color w:val="auto"/>
        </w:rPr>
      </w:pPr>
    </w:p>
    <w:p>
      <w:pPr>
        <w:ind w:left="436" w:right="40" w:hanging="436"/>
        <w:spacing w:after="0" w:line="259" w:lineRule="auto"/>
        <w:tabs>
          <w:tab w:leader="none" w:pos="43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 Director shall forthwith after becoming aware of the fact that he is interested in a transaction entered into or to be entered into by the Company, disclose the interest to the board of Directors. Where a Director’s interest in a transaction is not disclosed in accordance with this Article prior to the transaction being entered into, unless it is not required to be disclosed in accordance with Article 115 below, the transaction is voidable by the Company.</w:t>
      </w:r>
    </w:p>
    <w:p>
      <w:pPr>
        <w:spacing w:after="0" w:line="92" w:lineRule="exact"/>
        <w:rPr>
          <w:rFonts w:ascii="Arial" w:cs="Arial" w:eastAsia="Arial" w:hAnsi="Arial"/>
          <w:sz w:val="18"/>
          <w:szCs w:val="18"/>
          <w:color w:val="auto"/>
        </w:rPr>
      </w:pPr>
    </w:p>
    <w:p>
      <w:pPr>
        <w:ind w:left="436" w:hanging="436"/>
        <w:spacing w:after="0"/>
        <w:tabs>
          <w:tab w:leader="none" w:pos="43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Notwithstanding the previous Article, a transaction entered into by the Company is not voidable by the Company if:</w:t>
      </w:r>
    </w:p>
    <w:p>
      <w:pPr>
        <w:spacing w:after="0" w:line="130" w:lineRule="exact"/>
        <w:rPr>
          <w:rFonts w:ascii="Arial" w:cs="Arial" w:eastAsia="Arial" w:hAnsi="Arial"/>
          <w:sz w:val="18"/>
          <w:szCs w:val="18"/>
          <w:color w:val="auto"/>
        </w:rPr>
      </w:pPr>
    </w:p>
    <w:p>
      <w:pPr>
        <w:ind w:left="856" w:right="920" w:hanging="424"/>
        <w:spacing w:after="0" w:line="277" w:lineRule="auto"/>
        <w:tabs>
          <w:tab w:leader="none" w:pos="85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material facts of the interest of the Director in the transaction are known by the Shareholders entitled to vote at a meeting of Shareholders and the transaction is approved or ratified by a Resolution of Shareholders; or</w:t>
      </w:r>
    </w:p>
    <w:p>
      <w:pPr>
        <w:spacing w:after="0" w:line="75" w:lineRule="exact"/>
        <w:rPr>
          <w:rFonts w:ascii="Arial" w:cs="Arial" w:eastAsia="Arial" w:hAnsi="Arial"/>
          <w:sz w:val="18"/>
          <w:szCs w:val="18"/>
          <w:color w:val="auto"/>
        </w:rPr>
      </w:pPr>
    </w:p>
    <w:p>
      <w:pPr>
        <w:ind w:left="856" w:right="140" w:hanging="424"/>
        <w:spacing w:after="0" w:line="277" w:lineRule="auto"/>
        <w:tabs>
          <w:tab w:leader="none" w:pos="85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Company received fair value for the transaction, and such determination of fair value is made on the basis of the information known to the Company and the interested Director at the time that the transaction was entered into.</w:t>
      </w:r>
    </w:p>
    <w:p>
      <w:pPr>
        <w:spacing w:after="0" w:line="75" w:lineRule="exact"/>
        <w:rPr>
          <w:rFonts w:ascii="Arial" w:cs="Arial" w:eastAsia="Arial" w:hAnsi="Arial"/>
          <w:sz w:val="18"/>
          <w:szCs w:val="18"/>
          <w:color w:val="auto"/>
        </w:rPr>
      </w:pPr>
    </w:p>
    <w:p>
      <w:pPr>
        <w:jc w:val="both"/>
        <w:ind w:left="436" w:hanging="436"/>
        <w:spacing w:after="0" w:line="342" w:lineRule="auto"/>
        <w:tabs>
          <w:tab w:leader="none" w:pos="436"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 Director is not required to disclose an interest pursuant to Article 113 above, if the transaction is between the Company and the Director and the transaction or proposed transaction is or is to be entered into in the ordinary course of the Company’s business and on usual terms and conditions.</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 Director who is interested in a transaction entered into or to be entered into by the Company may:</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vote on or consent to a Resolution of Directors regarding the transaction or a matter relating to the transaction;</w:t>
      </w:r>
    </w:p>
    <w:p>
      <w:pPr>
        <w:spacing w:after="0" w:line="130" w:lineRule="exact"/>
        <w:rPr>
          <w:rFonts w:ascii="Arial" w:cs="Arial" w:eastAsia="Arial" w:hAnsi="Arial"/>
          <w:sz w:val="18"/>
          <w:szCs w:val="18"/>
          <w:color w:val="auto"/>
        </w:rPr>
      </w:pPr>
    </w:p>
    <w:p>
      <w:pPr>
        <w:ind w:left="856" w:right="400" w:hanging="424"/>
        <w:spacing w:after="0" w:line="277" w:lineRule="auto"/>
        <w:tabs>
          <w:tab w:leader="none" w:pos="85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attend a meeting of Directors at which the transaction or a matter relating to the transaction arises and be included among the Directors present at the meeting for the purpose of a quorum; and</w:t>
      </w:r>
    </w:p>
    <w:p>
      <w:pPr>
        <w:spacing w:after="0" w:line="75" w:lineRule="exact"/>
        <w:rPr>
          <w:rFonts w:ascii="Arial" w:cs="Arial" w:eastAsia="Arial" w:hAnsi="Arial"/>
          <w:sz w:val="18"/>
          <w:szCs w:val="18"/>
          <w:color w:val="auto"/>
        </w:rPr>
      </w:pPr>
    </w:p>
    <w:p>
      <w:pPr>
        <w:ind w:left="856" w:right="440" w:hanging="424"/>
        <w:spacing w:after="0" w:line="277" w:lineRule="auto"/>
        <w:tabs>
          <w:tab w:leader="none" w:pos="85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sign a document on behalf of the company, or do any other thing in his capacity as a Director, that relates to the transaction or a matter relating to the transaction.</w:t>
      </w:r>
    </w:p>
    <w:p>
      <w:pPr>
        <w:spacing w:after="0" w:line="383"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color w:val="auto"/>
        </w:rPr>
        <w:t>REGISTER OF CHARGES</w:t>
      </w:r>
    </w:p>
    <w:p>
      <w:pPr>
        <w:spacing w:after="0" w:line="256" w:lineRule="exact"/>
        <w:rPr>
          <w:sz w:val="20"/>
          <w:szCs w:val="20"/>
          <w:color w:val="auto"/>
        </w:rPr>
      </w:pPr>
    </w:p>
    <w:p>
      <w:pPr>
        <w:ind w:left="436" w:right="320" w:hanging="436"/>
        <w:spacing w:after="0" w:line="277" w:lineRule="auto"/>
        <w:tabs>
          <w:tab w:leader="none" w:pos="43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 shall maintain at the Registered Office or at the office of the Registered Agent a register of all charges created by the Company showing:</w:t>
      </w:r>
    </w:p>
    <w:p>
      <w:pPr>
        <w:spacing w:after="0" w:line="75" w:lineRule="exact"/>
        <w:rPr>
          <w:rFonts w:ascii="Arial" w:cs="Arial" w:eastAsia="Arial" w:hAnsi="Arial"/>
          <w:sz w:val="18"/>
          <w:szCs w:val="18"/>
          <w:color w:val="auto"/>
        </w:rPr>
      </w:pPr>
    </w:p>
    <w:p>
      <w:pPr>
        <w:ind w:left="856" w:right="200" w:hanging="424"/>
        <w:spacing w:after="0" w:line="277" w:lineRule="auto"/>
        <w:tabs>
          <w:tab w:leader="none" w:pos="85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if the charge is a charge created by the Company, the date of its creation or, if the charge is an existing charge on property acquired by the Company, the date on which the property was acquired;</w:t>
      </w:r>
    </w:p>
    <w:p>
      <w:pPr>
        <w:spacing w:after="0" w:line="75" w:lineRule="exact"/>
        <w:rPr>
          <w:rFonts w:ascii="Arial" w:cs="Arial" w:eastAsia="Arial" w:hAnsi="Arial"/>
          <w:sz w:val="18"/>
          <w:szCs w:val="18"/>
          <w:color w:val="auto"/>
        </w:rPr>
      </w:pPr>
    </w:p>
    <w:p>
      <w:pPr>
        <w:ind w:left="856" w:hanging="424"/>
        <w:spacing w:after="0"/>
        <w:tabs>
          <w:tab w:leader="none" w:pos="85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 short description of the liability secured by the charge;</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 short description of the property charged;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name and address of the trustee for the security, or if there is no such trustee, the name and address of the chargee;</w:t>
      </w:r>
    </w:p>
    <w:p>
      <w:pPr>
        <w:spacing w:after="0" w:line="117" w:lineRule="exact"/>
        <w:rPr>
          <w:rFonts w:ascii="Arial" w:cs="Arial" w:eastAsia="Arial" w:hAnsi="Arial"/>
          <w:sz w:val="18"/>
          <w:szCs w:val="18"/>
          <w:color w:val="auto"/>
        </w:rPr>
      </w:pPr>
    </w:p>
    <w:p>
      <w:pPr>
        <w:ind w:left="676" w:hanging="236"/>
        <w:spacing w:after="0"/>
        <w:tabs>
          <w:tab w:leader="none" w:pos="67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unless the charge is a security to bearer, the name and address of the holder of the charge; and</w:t>
      </w:r>
    </w:p>
    <w:p>
      <w:pPr>
        <w:spacing w:after="0" w:line="158"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76"/>
          </w:cols>
          <w:pgMar w:left="444" w:top="270" w:right="479" w:bottom="1440" w:gutter="0" w:footer="0" w:header="0"/>
        </w:sectPr>
      </w:pPr>
    </w:p>
    <w:bookmarkStart w:id="266" w:name="page267"/>
    <w:bookmarkEnd w:id="266"/>
    <w:p>
      <w:pPr>
        <w:ind w:left="856" w:right="160" w:hanging="424"/>
        <w:spacing w:after="0" w:line="277" w:lineRule="auto"/>
        <w:tabs>
          <w:tab w:leader="none" w:pos="856"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details of any prohibition or restriction, if any, contained in the instrument creating the charge on the power of the Company to create any future charge ranking in priority to or equally with the charge.</w:t>
      </w:r>
    </w:p>
    <w:p>
      <w:pPr>
        <w:spacing w:after="0" w:line="383"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THE SEAL, INSTRUMENTS UNDER SEAL AND DEEDS</w:t>
      </w:r>
    </w:p>
    <w:p>
      <w:pPr>
        <w:spacing w:after="0" w:line="256" w:lineRule="exact"/>
        <w:rPr>
          <w:sz w:val="20"/>
          <w:szCs w:val="20"/>
          <w:color w:val="auto"/>
        </w:rPr>
      </w:pPr>
    </w:p>
    <w:p>
      <w:pPr>
        <w:ind w:left="436" w:hanging="436"/>
        <w:spacing w:after="0"/>
        <w:tabs>
          <w:tab w:leader="none" w:pos="43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Directors shall provide for the safe custody of the Seal. An imprint of the Seal shall be kept at the office of the Registered Agent.</w:t>
      </w:r>
    </w:p>
    <w:p>
      <w:pPr>
        <w:spacing w:after="0" w:line="142" w:lineRule="exact"/>
        <w:rPr>
          <w:rFonts w:ascii="Arial" w:cs="Arial" w:eastAsia="Arial" w:hAnsi="Arial"/>
          <w:sz w:val="17"/>
          <w:szCs w:val="17"/>
          <w:color w:val="auto"/>
        </w:rPr>
      </w:pPr>
    </w:p>
    <w:p>
      <w:pPr>
        <w:ind w:left="436" w:right="80" w:hanging="436"/>
        <w:spacing w:after="0" w:line="302" w:lineRule="auto"/>
        <w:tabs>
          <w:tab w:leader="none" w:pos="436"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Seal shall not be affixed to any instrument except by the authority of a Resolution of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59" w:lineRule="exact"/>
        <w:rPr>
          <w:rFonts w:ascii="Arial" w:cs="Arial" w:eastAsia="Arial" w:hAnsi="Arial"/>
          <w:sz w:val="16"/>
          <w:szCs w:val="16"/>
          <w:color w:val="auto"/>
        </w:rPr>
      </w:pPr>
    </w:p>
    <w:p>
      <w:pPr>
        <w:ind w:left="436" w:hanging="436"/>
        <w:spacing w:after="0" w:line="291" w:lineRule="auto"/>
        <w:tabs>
          <w:tab w:leader="none" w:pos="436"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Company may maintain a facsimile of the Seal in such countries or places as the Directors may appoint and such facsimile Seal shall not be affixed to any instrument except by the authority of a Resolution of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72" w:lineRule="exact"/>
        <w:rPr>
          <w:rFonts w:ascii="Arial" w:cs="Arial" w:eastAsia="Arial" w:hAnsi="Arial"/>
          <w:sz w:val="16"/>
          <w:szCs w:val="16"/>
          <w:color w:val="auto"/>
        </w:rPr>
      </w:pPr>
    </w:p>
    <w:p>
      <w:pPr>
        <w:jc w:val="both"/>
        <w:ind w:left="436" w:right="460" w:hanging="436"/>
        <w:spacing w:after="0" w:line="264" w:lineRule="auto"/>
        <w:tabs>
          <w:tab w:leader="none" w:pos="43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86" w:lineRule="exact"/>
        <w:rPr>
          <w:rFonts w:ascii="Arial" w:cs="Arial" w:eastAsia="Arial" w:hAnsi="Arial"/>
          <w:sz w:val="18"/>
          <w:szCs w:val="18"/>
          <w:color w:val="auto"/>
        </w:rPr>
      </w:pPr>
    </w:p>
    <w:p>
      <w:pPr>
        <w:ind w:left="436" w:hanging="436"/>
        <w:spacing w:after="0"/>
        <w:tabs>
          <w:tab w:leader="none" w:pos="43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 instrument under seal or deed may be executed by the Company in any manner permitted by the Act.</w:t>
      </w:r>
    </w:p>
    <w:p>
      <w:pPr>
        <w:spacing w:after="0" w:line="200" w:lineRule="exact"/>
        <w:rPr>
          <w:sz w:val="20"/>
          <w:szCs w:val="20"/>
          <w:color w:val="auto"/>
        </w:rPr>
      </w:pPr>
    </w:p>
    <w:p>
      <w:pPr>
        <w:spacing w:after="0" w:line="237"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ind w:left="436" w:hanging="436"/>
        <w:spacing w:after="0" w:line="308" w:lineRule="auto"/>
        <w:tabs>
          <w:tab w:leader="none" w:pos="43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Company may, from time to time, by a Resolution of Directors authorise a Distribution by the Company at such time, and of such amount, to any Shareholders, as it thinks fit if they are satisfied, on reasonable grounds, that immediately after the Distribution:</w:t>
      </w:r>
    </w:p>
    <w:p>
      <w:pPr>
        <w:spacing w:after="0" w:line="51" w:lineRule="exact"/>
        <w:rPr>
          <w:rFonts w:ascii="Arial" w:cs="Arial" w:eastAsia="Arial" w:hAnsi="Arial"/>
          <w:sz w:val="17"/>
          <w:szCs w:val="17"/>
          <w:color w:val="auto"/>
        </w:rPr>
      </w:pPr>
    </w:p>
    <w:p>
      <w:pPr>
        <w:ind w:left="856" w:hanging="424"/>
        <w:spacing w:after="0"/>
        <w:tabs>
          <w:tab w:leader="none" w:pos="85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value of the Company’s assets will exceed its liabilities; and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Company will be able to pay its debts as they fall due.</w:t>
      </w:r>
    </w:p>
    <w:p>
      <w:pPr>
        <w:spacing w:after="0" w:line="130" w:lineRule="exact"/>
        <w:rPr>
          <w:rFonts w:ascii="Arial" w:cs="Arial" w:eastAsia="Arial" w:hAnsi="Arial"/>
          <w:sz w:val="18"/>
          <w:szCs w:val="18"/>
          <w:color w:val="auto"/>
        </w:rPr>
      </w:pPr>
    </w:p>
    <w:p>
      <w:pPr>
        <w:ind w:left="436" w:right="120" w:hanging="436"/>
        <w:spacing w:after="0" w:line="277" w:lineRule="auto"/>
        <w:tabs>
          <w:tab w:leader="none" w:pos="43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Directors may, before making any Distribution, set aside out of the profits of the Company such sum as they think proper as a reserve fund, and may invest the sum so set apart as a reserve fund upon such securities as they may select.</w:t>
      </w:r>
    </w:p>
    <w:p>
      <w:pPr>
        <w:spacing w:after="0" w:line="75" w:lineRule="exact"/>
        <w:rPr>
          <w:rFonts w:ascii="Arial" w:cs="Arial" w:eastAsia="Arial" w:hAnsi="Arial"/>
          <w:sz w:val="18"/>
          <w:szCs w:val="18"/>
          <w:color w:val="auto"/>
        </w:rPr>
      </w:pPr>
    </w:p>
    <w:p>
      <w:pPr>
        <w:ind w:left="436" w:right="220" w:hanging="436"/>
        <w:spacing w:after="0" w:line="342" w:lineRule="auto"/>
        <w:tabs>
          <w:tab w:leader="none" w:pos="43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Notice of any Distribution that may have been authorised shall be given to each Shareholder in the manner hereinafter mentioned and all Distributions unclaimed for three years after having been declared may be forfeited by Resolution of Directors for the benefit of the Company.</w:t>
      </w:r>
    </w:p>
    <w:p>
      <w:pPr>
        <w:spacing w:after="0" w:line="29" w:lineRule="exact"/>
        <w:rPr>
          <w:rFonts w:ascii="Arial" w:cs="Arial" w:eastAsia="Arial" w:hAnsi="Arial"/>
          <w:sz w:val="16"/>
          <w:szCs w:val="16"/>
          <w:color w:val="auto"/>
        </w:rPr>
      </w:pPr>
    </w:p>
    <w:p>
      <w:pPr>
        <w:ind w:left="436" w:hanging="436"/>
        <w:spacing w:after="0"/>
        <w:tabs>
          <w:tab w:leader="none" w:pos="43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Distribution shall bear interest as against the Company and no Distribution shall be authorised or made on Treasury Shares.</w:t>
      </w:r>
    </w:p>
    <w:p>
      <w:pPr>
        <w:spacing w:after="0" w:line="158"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16"/>
          </w:cols>
          <w:pgMar w:left="444" w:top="274" w:right="539" w:bottom="1440" w:gutter="0" w:footer="0" w:header="0"/>
        </w:sectPr>
      </w:pPr>
    </w:p>
    <w:bookmarkStart w:id="267" w:name="page268"/>
    <w:bookmarkEnd w:id="267"/>
    <w:p>
      <w:pPr>
        <w:ind w:left="440" w:right="200" w:hanging="436"/>
        <w:spacing w:after="0" w:line="277" w:lineRule="auto"/>
        <w:tabs>
          <w:tab w:leader="none" w:pos="4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several Persons are registered as joint holders of any Shares, any one of such Persons may give receipt for any Distribution made in respect of such Shares.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RECORDS AND UNDERLYING DOCUMENTATION</w:t>
      </w:r>
    </w:p>
    <w:p>
      <w:pPr>
        <w:spacing w:after="0" w:line="256" w:lineRule="exact"/>
        <w:rPr>
          <w:sz w:val="20"/>
          <w:szCs w:val="20"/>
          <w:color w:val="auto"/>
        </w:rPr>
      </w:pPr>
    </w:p>
    <w:p>
      <w:pPr>
        <w:ind w:left="440" w:hanging="436"/>
        <w:spacing w:after="0"/>
        <w:tabs>
          <w:tab w:leader="none" w:pos="4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Company shall keep such records and underlying documentation that: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are sufficient to show and explain the Company’s transactions;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will at any time, enable the financial position of the Company to be determined with reasonable accuracy.</w:t>
      </w:r>
    </w:p>
    <w:p>
      <w:pPr>
        <w:spacing w:after="0" w:line="130" w:lineRule="exact"/>
        <w:rPr>
          <w:rFonts w:ascii="Arial" w:cs="Arial" w:eastAsia="Arial" w:hAnsi="Arial"/>
          <w:sz w:val="18"/>
          <w:szCs w:val="18"/>
          <w:color w:val="auto"/>
        </w:rPr>
      </w:pPr>
    </w:p>
    <w:p>
      <w:pPr>
        <w:ind w:left="440" w:right="20" w:hanging="436"/>
        <w:spacing w:after="0" w:line="277" w:lineRule="auto"/>
        <w:tabs>
          <w:tab w:leader="none" w:pos="4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records and underlying documentation shall be kept at the office of the Registered Agent or at such other place or places, within or outside the British Virgin Islands as the Directors think fit, and shall always be open to the inspection of the Directors.</w:t>
      </w:r>
    </w:p>
    <w:p>
      <w:pPr>
        <w:spacing w:after="0" w:line="75" w:lineRule="exact"/>
        <w:rPr>
          <w:rFonts w:ascii="Arial" w:cs="Arial" w:eastAsia="Arial" w:hAnsi="Arial"/>
          <w:sz w:val="18"/>
          <w:szCs w:val="18"/>
          <w:color w:val="auto"/>
        </w:rPr>
      </w:pPr>
    </w:p>
    <w:p>
      <w:pPr>
        <w:ind w:left="440" w:hanging="436"/>
        <w:spacing w:after="0" w:line="302" w:lineRule="auto"/>
        <w:tabs>
          <w:tab w:leader="none" w:pos="4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Subject to the Act, the Directors may from time to time determine whether and to what extent and at what times and places and under what conditions or regulations the records and underlying documentation of the Company or any of them shall be open to the inspection of Shareholders not being Directors, and no Shareholder (not being a Director) shall have any right of inspecting any records or underlying documentation of the Company except as conferred by the Act or other applicable law or authorised by a Resolution of Directors or by a Resolution of Shareholders.</w:t>
      </w:r>
    </w:p>
    <w:p>
      <w:pPr>
        <w:spacing w:after="0" w:line="59" w:lineRule="exact"/>
        <w:rPr>
          <w:rFonts w:ascii="Arial" w:cs="Arial" w:eastAsia="Arial" w:hAnsi="Arial"/>
          <w:sz w:val="16"/>
          <w:szCs w:val="16"/>
          <w:color w:val="auto"/>
        </w:rPr>
      </w:pPr>
    </w:p>
    <w:p>
      <w:pPr>
        <w:ind w:left="440" w:right="200" w:hanging="436"/>
        <w:spacing w:after="0" w:line="277" w:lineRule="auto"/>
        <w:tabs>
          <w:tab w:leader="none" w:pos="4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Audited accounts relating to the Company’s affairs shall only be prepared if the Directors so determine, in which case the financial year end and the accounting principles will be determined by the Directors.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auditors of the Company appointed shall not be deemed to be Officers.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56" w:lineRule="exact"/>
        <w:rPr>
          <w:sz w:val="20"/>
          <w:szCs w:val="20"/>
          <w:color w:val="auto"/>
        </w:rPr>
      </w:pPr>
    </w:p>
    <w:p>
      <w:pPr>
        <w:ind w:left="440" w:hanging="436"/>
        <w:spacing w:after="0" w:line="257" w:lineRule="auto"/>
        <w:tabs>
          <w:tab w:leader="none" w:pos="4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notice or document may be served by the Company or by the Person entitled to give notice to any Shareholder either personally, or by posting it airmail or air courier service in a prepaid letter addressed to such Shareholder at his address as appearing in the Register of Members, by electronic mail or by facsimile should the Directors deem it appropriate. In the case of joint holders of a Share, all notices shall be given to that one of the joint holders whose name stands first in the Register of Members in respect of the joint holding, and notice so given shall be sufficient notice to all the joint holders.</w:t>
      </w:r>
    </w:p>
    <w:p>
      <w:pPr>
        <w:spacing w:after="0" w:line="93" w:lineRule="exact"/>
        <w:rPr>
          <w:rFonts w:ascii="Arial" w:cs="Arial" w:eastAsia="Arial" w:hAnsi="Arial"/>
          <w:sz w:val="18"/>
          <w:szCs w:val="18"/>
          <w:color w:val="auto"/>
        </w:rPr>
      </w:pPr>
    </w:p>
    <w:p>
      <w:pPr>
        <w:ind w:left="440" w:right="40" w:hanging="436"/>
        <w:spacing w:after="0" w:line="277" w:lineRule="auto"/>
        <w:tabs>
          <w:tab w:leader="none" w:pos="4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Shareholder present, either personally or by proxy, at any Shareholders’ meeting shall for all purposes be deemed to have received due notice of such meeting and, where requisite, of the purposes for which such meeting was convened.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notice or other document, if served by: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post, shall be deemed to have been served five days after the time when the letter containing the same is posted;</w:t>
      </w:r>
    </w:p>
    <w:p>
      <w:pPr>
        <w:spacing w:after="0" w:line="130" w:lineRule="exact"/>
        <w:rPr>
          <w:rFonts w:ascii="Arial" w:cs="Arial" w:eastAsia="Arial" w:hAnsi="Arial"/>
          <w:sz w:val="18"/>
          <w:szCs w:val="18"/>
          <w:color w:val="auto"/>
        </w:rPr>
      </w:pPr>
    </w:p>
    <w:p>
      <w:pPr>
        <w:ind w:left="860" w:right="180" w:hanging="424"/>
        <w:spacing w:after="0" w:line="277" w:lineRule="auto"/>
        <w:tabs>
          <w:tab w:leader="none" w:pos="8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75" w:lineRule="exact"/>
        <w:rPr>
          <w:rFonts w:ascii="Arial" w:cs="Arial" w:eastAsia="Arial" w:hAnsi="Arial"/>
          <w:sz w:val="18"/>
          <w:szCs w:val="18"/>
          <w:color w:val="auto"/>
        </w:rPr>
      </w:pPr>
    </w:p>
    <w:p>
      <w:pPr>
        <w:ind w:left="860" w:right="200" w:hanging="424"/>
        <w:spacing w:after="0" w:line="277" w:lineRule="auto"/>
        <w:tabs>
          <w:tab w:leader="none" w:pos="8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recognised courier service, shall be deemed to have been served 48 hours after the time when the letter containing the same is delivered to the courier service;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268" w:name="page269"/>
    <w:bookmarkEnd w:id="268"/>
    <w:p>
      <w:pPr>
        <w:ind w:left="856" w:hanging="424"/>
        <w:spacing w:after="0"/>
        <w:tabs>
          <w:tab w:leader="none" w:pos="856"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mail, shall be deemed to have been served immediately upon the time of the transmission by electronic mail.</w:t>
      </w:r>
    </w:p>
    <w:p>
      <w:pPr>
        <w:spacing w:after="0" w:line="117" w:lineRule="exact"/>
        <w:rPr>
          <w:sz w:val="20"/>
          <w:szCs w:val="20"/>
          <w:color w:val="auto"/>
        </w:rPr>
      </w:pPr>
    </w:p>
    <w:p>
      <w:pPr>
        <w:ind w:left="436" w:right="700"/>
        <w:spacing w:after="0" w:line="277" w:lineRule="auto"/>
        <w:rPr>
          <w:sz w:val="20"/>
          <w:szCs w:val="20"/>
          <w:color w:val="auto"/>
        </w:rPr>
      </w:pPr>
      <w:r>
        <w:rPr>
          <w:rFonts w:ascii="Arial" w:cs="Arial" w:eastAsia="Arial" w:hAnsi="Arial"/>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76" w:lineRule="exact"/>
        <w:rPr>
          <w:sz w:val="20"/>
          <w:szCs w:val="20"/>
          <w:color w:val="auto"/>
        </w:rPr>
      </w:pPr>
    </w:p>
    <w:p>
      <w:pPr>
        <w:ind w:left="436" w:right="20" w:hanging="436"/>
        <w:spacing w:after="0" w:line="255" w:lineRule="auto"/>
        <w:tabs>
          <w:tab w:leader="none" w:pos="43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98" w:lineRule="exact"/>
        <w:rPr>
          <w:rFonts w:ascii="Arial" w:cs="Arial" w:eastAsia="Arial" w:hAnsi="Arial"/>
          <w:sz w:val="18"/>
          <w:szCs w:val="18"/>
          <w:color w:val="auto"/>
        </w:rPr>
      </w:pPr>
    </w:p>
    <w:p>
      <w:pPr>
        <w:ind w:left="436" w:hanging="436"/>
        <w:spacing w:after="0"/>
        <w:tabs>
          <w:tab w:leader="none" w:pos="43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Notice of every Shareholders’ meeting shall be given to:</w:t>
      </w:r>
    </w:p>
    <w:p>
      <w:pPr>
        <w:spacing w:after="0" w:line="130" w:lineRule="exact"/>
        <w:rPr>
          <w:rFonts w:ascii="Arial" w:cs="Arial" w:eastAsia="Arial" w:hAnsi="Arial"/>
          <w:sz w:val="18"/>
          <w:szCs w:val="18"/>
          <w:color w:val="auto"/>
        </w:rPr>
      </w:pPr>
    </w:p>
    <w:p>
      <w:pPr>
        <w:ind w:left="856" w:right="100" w:hanging="424"/>
        <w:spacing w:after="0" w:line="277" w:lineRule="auto"/>
        <w:tabs>
          <w:tab w:leader="none" w:pos="85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all Shareholders holding Shares with the right to receive notice and who have supplied to the Company an address for the giving of notices to them; and</w:t>
      </w:r>
    </w:p>
    <w:p>
      <w:pPr>
        <w:spacing w:after="0" w:line="75" w:lineRule="exact"/>
        <w:rPr>
          <w:rFonts w:ascii="Arial" w:cs="Arial" w:eastAsia="Arial" w:hAnsi="Arial"/>
          <w:sz w:val="18"/>
          <w:szCs w:val="18"/>
          <w:color w:val="auto"/>
        </w:rPr>
      </w:pPr>
    </w:p>
    <w:p>
      <w:pPr>
        <w:ind w:left="856" w:right="120" w:hanging="424"/>
        <w:spacing w:after="0" w:line="342" w:lineRule="auto"/>
        <w:tabs>
          <w:tab w:leader="none" w:pos="856"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every Person entitled to a Share in consequence of the death or bankruptcy of a Shareholder, who but for his death or bankruptcy would be entitled to receive notice of the meeting, provided such Person has given notice of the death or bankruptcy to the Company.</w:t>
      </w:r>
    </w:p>
    <w:p>
      <w:pPr>
        <w:spacing w:after="0" w:line="16" w:lineRule="exact"/>
        <w:rPr>
          <w:sz w:val="20"/>
          <w:szCs w:val="20"/>
          <w:color w:val="auto"/>
        </w:rPr>
      </w:pPr>
    </w:p>
    <w:p>
      <w:pPr>
        <w:ind w:left="436" w:right="280"/>
        <w:spacing w:after="0" w:line="277" w:lineRule="auto"/>
        <w:rPr>
          <w:sz w:val="20"/>
          <w:szCs w:val="20"/>
          <w:color w:val="auto"/>
        </w:rPr>
      </w:pPr>
      <w:r>
        <w:rPr>
          <w:rFonts w:ascii="Arial" w:cs="Arial" w:eastAsia="Arial" w:hAnsi="Arial"/>
          <w:sz w:val="18"/>
          <w:szCs w:val="18"/>
          <w:color w:val="auto"/>
        </w:rPr>
        <w:t>No other Person shall be entitled to receive notices of Shareholders’ meetings, except any parties to whom the Company has agreed to provide such notices under any participation arrangements or participation agreements.</w:t>
      </w:r>
    </w:p>
    <w:p>
      <w:pPr>
        <w:spacing w:after="0" w:line="383"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INDEMNITY</w:t>
      </w:r>
    </w:p>
    <w:p>
      <w:pPr>
        <w:spacing w:after="0" w:line="256" w:lineRule="exact"/>
        <w:rPr>
          <w:sz w:val="20"/>
          <w:szCs w:val="20"/>
          <w:color w:val="auto"/>
        </w:rPr>
      </w:pPr>
    </w:p>
    <w:p>
      <w:pPr>
        <w:ind w:left="436" w:right="40" w:hanging="436"/>
        <w:spacing w:after="0" w:line="264" w:lineRule="auto"/>
        <w:tabs>
          <w:tab w:leader="none" w:pos="43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the limitations hereinafter provided the Company may indemnify against all expenses, including legal fees, and against all judgments, fines and amounts paid in settlement and reasonably incurred in connection with legal, administrative or investigative proceedings any Person (an “</w:t>
      </w:r>
      <w:r>
        <w:rPr>
          <w:rFonts w:ascii="Arial" w:cs="Arial" w:eastAsia="Arial" w:hAnsi="Arial"/>
          <w:sz w:val="18"/>
          <w:szCs w:val="18"/>
          <w:i w:val="1"/>
          <w:iCs w:val="1"/>
          <w:color w:val="auto"/>
        </w:rPr>
        <w:t>Indemnifiable Person</w:t>
      </w:r>
      <w:r>
        <w:rPr>
          <w:rFonts w:ascii="Arial" w:cs="Arial" w:eastAsia="Arial" w:hAnsi="Arial"/>
          <w:sz w:val="18"/>
          <w:szCs w:val="18"/>
          <w:color w:val="auto"/>
        </w:rPr>
        <w:t>”) who:</w:t>
      </w:r>
    </w:p>
    <w:p>
      <w:pPr>
        <w:spacing w:after="0" w:line="86" w:lineRule="exact"/>
        <w:rPr>
          <w:rFonts w:ascii="Arial" w:cs="Arial" w:eastAsia="Arial" w:hAnsi="Arial"/>
          <w:sz w:val="18"/>
          <w:szCs w:val="18"/>
          <w:color w:val="auto"/>
        </w:rPr>
      </w:pPr>
    </w:p>
    <w:p>
      <w:pPr>
        <w:ind w:left="856" w:hanging="424"/>
        <w:spacing w:after="0" w:line="342" w:lineRule="auto"/>
        <w:tabs>
          <w:tab w:leader="none" w:pos="856" w:val="left"/>
        </w:tabs>
        <w:numPr>
          <w:ilvl w:val="1"/>
          <w:numId w:val="317"/>
        </w:numPr>
        <w:rPr>
          <w:rFonts w:ascii="Arial" w:cs="Arial" w:eastAsia="Arial" w:hAnsi="Arial"/>
          <w:sz w:val="16"/>
          <w:szCs w:val="16"/>
          <w:color w:val="auto"/>
        </w:rPr>
      </w:pPr>
      <w:r>
        <w:rPr>
          <w:rFonts w:ascii="Arial" w:cs="Arial" w:eastAsia="Arial" w:hAnsi="Arial"/>
          <w:sz w:val="16"/>
          <w:szCs w:val="16"/>
          <w:color w:val="auto"/>
        </w:rPr>
        <w:t>is or was a party or is threatened to be made a party to any threatened, pending or completed proceedings, whether civil, criminal, administrative or investigative, by reason of the fact that the Person is or was a Director, an Officer, agent or a liquidator of the Company; or</w:t>
      </w:r>
    </w:p>
    <w:p>
      <w:pPr>
        <w:spacing w:after="0" w:line="29" w:lineRule="exact"/>
        <w:rPr>
          <w:rFonts w:ascii="Arial" w:cs="Arial" w:eastAsia="Arial" w:hAnsi="Arial"/>
          <w:sz w:val="16"/>
          <w:szCs w:val="16"/>
          <w:color w:val="auto"/>
        </w:rPr>
      </w:pPr>
    </w:p>
    <w:p>
      <w:pPr>
        <w:ind w:left="856" w:right="260" w:hanging="424"/>
        <w:spacing w:after="0" w:line="277" w:lineRule="auto"/>
        <w:tabs>
          <w:tab w:leader="none" w:pos="856"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is or was, at the request of the Company, serving as a director, officer, agent or liquidator of, or in any other capacity is or was acting for, another body corporate or a partnership, joint venture, trust or other enterprise.</w:t>
      </w:r>
    </w:p>
    <w:p>
      <w:pPr>
        <w:spacing w:after="0" w:line="75" w:lineRule="exact"/>
        <w:rPr>
          <w:rFonts w:ascii="Arial" w:cs="Arial" w:eastAsia="Arial" w:hAnsi="Arial"/>
          <w:sz w:val="18"/>
          <w:szCs w:val="18"/>
          <w:color w:val="auto"/>
        </w:rPr>
      </w:pPr>
    </w:p>
    <w:p>
      <w:pPr>
        <w:ind w:left="436" w:right="60" w:hanging="436"/>
        <w:spacing w:after="0" w:line="264" w:lineRule="auto"/>
        <w:tabs>
          <w:tab w:leader="none" w:pos="43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Company may only indemnify an Indemnifiable Person if such Person acted honestly and in good faith and in what the Indemnifiable Person believed to be in the best interests of the Company and, in the case of criminal proceedings, the Indemnifiable Person had no reasonable cause to believe that his conduct was unlawful.</w:t>
      </w:r>
    </w:p>
    <w:p>
      <w:pPr>
        <w:spacing w:after="0" w:line="86" w:lineRule="exact"/>
        <w:rPr>
          <w:rFonts w:ascii="Arial" w:cs="Arial" w:eastAsia="Arial" w:hAnsi="Arial"/>
          <w:sz w:val="18"/>
          <w:szCs w:val="18"/>
          <w:color w:val="auto"/>
        </w:rPr>
      </w:pPr>
    </w:p>
    <w:p>
      <w:pPr>
        <w:ind w:left="436" w:right="40" w:hanging="436"/>
        <w:spacing w:after="0" w:line="312" w:lineRule="auto"/>
        <w:tabs>
          <w:tab w:leader="none" w:pos="436"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decision of the Directors as to whether the Indemnifiable Person acted honestly and in good faith and in what the Indemnifiable Person believed to be in the best interests of the Company and, in the case of criminal proceedings, as to whether such Person had no reasonable cause to believe that his conduct was unlawful, is in the absence of fraud, sufficient for the purposes of these Articles, unless a question of law is involved.</w:t>
      </w:r>
    </w:p>
    <w:p>
      <w:pPr>
        <w:spacing w:after="0" w:line="7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76"/>
          </w:cols>
          <w:pgMar w:left="444" w:top="274" w:right="479" w:bottom="1440" w:gutter="0" w:footer="0" w:header="0"/>
        </w:sectPr>
      </w:pPr>
    </w:p>
    <w:bookmarkStart w:id="269" w:name="page270"/>
    <w:bookmarkEnd w:id="269"/>
    <w:p>
      <w:pPr>
        <w:ind w:left="440" w:right="80" w:hanging="436"/>
        <w:spacing w:after="0" w:line="264" w:lineRule="auto"/>
        <w:tabs>
          <w:tab w:leader="none" w:pos="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termination of any proceedings by any judgment, order, settlement, conviction or the entering of a </w:t>
      </w:r>
      <w:r>
        <w:rPr>
          <w:rFonts w:ascii="Arial" w:cs="Arial" w:eastAsia="Arial" w:hAnsi="Arial"/>
          <w:sz w:val="18"/>
          <w:szCs w:val="18"/>
          <w:i w:val="1"/>
          <w:iCs w:val="1"/>
          <w:color w:val="auto"/>
        </w:rPr>
        <w:t>nolle prosequi</w:t>
      </w:r>
      <w:r>
        <w:rPr>
          <w:rFonts w:ascii="Arial" w:cs="Arial" w:eastAsia="Arial" w:hAnsi="Arial"/>
          <w:sz w:val="18"/>
          <w:szCs w:val="18"/>
          <w:color w:val="auto"/>
        </w:rPr>
        <w:t xml:space="preserve"> does not, by itself, create a presumption that the Indemnifiable Person did not act honestly and in good faith and with a view to the best interests of the Company or that such Person had reasonable cause to believe that his conduct was unlawful.</w:t>
      </w:r>
    </w:p>
    <w:p>
      <w:pPr>
        <w:spacing w:after="0" w:line="86" w:lineRule="exact"/>
        <w:rPr>
          <w:rFonts w:ascii="Arial" w:cs="Arial" w:eastAsia="Arial" w:hAnsi="Arial"/>
          <w:sz w:val="18"/>
          <w:szCs w:val="18"/>
          <w:color w:val="auto"/>
        </w:rPr>
      </w:pPr>
    </w:p>
    <w:p>
      <w:pPr>
        <w:ind w:left="440" w:right="160" w:hanging="436"/>
        <w:spacing w:after="0" w:line="259" w:lineRule="auto"/>
        <w:tabs>
          <w:tab w:leader="none" w:pos="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Expenses, including legal fees, incurred by an Indemnifiable Person in defending any legal, administrative or investigative proceedings may be paid by the Company in advance of the final disposition of such proceedings upon receipt of an undertaking by or on behalf of the Indemnifiable Person to repay the amount if it shall ultimately be determined that the Indemnifiable Person is not entitled to be indemnified by the Company in accordance with these Articles.</w:t>
      </w:r>
    </w:p>
    <w:p>
      <w:pPr>
        <w:spacing w:after="0" w:line="92" w:lineRule="exact"/>
        <w:rPr>
          <w:rFonts w:ascii="Arial" w:cs="Arial" w:eastAsia="Arial" w:hAnsi="Arial"/>
          <w:sz w:val="18"/>
          <w:szCs w:val="18"/>
          <w:color w:val="auto"/>
        </w:rPr>
      </w:pPr>
    </w:p>
    <w:p>
      <w:pPr>
        <w:ind w:left="440" w:hanging="436"/>
        <w:spacing w:after="0" w:line="257" w:lineRule="auto"/>
        <w:tabs>
          <w:tab w:leader="none" w:pos="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Expenses, including legal fees, incurred by a former Director, Officer or agent in defending any legal, administrative or investigative proceedings may be paid by the Company in advance of the final disposition of such proceedings upon receipt of an undertaking by or on behalf of the former Director, Officer or agent, as the case may be, to repay the amount if it shall ultimately be determined that the former Director, Officer or agent is not entitled to be indemnified by the Company in accordance with these Articles and upon such other terms and conditions, if any, as the Company deems appropriate.</w:t>
      </w:r>
    </w:p>
    <w:p>
      <w:pPr>
        <w:spacing w:after="0" w:line="93" w:lineRule="exact"/>
        <w:rPr>
          <w:rFonts w:ascii="Arial" w:cs="Arial" w:eastAsia="Arial" w:hAnsi="Arial"/>
          <w:sz w:val="18"/>
          <w:szCs w:val="18"/>
          <w:color w:val="auto"/>
        </w:rPr>
      </w:pPr>
    </w:p>
    <w:p>
      <w:pPr>
        <w:ind w:left="440" w:right="240" w:hanging="436"/>
        <w:spacing w:after="0" w:line="259" w:lineRule="auto"/>
        <w:tabs>
          <w:tab w:leader="none" w:pos="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is not exclusive of any other rights to which the Person seeking indemnification or advancement of expenses may be entitled under any agreement, resolution of members, resolution of disinterested Directors or otherwise, both as to acting in the Person’s official capacity and as to acting in another capacity while serving as a Director, if applicable.</w:t>
      </w:r>
    </w:p>
    <w:p>
      <w:pPr>
        <w:spacing w:after="0" w:line="92" w:lineRule="exact"/>
        <w:rPr>
          <w:rFonts w:ascii="Arial" w:cs="Arial" w:eastAsia="Arial" w:hAnsi="Arial"/>
          <w:sz w:val="18"/>
          <w:szCs w:val="18"/>
          <w:color w:val="auto"/>
        </w:rPr>
      </w:pPr>
    </w:p>
    <w:p>
      <w:pPr>
        <w:ind w:left="440" w:right="200" w:hanging="436"/>
        <w:spacing w:after="0" w:line="264" w:lineRule="auto"/>
        <w:tabs>
          <w:tab w:leader="none" w:pos="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a Person to be indemnified has been successful in defence of any proceedings described above the Person is entitled to be indemnified against all expenses, including legal fees, and against all judgments, fines and amounts paid in settlement and reasonably incurred by the Person in connection with the proceedings.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left="440" w:right="40" w:hanging="436"/>
        <w:spacing w:after="0" w:line="259" w:lineRule="auto"/>
        <w:tabs>
          <w:tab w:leader="none" w:pos="4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Company may purchase and maintain insurance in relation to any person who is or was a Director, or who at the request of the Company is or was serving as a Director of, or in any other capacity is or was acting for another body corporate or a partnership, joint venture, trust or other enterprise, against any liability asserted against the person and incurred by the person in that capacity, whether or not the Company has or would have had the power to indemnify the person against the liability in the preceding Article.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56" w:lineRule="exact"/>
        <w:rPr>
          <w:sz w:val="20"/>
          <w:szCs w:val="20"/>
          <w:color w:val="auto"/>
        </w:rPr>
      </w:pPr>
    </w:p>
    <w:p>
      <w:pPr>
        <w:ind w:left="440" w:right="20" w:hanging="436"/>
        <w:spacing w:after="0" w:line="297" w:lineRule="auto"/>
        <w:tabs>
          <w:tab w:leader="none" w:pos="4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Subject to the proviso hereto, 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required by law) any other right in respect of any Share except an absolute right to the entirety thereof in each Shareholder registered in the Register of Members, provided that, notwithstanding the foregoing, the Company shall be entitled to recognise any such interests as shall be determined by the Directors.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270" w:name="page271"/>
    <w:bookmarkEnd w:id="2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VOLUNTARY LIQUIDATION</w:t>
      </w:r>
    </w:p>
    <w:p>
      <w:pPr>
        <w:spacing w:after="0" w:line="256" w:lineRule="exact"/>
        <w:rPr>
          <w:sz w:val="20"/>
          <w:szCs w:val="20"/>
          <w:color w:val="auto"/>
        </w:rPr>
      </w:pPr>
    </w:p>
    <w:p>
      <w:pPr>
        <w:ind w:left="440" w:right="260" w:hanging="436"/>
        <w:spacing w:after="0" w:line="277" w:lineRule="auto"/>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Company may voluntarily commence its liquidation and dissolution by appointing a voluntary liquidator in accordance with section 199 of the Act if:</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it has no liabilities;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it is able to pay its debts as they fall due and the value of its assets equals or exceeds its liabilities.</w:t>
      </w:r>
    </w:p>
    <w:p>
      <w:pPr>
        <w:spacing w:after="0" w:line="130" w:lineRule="exact"/>
        <w:rPr>
          <w:rFonts w:ascii="Arial" w:cs="Arial" w:eastAsia="Arial" w:hAnsi="Arial"/>
          <w:sz w:val="18"/>
          <w:szCs w:val="18"/>
          <w:color w:val="auto"/>
        </w:rPr>
      </w:pPr>
    </w:p>
    <w:p>
      <w:pPr>
        <w:ind w:left="440" w:right="740" w:hanging="436"/>
        <w:spacing w:after="0" w:line="277" w:lineRule="auto"/>
        <w:tabs>
          <w:tab w:leader="none" w:pos="4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 voluntary liquidator may be appointed by a Resolution of Shareholders or, if the Company has never issued Shares, by a Resolution of Directors.</w:t>
      </w:r>
    </w:p>
    <w:p>
      <w:pPr>
        <w:spacing w:after="0" w:line="38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AMENDMENT OF ARTICLES OF ASSOCIATION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150.  These Articles may be amended in the manner prescribed in the Memorandum.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OF REGISTER OF MEMBERS OR FIXING RECORD DATE</w:t>
      </w:r>
    </w:p>
    <w:p>
      <w:pPr>
        <w:spacing w:after="0" w:line="256" w:lineRule="exact"/>
        <w:rPr>
          <w:sz w:val="20"/>
          <w:szCs w:val="20"/>
          <w:color w:val="auto"/>
        </w:rPr>
      </w:pPr>
    </w:p>
    <w:p>
      <w:pPr>
        <w:ind w:left="440" w:hanging="436"/>
        <w:spacing w:after="0" w:line="293" w:lineRule="auto"/>
        <w:tabs>
          <w:tab w:leader="none" w:pos="4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For the purpose of determining those Shareholders that are entitled to receive notice of, attend or vote at any meeting of Shareholders or any adjournment thereof, or those Shareholders that are entitled to receive payment of any Distribution, or in order to make a determination as to who is a Shareholder for any other purpose, the Directors may provide that the Register of Members shall be closed for transfers for a stated period which shall not exceed in any case forty days. If the Register of Members shall be so closed for the purpose of determining those Shareholders that are entitled to receive notice of, attend or vote at a meeting of Shareholders the Register of Members shall be so closed for at least ten days immediately preceding such meeting and the record date for such determination shall be the date of the closure of the Register of Members.</w:t>
      </w:r>
    </w:p>
    <w:p>
      <w:pPr>
        <w:spacing w:after="0" w:line="70" w:lineRule="exact"/>
        <w:rPr>
          <w:rFonts w:ascii="Arial" w:cs="Arial" w:eastAsia="Arial" w:hAnsi="Arial"/>
          <w:sz w:val="16"/>
          <w:szCs w:val="16"/>
          <w:color w:val="auto"/>
        </w:rPr>
      </w:pPr>
    </w:p>
    <w:p>
      <w:pPr>
        <w:ind w:left="440" w:right="160" w:hanging="436"/>
        <w:spacing w:after="0" w:line="259" w:lineRule="auto"/>
        <w:tabs>
          <w:tab w:leader="none" w:pos="4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Distribution the Directors may, at or within ninety days prior to the date of declaration of such Distribution, fix a subsequent date as the record date for such determination.</w:t>
      </w:r>
    </w:p>
    <w:p>
      <w:pPr>
        <w:spacing w:after="0" w:line="92" w:lineRule="exact"/>
        <w:rPr>
          <w:rFonts w:ascii="Arial" w:cs="Arial" w:eastAsia="Arial" w:hAnsi="Arial"/>
          <w:sz w:val="18"/>
          <w:szCs w:val="18"/>
          <w:color w:val="auto"/>
        </w:rPr>
      </w:pPr>
    </w:p>
    <w:p>
      <w:pPr>
        <w:ind w:left="440" w:right="20" w:hanging="436"/>
        <w:spacing w:after="0" w:line="297" w:lineRule="auto"/>
        <w:tabs>
          <w:tab w:leader="none" w:pos="4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If the Register of Members is not so closed and no record date is fixed for the determination of those Shareholders entitled to receive notice of, attend or vote at a meeting of Shareholders or those Shareholders that are entitled to receive payment of a Distribution, the date on which notice of the meeting is posted or the date on which the resolution of the Directors declaring such Distribution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BY WAY OF CONTINUATION</w:t>
      </w:r>
    </w:p>
    <w:p>
      <w:pPr>
        <w:spacing w:after="0" w:line="256" w:lineRule="exact"/>
        <w:rPr>
          <w:sz w:val="20"/>
          <w:szCs w:val="20"/>
          <w:color w:val="auto"/>
        </w:rPr>
      </w:pPr>
    </w:p>
    <w:p>
      <w:pPr>
        <w:ind w:left="440" w:right="220" w:hanging="436"/>
        <w:spacing w:after="0" w:line="302" w:lineRule="auto"/>
        <w:tabs>
          <w:tab w:leader="none" w:pos="4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Company may by Resolution of Directors or by Resolution of Shareholders resolve to be registered by way of continuation in a jurisdiction outside the British Virgin Islands in the manner provided under those laws. In furtherance of a resolution adopted pursuant to this Article, the Directors may cause an application to be made to the Registrar of Corporate Affairs to deregister the Company in the British Virgin Islands and may cause all such further steps as they consider appropriate to be taken to effect the transfer by way of continuation of the Company.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271" w:name="page272"/>
    <w:bookmarkEnd w:id="271"/>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w:t>
      </w:r>
    </w:p>
    <w:p>
      <w:pPr>
        <w:spacing w:after="0" w:line="256" w:lineRule="exact"/>
        <w:rPr>
          <w:sz w:val="20"/>
          <w:szCs w:val="20"/>
          <w:color w:val="auto"/>
        </w:rPr>
      </w:pPr>
    </w:p>
    <w:p>
      <w:pPr>
        <w:ind w:left="436" w:hanging="436"/>
        <w:spacing w:after="0" w:line="264" w:lineRule="auto"/>
        <w:tabs>
          <w:tab w:leader="none" w:pos="4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Directors, or any service providers (including the Officers, the Secretary and the Registered Agent of the Company) specifically authorised by the Directors, shall be entitled to disclose to any regulatory or judicial authority any information regarding the affairs of the Company including without limitation information contained in the Register of Members and books of the Company.</w:t>
      </w:r>
    </w:p>
    <w:p>
      <w:pPr>
        <w:spacing w:after="0" w:line="86" w:lineRule="exact"/>
        <w:rPr>
          <w:rFonts w:ascii="Arial" w:cs="Arial" w:eastAsia="Arial" w:hAnsi="Arial"/>
          <w:sz w:val="18"/>
          <w:szCs w:val="18"/>
          <w:color w:val="auto"/>
        </w:rPr>
      </w:pPr>
    </w:p>
    <w:p>
      <w:pPr>
        <w:ind w:left="436" w:right="40" w:hanging="436"/>
        <w:spacing w:after="0" w:line="259" w:lineRule="auto"/>
        <w:tabs>
          <w:tab w:leader="none" w:pos="4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Company shall elect to be classified for U.S. Tax Purposes as a partnership for as long as it has one or more participation agreements in effect and as a disregarded entity in all other instances and shall treat amounts payable to each holder of a participation under any such participation agreement as subject to Subchapter K of the Code. The Company shall for U.S. Tax Purposes only take all actions consistent, and no actions inconsistent, with this Article 156.</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96"/>
          </w:cols>
          <w:pgMar w:left="444" w:top="270" w:right="459" w:bottom="1440" w:gutter="0" w:footer="0" w:header="0"/>
        </w:sectPr>
      </w:pPr>
    </w:p>
    <w:bookmarkStart w:id="272" w:name="page273"/>
    <w:bookmarkEnd w:id="27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Estera Corporate Services (BVI) Limited of Jayla Place, Wickhams Cay I, Road Town, Tortola, British Virgin Islands for the purpose of incorporating a BVI Business Company under the laws of the British Virgin Islands hereby sign our name to these Articles of Association this 7</w:t>
      </w:r>
      <w:r>
        <w:rPr>
          <w:rFonts w:ascii="Arial" w:cs="Arial" w:eastAsia="Arial" w:hAnsi="Arial"/>
          <w:sz w:val="15"/>
          <w:szCs w:val="15"/>
          <w:color w:val="auto"/>
        </w:rPr>
        <w:t>th</w:t>
      </w:r>
      <w:r>
        <w:rPr>
          <w:rFonts w:ascii="Arial" w:cs="Arial" w:eastAsia="Arial" w:hAnsi="Arial"/>
          <w:sz w:val="18"/>
          <w:szCs w:val="18"/>
          <w:color w:val="auto"/>
        </w:rPr>
        <w:t xml:space="preserve"> day of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Shanique Creque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7959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Shanique Creque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Estera Corporate Services (BVI)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6997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2.12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October 16, 2018</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i w:val="1"/>
          <w:iCs w:val="1"/>
          <w:color w:val="auto"/>
        </w:rPr>
        <w:t>MCE Cotai Investments Limited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i w:val="1"/>
          <w:iCs w:val="1"/>
          <w:color w:val="auto"/>
        </w:rPr>
        <w:t>New Cotai, LLC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i w:val="1"/>
          <w:iCs w:val="1"/>
          <w:color w:val="auto"/>
        </w:rPr>
        <w:t>Melco Resorts &amp; Entertainment Limited</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i w:val="1"/>
          <w:iCs w:val="1"/>
          <w:color w:val="auto"/>
        </w:rPr>
        <w:t>and</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i w:val="1"/>
          <w:i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560" w:type="dxa"/>
            <w:vAlign w:val="bottom"/>
          </w:tcPr>
          <w:p>
            <w:pPr>
              <w:jc w:val="right"/>
              <w:ind w:right="4890"/>
              <w:spacing w:after="0"/>
              <w:rPr>
                <w:sz w:val="20"/>
                <w:szCs w:val="20"/>
                <w:color w:val="auto"/>
              </w:rPr>
            </w:pPr>
            <w:r>
              <w:rPr>
                <w:rFonts w:ascii="Arial" w:cs="Arial" w:eastAsia="Arial" w:hAnsi="Arial"/>
                <w:sz w:val="18"/>
                <w:szCs w:val="18"/>
                <w:b w:val="1"/>
                <w:bCs w:val="1"/>
                <w:color w:val="auto"/>
              </w:rPr>
              <w:t>CONTENTS</w:t>
            </w:r>
          </w:p>
        </w:tc>
      </w:tr>
      <w:tr>
        <w:trPr>
          <w:trHeight w:val="459"/>
        </w:trPr>
        <w:tc>
          <w:tcPr>
            <w:tcW w:w="340" w:type="dxa"/>
            <w:vAlign w:val="bottom"/>
          </w:tcPr>
          <w:p>
            <w:pPr>
              <w:spacing w:after="0"/>
              <w:rPr>
                <w:sz w:val="20"/>
                <w:szCs w:val="20"/>
                <w:color w:val="auto"/>
              </w:rPr>
            </w:pPr>
            <w:r>
              <w:rPr>
                <w:rFonts w:ascii="Arial" w:cs="Arial" w:eastAsia="Arial" w:hAnsi="Arial"/>
                <w:sz w:val="18"/>
                <w:szCs w:val="18"/>
                <w:b w:val="1"/>
                <w:bCs w:val="1"/>
                <w:color w:val="auto"/>
              </w:rPr>
              <w:t>1.</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INTERPRETATION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DIRECTORS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SHARED VENDOR CONTRACTS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CASINO OPERATION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OTHER ADMINISTRATIVE MATTERS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PRE-EMPTIVE RIGHTS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CONFIDENTIALITY AND DISCLOSURE</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8.</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DISPUTE</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9.</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TERMINATION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NOTICES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NOTICES UNDER NEWCO MEMORANDUM AND ARTICLES OF ASSOCIATION, COMPANY MEMORANDUM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ARTICLES OF ASSOCIATION AND DEPOSIT AGREEMENT</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06"/>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12.</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DUTIES, COSTS AND EXPENSES</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13.</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GENERAL</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w:t>
      </w:r>
    </w:p>
    <w:p>
      <w:pPr>
        <w:spacing w:after="0" w:line="131" w:lineRule="exact"/>
        <w:rPr>
          <w:sz w:val="20"/>
          <w:szCs w:val="20"/>
          <w:color w:val="auto"/>
        </w:rPr>
      </w:pPr>
    </w:p>
    <w:p>
      <w:pPr>
        <w:ind w:left="440" w:right="20" w:hanging="436"/>
        <w:spacing w:after="0" w:line="282" w:lineRule="auto"/>
        <w:tabs>
          <w:tab w:leader="none" w:pos="440"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MCE Cotai Investments Limited</w:t>
      </w:r>
      <w:r>
        <w:rPr>
          <w:rFonts w:ascii="Arial" w:cs="Arial" w:eastAsia="Arial" w:hAnsi="Arial"/>
          <w:sz w:val="18"/>
          <w:szCs w:val="18"/>
          <w:color w:val="auto"/>
        </w:rPr>
        <w:t>, a company incorporated in the Cayman Islands, of Intertrust Corporate Services (Cayman) Limited, 190 Elgin</w:t>
      </w:r>
      <w:r>
        <w:rPr>
          <w:rFonts w:ascii="Arial" w:cs="Arial" w:eastAsia="Arial" w:hAnsi="Arial"/>
          <w:sz w:val="18"/>
          <w:szCs w:val="18"/>
          <w:b w:val="1"/>
          <w:bCs w:val="1"/>
          <w:color w:val="auto"/>
        </w:rPr>
        <w:t xml:space="preserve"> </w:t>
      </w:r>
      <w:r>
        <w:rPr>
          <w:rFonts w:ascii="Arial" w:cs="Arial" w:eastAsia="Arial" w:hAnsi="Arial"/>
          <w:sz w:val="18"/>
          <w:szCs w:val="18"/>
          <w:color w:val="auto"/>
        </w:rPr>
        <w:t>Avenue, George Town, Grand Cayman KY1 - 9005, Cayman Islands (</w:t>
      </w:r>
      <w:r>
        <w:rPr>
          <w:rFonts w:ascii="Arial" w:cs="Arial" w:eastAsia="Arial" w:hAnsi="Arial"/>
          <w:sz w:val="18"/>
          <w:szCs w:val="18"/>
          <w:b w:val="1"/>
          <w:bCs w:val="1"/>
          <w:color w:val="auto"/>
        </w:rPr>
        <w:t>MCE Cotai</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140" w:hanging="436"/>
        <w:spacing w:after="0" w:line="282" w:lineRule="auto"/>
        <w:tabs>
          <w:tab w:leader="none" w:pos="440"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New Cotai, LLC</w:t>
      </w:r>
      <w:r>
        <w:rPr>
          <w:rFonts w:ascii="Arial" w:cs="Arial" w:eastAsia="Arial" w:hAnsi="Arial"/>
          <w:sz w:val="18"/>
          <w:szCs w:val="18"/>
          <w:color w:val="auto"/>
        </w:rPr>
        <w:t>, a limited liability company formed in Delaware, United States of America, c/o New Cotai Holdings, LLC, of Two Greenwich</w:t>
      </w:r>
      <w:r>
        <w:rPr>
          <w:rFonts w:ascii="Arial" w:cs="Arial" w:eastAsia="Arial" w:hAnsi="Arial"/>
          <w:sz w:val="18"/>
          <w:szCs w:val="18"/>
          <w:b w:val="1"/>
          <w:bCs w:val="1"/>
          <w:color w:val="auto"/>
        </w:rPr>
        <w:t xml:space="preserve"> </w:t>
      </w:r>
      <w:r>
        <w:rPr>
          <w:rFonts w:ascii="Arial" w:cs="Arial" w:eastAsia="Arial" w:hAnsi="Arial"/>
          <w:sz w:val="18"/>
          <w:szCs w:val="18"/>
          <w:color w:val="auto"/>
        </w:rPr>
        <w:t>Plaza, Greenwich, Connecticut 06830, United States of America (</w:t>
      </w:r>
      <w:r>
        <w:rPr>
          <w:rFonts w:ascii="Arial" w:cs="Arial" w:eastAsia="Arial" w:hAnsi="Arial"/>
          <w:sz w:val="18"/>
          <w:szCs w:val="18"/>
          <w:b w:val="1"/>
          <w:bCs w:val="1"/>
          <w:color w:val="auto"/>
        </w:rPr>
        <w:t>New Cotai</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160" w:hanging="436"/>
        <w:spacing w:after="0" w:line="282" w:lineRule="auto"/>
        <w:tabs>
          <w:tab w:leader="none" w:pos="440"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Melco Resorts &amp; Entertainment Limited</w:t>
      </w:r>
      <w:r>
        <w:rPr>
          <w:rFonts w:ascii="Arial" w:cs="Arial" w:eastAsia="Arial" w:hAnsi="Arial"/>
          <w:sz w:val="18"/>
          <w:szCs w:val="18"/>
          <w:color w:val="auto"/>
        </w:rPr>
        <w:t>, a company incorporated in the Cayman Islands, of Intertrust Corporate Services (Cayman)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190 Elgin Avenue, George Town, Grand Cayman KY1 - 9005, Cayman Islands (</w:t>
      </w:r>
      <w:r>
        <w:rPr>
          <w:rFonts w:ascii="Arial" w:cs="Arial" w:eastAsia="Arial" w:hAnsi="Arial"/>
          <w:sz w:val="18"/>
          <w:szCs w:val="18"/>
          <w:b w:val="1"/>
          <w:bCs w:val="1"/>
          <w:color w:val="auto"/>
        </w:rPr>
        <w:t>Melco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480" w:hanging="436"/>
        <w:spacing w:after="0" w:line="347" w:lineRule="auto"/>
        <w:tabs>
          <w:tab w:leader="none" w:pos="440" w:val="left"/>
        </w:tabs>
        <w:numPr>
          <w:ilvl w:val="0"/>
          <w:numId w:val="326"/>
        </w:numPr>
        <w:rPr>
          <w:rFonts w:ascii="Arial" w:cs="Arial" w:eastAsia="Arial" w:hAnsi="Arial"/>
          <w:sz w:val="16"/>
          <w:szCs w:val="16"/>
          <w:color w:val="auto"/>
        </w:rPr>
      </w:pPr>
      <w:r>
        <w:rPr>
          <w:rFonts w:ascii="Arial" w:cs="Arial" w:eastAsia="Arial" w:hAnsi="Arial"/>
          <w:sz w:val="16"/>
          <w:szCs w:val="16"/>
          <w:b w:val="1"/>
          <w:bCs w:val="1"/>
          <w:color w:val="auto"/>
        </w:rPr>
        <w:t>Studio City International Holdings Limited</w:t>
      </w:r>
      <w:r>
        <w:rPr>
          <w:rFonts w:ascii="Arial" w:cs="Arial" w:eastAsia="Arial" w:hAnsi="Arial"/>
          <w:sz w:val="16"/>
          <w:szCs w:val="16"/>
          <w:color w:val="auto"/>
        </w:rPr>
        <w:t>, a company incorporated in the Cayman Islands, with its registered office at Vistra (Cayman)</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P.O. Box 31119 Grand Pavilion, Hibiscus Way, 802 West Bay Road, Grand Cayman, KY1-1205, Cayman Islands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40" w:hanging="436"/>
        <w:spacing w:after="0" w:line="288" w:lineRule="auto"/>
        <w:tabs>
          <w:tab w:leader="none" w:pos="4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On 27 July 2011, MCE Cotai, New Cotai, Melco (formerly known as Melco Crown Entertainment Limited) and the Company (formerly known as CYBER AGENTS ONE LIMITED, a company incorporated in the British Virgin Islands), entered into an agreement to govern their relationship in connection with, and the conduct and operations of, the Group (as amended by Amendment No.1 to Shareholders’ Agreement, dated</w:t>
      </w:r>
    </w:p>
    <w:p>
      <w:pPr>
        <w:ind w:left="440" w:right="28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25 September 2012, Amendment No.2 to Shareholders’ Agreement, dated 17 May 2013, Amendment No.3 to Shareholders’ Agreement, dated 3 June 2014, and Amendment No.4 to Shareholders’ Agreement, dated 21 July 2014, the </w:t>
      </w:r>
      <w:r>
        <w:rPr>
          <w:rFonts w:ascii="Arial" w:cs="Arial" w:eastAsia="Arial" w:hAnsi="Arial"/>
          <w:sz w:val="17"/>
          <w:szCs w:val="17"/>
          <w:b w:val="1"/>
          <w:bCs w:val="1"/>
          <w:color w:val="auto"/>
        </w:rPr>
        <w:t>Original Shareholders Agreement</w:t>
      </w:r>
      <w:r>
        <w:rPr>
          <w:rFonts w:ascii="Arial" w:cs="Arial" w:eastAsia="Arial" w:hAnsi="Arial"/>
          <w:sz w:val="17"/>
          <w:szCs w:val="17"/>
          <w:color w:val="auto"/>
        </w:rPr>
        <w:t>).</w:t>
      </w:r>
    </w:p>
    <w:p>
      <w:pPr>
        <w:spacing w:after="0" w:line="67" w:lineRule="exact"/>
        <w:rPr>
          <w:rFonts w:ascii="Arial" w:cs="Arial" w:eastAsia="Arial" w:hAnsi="Arial"/>
          <w:sz w:val="16"/>
          <w:szCs w:val="16"/>
          <w:color w:val="auto"/>
        </w:rPr>
      </w:pPr>
    </w:p>
    <w:p>
      <w:pPr>
        <w:jc w:val="both"/>
        <w:ind w:left="440" w:right="80" w:hanging="436"/>
        <w:spacing w:after="0" w:line="312" w:lineRule="auto"/>
        <w:tabs>
          <w:tab w:leader="none" w:pos="4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 connection with the transactions contemplated by the Implementation Agreement dated September 6, 2018 between the Company, New Cotai, MCE Cotai and Melco, MCE Cotai, New Cotai, Melco and the Company have agreed to amend and restate the Original Shareholders Agreement and enter into this document, executed as a deed, to govern their relationship in connection with, and the conduct and operations of, the Group.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17" w:lineRule="exact"/>
        <w:rPr>
          <w:sz w:val="20"/>
          <w:szCs w:val="20"/>
          <w:color w:val="auto"/>
        </w:rPr>
      </w:pPr>
    </w:p>
    <w:p>
      <w:pPr>
        <w:ind w:left="180" w:hanging="176"/>
        <w:spacing w:after="0"/>
        <w:tabs>
          <w:tab w:leader="none" w:pos="18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document:</w:t>
      </w:r>
    </w:p>
    <w:p>
      <w:pPr>
        <w:spacing w:after="0" w:line="113" w:lineRule="exact"/>
        <w:rPr>
          <w:sz w:val="20"/>
          <w:szCs w:val="20"/>
          <w:color w:val="auto"/>
        </w:rPr>
      </w:pPr>
    </w:p>
    <w:p>
      <w:pPr>
        <w:ind w:left="440" w:right="60"/>
        <w:spacing w:after="0" w:line="256" w:lineRule="auto"/>
        <w:rPr>
          <w:sz w:val="20"/>
          <w:szCs w:val="20"/>
          <w:color w:val="auto"/>
        </w:rPr>
      </w:pPr>
      <w:r>
        <w:rPr>
          <w:rFonts w:ascii="Arial" w:cs="Arial" w:eastAsia="Arial" w:hAnsi="Arial"/>
          <w:sz w:val="18"/>
          <w:szCs w:val="18"/>
          <w:b w:val="1"/>
          <w:bCs w:val="1"/>
          <w:color w:val="auto"/>
        </w:rPr>
        <w:t xml:space="preserve">20-Day VWAP </w:t>
      </w:r>
      <w:r>
        <w:rPr>
          <w:rFonts w:ascii="Arial" w:cs="Arial" w:eastAsia="Arial" w:hAnsi="Arial"/>
          <w:sz w:val="18"/>
          <w:szCs w:val="18"/>
          <w:color w:val="auto"/>
        </w:rPr>
        <w:t>means the volume-weighted average trading price of an ADS for the twenty (20)-trading day period immediately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upon which the 20-Day VWAP is being calculated based on quotations as reported in the principal consolidated transaction reporting system with respect to securities listed or admitted to trading on the New York Stock Exchange or, if such ADSs are not listed or admitted to trading on the New York Stock Exchange, as reported on the principal consolidated transaction reporting system with respect to securities listed on the principal national securities exchange on which such ADSs are listed or admitted to trading, in each case, divided by the number of Class A Ordinary Shares that one ADS represents.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276" w:name="page277"/>
    <w:bookmarkEnd w:id="27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ADS </w:t>
      </w:r>
      <w:r>
        <w:rPr>
          <w:rFonts w:ascii="Arial" w:cs="Arial" w:eastAsia="Arial" w:hAnsi="Arial"/>
          <w:sz w:val="18"/>
          <w:szCs w:val="18"/>
          <w:color w:val="auto"/>
        </w:rPr>
        <w:t>means an American Depositary Share, each representing four Class A Ordinary Shares;</w:t>
      </w:r>
    </w:p>
    <w:p>
      <w:pPr>
        <w:spacing w:after="0" w:line="117"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 Person who, directly or indirectly, through one or more intermediaries, controls, is controlled by or is under common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with, a specified Person. For the purpose of the definition of Affiliate, “control”, “controlled by” and “under common control with” means the possession, direct or indirect, of the power to direct or cause the direction of the management and policies of a Person, whether through ownership of voting shares, by agreement, contract, or otherwise.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consent, permit, license, or authorisation;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exemption,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by, or with, a Governmental Agency.</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from time to time.</w:t>
      </w:r>
    </w:p>
    <w:p>
      <w:pPr>
        <w:spacing w:after="0" w:line="117" w:lineRule="exact"/>
        <w:rPr>
          <w:sz w:val="20"/>
          <w:szCs w:val="20"/>
          <w:color w:val="auto"/>
        </w:rPr>
      </w:pPr>
    </w:p>
    <w:p>
      <w:pPr>
        <w:jc w:val="both"/>
        <w:ind w:left="4" w:right="60"/>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which is not a Saturday, Sunday or bank or public holiday in the Cayman Islands, Hong Kong or New York, nor a day</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a tropical cyclone warning No. 8 or above or a “black rainstorm warning signal” is hoisted or remains hoisted in Hong Kong at any time between 9.00am and 5.00pm.</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Cash Purchase Price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6.5</w:t>
      </w:r>
      <w:r>
        <w:rPr>
          <w:rFonts w:ascii="Arial" w:cs="Arial" w:eastAsia="Arial" w:hAnsi="Arial"/>
          <w:sz w:val="18"/>
          <w:szCs w:val="18"/>
          <w:color w:val="auto"/>
        </w:rPr>
        <w:t>.</w:t>
      </w:r>
    </w:p>
    <w:p>
      <w:pPr>
        <w:spacing w:after="0" w:line="117" w:lineRule="exact"/>
        <w:rPr>
          <w:sz w:val="20"/>
          <w:szCs w:val="20"/>
          <w:color w:val="auto"/>
        </w:rPr>
      </w:pPr>
    </w:p>
    <w:p>
      <w:pPr>
        <w:jc w:val="both"/>
        <w:ind w:left="4" w:right="280"/>
        <w:spacing w:after="0" w:line="266" w:lineRule="auto"/>
        <w:rPr>
          <w:sz w:val="20"/>
          <w:szCs w:val="20"/>
          <w:color w:val="auto"/>
        </w:rPr>
      </w:pPr>
      <w:r>
        <w:rPr>
          <w:rFonts w:ascii="Arial" w:cs="Arial" w:eastAsia="Arial" w:hAnsi="Arial"/>
          <w:sz w:val="18"/>
          <w:szCs w:val="18"/>
          <w:b w:val="1"/>
          <w:bCs w:val="1"/>
          <w:color w:val="auto"/>
        </w:rPr>
        <w:t xml:space="preserve">Casino Management Agreement </w:t>
      </w:r>
      <w:r>
        <w:rPr>
          <w:rFonts w:ascii="Arial" w:cs="Arial" w:eastAsia="Arial" w:hAnsi="Arial"/>
          <w:sz w:val="18"/>
          <w:szCs w:val="18"/>
          <w:color w:val="auto"/>
        </w:rPr>
        <w:t>means the services and right to use agreement between Melco Crown Gaming (Macau) Limited, New Cotai</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LLC and New Cotai Entertainment (Macau) Limited dated 11 May 2007, as amended from time to time, and any agreements or arrangements related thereto.</w:t>
      </w:r>
    </w:p>
    <w:p>
      <w:pPr>
        <w:spacing w:after="0" w:line="68" w:lineRule="exact"/>
        <w:rPr>
          <w:sz w:val="20"/>
          <w:szCs w:val="20"/>
          <w:color w:val="auto"/>
        </w:rPr>
      </w:pPr>
    </w:p>
    <w:p>
      <w:pPr>
        <w:ind w:left="4" w:right="2420"/>
        <w:spacing w:after="0" w:line="380" w:lineRule="auto"/>
        <w:rPr>
          <w:sz w:val="20"/>
          <w:szCs w:val="20"/>
          <w:color w:val="auto"/>
        </w:rPr>
      </w:pPr>
      <w:r>
        <w:rPr>
          <w:rFonts w:ascii="Arial" w:cs="Arial" w:eastAsia="Arial" w:hAnsi="Arial"/>
          <w:sz w:val="18"/>
          <w:szCs w:val="18"/>
          <w:b w:val="1"/>
          <w:bCs w:val="1"/>
          <w:color w:val="auto"/>
        </w:rPr>
        <w:t xml:space="preserve">Class A Ordinary Shares </w:t>
      </w:r>
      <w:r>
        <w:rPr>
          <w:rFonts w:ascii="Arial" w:cs="Arial" w:eastAsia="Arial" w:hAnsi="Arial"/>
          <w:sz w:val="18"/>
          <w:szCs w:val="18"/>
          <w:color w:val="auto"/>
        </w:rPr>
        <w:t>means the Class A ordinary shares, par value US$0.0001 per share, of the Company.</w:t>
      </w:r>
      <w:r>
        <w:rPr>
          <w:rFonts w:ascii="Arial" w:cs="Arial" w:eastAsia="Arial" w:hAnsi="Arial"/>
          <w:sz w:val="18"/>
          <w:szCs w:val="18"/>
          <w:b w:val="1"/>
          <w:bCs w:val="1"/>
          <w:color w:val="auto"/>
        </w:rPr>
        <w:t xml:space="preserve"> Class B Ordinary Shares </w:t>
      </w:r>
      <w:r>
        <w:rPr>
          <w:rFonts w:ascii="Arial" w:cs="Arial" w:eastAsia="Arial" w:hAnsi="Arial"/>
          <w:sz w:val="18"/>
          <w:szCs w:val="18"/>
          <w:color w:val="auto"/>
        </w:rPr>
        <w:t>means the Class B ordinary shares, par value US$0.0001 per share, of the Company.</w:t>
      </w:r>
      <w:r>
        <w:rPr>
          <w:rFonts w:ascii="Arial" w:cs="Arial" w:eastAsia="Arial" w:hAnsi="Arial"/>
          <w:sz w:val="18"/>
          <w:szCs w:val="18"/>
          <w:b w:val="1"/>
          <w:bCs w:val="1"/>
          <w:color w:val="auto"/>
        </w:rPr>
        <w:t xml:space="preserve"> Company Subsidiary </w:t>
      </w:r>
      <w:r>
        <w:rPr>
          <w:rFonts w:ascii="Arial" w:cs="Arial" w:eastAsia="Arial" w:hAnsi="Arial"/>
          <w:sz w:val="18"/>
          <w:szCs w:val="18"/>
          <w:color w:val="auto"/>
        </w:rPr>
        <w:t>means any company which is or becomes a Subsidiary of the Company from time to time.</w:t>
      </w:r>
      <w:r>
        <w:rPr>
          <w:rFonts w:ascii="Arial" w:cs="Arial" w:eastAsia="Arial" w:hAnsi="Arial"/>
          <w:sz w:val="18"/>
          <w:szCs w:val="18"/>
          <w:b w:val="1"/>
          <w:bCs w:val="1"/>
          <w:color w:val="auto"/>
        </w:rPr>
        <w:t xml:space="preserve"> Competitor </w:t>
      </w:r>
      <w:r>
        <w:rPr>
          <w:rFonts w:ascii="Arial" w:cs="Arial" w:eastAsia="Arial" w:hAnsi="Arial"/>
          <w:sz w:val="18"/>
          <w:szCs w:val="18"/>
          <w:color w:val="auto"/>
        </w:rPr>
        <w:t>means (other than Melco and its Affiliates):</w:t>
      </w:r>
    </w:p>
    <w:p>
      <w:pPr>
        <w:spacing w:after="0" w:line="3" w:lineRule="exact"/>
        <w:rPr>
          <w:sz w:val="20"/>
          <w:szCs w:val="20"/>
          <w:color w:val="auto"/>
        </w:rPr>
      </w:pPr>
    </w:p>
    <w:p>
      <w:pPr>
        <w:ind w:left="424" w:hanging="424"/>
        <w:spacing w:after="0"/>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person or entity holding a Gaming Authorisation to operate games of fortune and chance in a casino in Macau;</w:t>
      </w:r>
    </w:p>
    <w:p>
      <w:pPr>
        <w:spacing w:after="0" w:line="126"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any person or entity holding a direct or indirect interest in any person specified in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this definition and having the right to appoint a director on the board of any such entity; or</w:t>
      </w:r>
    </w:p>
    <w:p>
      <w:pPr>
        <w:spacing w:after="0" w:line="67" w:lineRule="exact"/>
        <w:rPr>
          <w:rFonts w:ascii="Arial" w:cs="Arial" w:eastAsia="Arial" w:hAnsi="Arial"/>
          <w:sz w:val="18"/>
          <w:szCs w:val="18"/>
          <w:color w:val="auto"/>
        </w:rPr>
      </w:pPr>
    </w:p>
    <w:p>
      <w:pPr>
        <w:ind w:left="424" w:hanging="424"/>
        <w:spacing w:after="0"/>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any subsidiary of any person specified in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this definition.</w:t>
      </w:r>
    </w:p>
    <w:p>
      <w:pPr>
        <w:spacing w:after="0" w:line="16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0" w:right="439" w:bottom="1440" w:gutter="0" w:footer="0" w:header="0"/>
        </w:sectPr>
      </w:pPr>
    </w:p>
    <w:bookmarkStart w:id="277" w:name="page278"/>
    <w:bookmarkEnd w:id="27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Information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confidential, non-public or proprietary information relating to the business, assets or affairs of the Group; and</w:t>
      </w:r>
    </w:p>
    <w:p>
      <w:pPr>
        <w:spacing w:after="0" w:line="130" w:lineRule="exact"/>
        <w:rPr>
          <w:rFonts w:ascii="Arial" w:cs="Arial" w:eastAsia="Arial" w:hAnsi="Arial"/>
          <w:sz w:val="18"/>
          <w:szCs w:val="18"/>
          <w:color w:val="auto"/>
        </w:rPr>
      </w:pPr>
    </w:p>
    <w:p>
      <w:pPr>
        <w:ind w:left="424" w:right="580" w:hanging="424"/>
        <w:spacing w:after="0" w:line="277" w:lineRule="auto"/>
        <w:tabs>
          <w:tab w:leader="none" w:pos="42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any information relating to this document and the transactions contemplated by it including the existence of this document and the transactions contemplated by it and of the negotiations which preceded it;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provided, however, that Confidential Information shall not include information that:</w:t>
      </w:r>
    </w:p>
    <w:p>
      <w:pPr>
        <w:spacing w:after="0" w:line="131" w:lineRule="exact"/>
        <w:rPr>
          <w:sz w:val="20"/>
          <w:szCs w:val="20"/>
          <w:color w:val="auto"/>
        </w:rPr>
      </w:pPr>
    </w:p>
    <w:p>
      <w:pPr>
        <w:ind w:left="424" w:hanging="424"/>
        <w:spacing w:after="0"/>
        <w:tabs>
          <w:tab w:leader="none" w:pos="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is or becomes generally available to the public other than as a result of disclosure in violation of this document;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is or becomes available to the receiving person on a non-confidential basis prior to its disclosure to such person;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is or has been independently developed or conceived by the receiving person without use of Confidential Information; or</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becomes available to the receiving person on a non-confidential basis from a source other than the Company; provided, that such source is not known by such person to be bound by a confidentiality agreement with the Company.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Confidentiality Deed </w:t>
      </w:r>
      <w:r>
        <w:rPr>
          <w:rFonts w:ascii="Arial" w:cs="Arial" w:eastAsia="Arial" w:hAnsi="Arial"/>
          <w:sz w:val="18"/>
          <w:szCs w:val="18"/>
          <w:color w:val="auto"/>
        </w:rPr>
        <w:t>means the confidentiality deed attached to this document as</w:t>
      </w:r>
      <w:r>
        <w:rPr>
          <w:rFonts w:ascii="Arial" w:cs="Arial" w:eastAsia="Arial" w:hAnsi="Arial"/>
          <w:sz w:val="18"/>
          <w:szCs w:val="18"/>
          <w:b w:val="1"/>
          <w:bCs w:val="1"/>
          <w:color w:val="auto"/>
        </w:rPr>
        <w:t xml:space="preserve"> Annexure A</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Contracts </w:t>
      </w:r>
      <w:r>
        <w:rPr>
          <w:rFonts w:ascii="Arial" w:cs="Arial" w:eastAsia="Arial" w:hAnsi="Arial"/>
          <w:sz w:val="18"/>
          <w:szCs w:val="18"/>
          <w:color w:val="auto"/>
        </w:rPr>
        <w:t>means agreements, contracts, arrangements or understandings, whether formal or informal, written or oral.</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means, in relation to a person, the possession, directly or indirectly, of the power to direct or cause the direction of the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of the person, whether through the ownership of voting securities, by contract, or otherwise.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D&amp;O Policy </w:t>
      </w:r>
      <w:r>
        <w:rPr>
          <w:rFonts w:ascii="Arial" w:cs="Arial" w:eastAsia="Arial" w:hAnsi="Arial"/>
          <w:sz w:val="18"/>
          <w:szCs w:val="18"/>
          <w:color w:val="auto"/>
        </w:rPr>
        <w:t>means a directors and officers insurance policy taken out by the Company from time to time with a reputable insurer.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Deed of Accession </w:t>
      </w:r>
      <w:r>
        <w:rPr>
          <w:rFonts w:ascii="Arial" w:cs="Arial" w:eastAsia="Arial" w:hAnsi="Arial"/>
          <w:sz w:val="18"/>
          <w:szCs w:val="18"/>
          <w:color w:val="auto"/>
        </w:rPr>
        <w:t>means a deed of accession substantially in the form contained in</w:t>
      </w:r>
      <w:r>
        <w:rPr>
          <w:rFonts w:ascii="Arial" w:cs="Arial" w:eastAsia="Arial" w:hAnsi="Arial"/>
          <w:sz w:val="18"/>
          <w:szCs w:val="18"/>
          <w:b w:val="1"/>
          <w:bCs w:val="1"/>
          <w:color w:val="auto"/>
        </w:rPr>
        <w:t xml:space="preserve"> Annexure B</w:t>
      </w:r>
      <w:r>
        <w:rPr>
          <w:rFonts w:ascii="Arial" w:cs="Arial" w:eastAsia="Arial" w:hAnsi="Arial"/>
          <w:sz w:val="18"/>
          <w:szCs w:val="18"/>
          <w:color w:val="auto"/>
        </w:rPr>
        <w:t>.</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Deposit Agreement </w:t>
      </w:r>
      <w:r>
        <w:rPr>
          <w:rFonts w:ascii="Arial" w:cs="Arial" w:eastAsia="Arial" w:hAnsi="Arial"/>
          <w:sz w:val="18"/>
          <w:szCs w:val="18"/>
          <w:color w:val="auto"/>
        </w:rPr>
        <w:t>means the Deposit Agreement by and among the Company, Deutsche Bank Trust Company Americas and the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to be entered into in connection with an underwritten public offering of the Company’s Equity Securities.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member of the Board of the Company from time to time.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Disclosing Shareholder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7.7(a)</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Dispute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8.1(a)</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Dispute Notice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8.1(b)</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Disputing Parties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8.1(c)</w:t>
      </w:r>
      <w:r>
        <w:rPr>
          <w:rFonts w:ascii="Arial" w:cs="Arial" w:eastAsia="Arial" w:hAnsi="Arial"/>
          <w:sz w:val="18"/>
          <w:szCs w:val="18"/>
          <w:color w:val="auto"/>
        </w:rPr>
        <w:t>.</w:t>
      </w:r>
    </w:p>
    <w:p>
      <w:pPr>
        <w:spacing w:after="0" w:line="162" w:lineRule="exact"/>
        <w:rPr>
          <w:sz w:val="20"/>
          <w:szCs w:val="20"/>
          <w:color w:val="auto"/>
        </w:rPr>
      </w:pPr>
    </w:p>
    <w:p>
      <w:pPr>
        <w:jc w:val="center"/>
        <w:ind w:right="23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4"/>
          </w:cols>
          <w:pgMar w:left="876" w:top="270" w:right="619" w:bottom="1440" w:gutter="0" w:footer="0" w:header="0"/>
        </w:sectPr>
      </w:pPr>
    </w:p>
    <w:bookmarkStart w:id="278" w:name="page279"/>
    <w:bookmarkEnd w:id="278"/>
    <w:p>
      <w:pPr>
        <w:ind w:left="4" w:right="2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Duty </w:t>
      </w:r>
      <w:r>
        <w:rPr>
          <w:rFonts w:ascii="Arial" w:cs="Arial" w:eastAsia="Arial" w:hAnsi="Arial"/>
          <w:sz w:val="18"/>
          <w:szCs w:val="18"/>
          <w:color w:val="auto"/>
        </w:rPr>
        <w:t>means any stamp, transaction or registration duty or similar charge imposed by any Governmental Agency and includes any interest, fine,</w:t>
      </w:r>
      <w:r>
        <w:rPr>
          <w:rFonts w:ascii="Arial" w:cs="Arial" w:eastAsia="Arial" w:hAnsi="Arial"/>
          <w:sz w:val="18"/>
          <w:szCs w:val="18"/>
          <w:b w:val="1"/>
          <w:bCs w:val="1"/>
          <w:color w:val="auto"/>
        </w:rPr>
        <w:t xml:space="preserve"> </w:t>
      </w:r>
      <w:r>
        <w:rPr>
          <w:rFonts w:ascii="Arial" w:cs="Arial" w:eastAsia="Arial" w:hAnsi="Arial"/>
          <w:sz w:val="18"/>
          <w:szCs w:val="18"/>
          <w:color w:val="auto"/>
        </w:rPr>
        <w:t>penalty, charge or other amount in respect of the above.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Effective Interest in Securities </w:t>
      </w:r>
      <w:r>
        <w:rPr>
          <w:rFonts w:ascii="Arial" w:cs="Arial" w:eastAsia="Arial" w:hAnsi="Arial"/>
          <w:sz w:val="18"/>
          <w:szCs w:val="18"/>
          <w:color w:val="auto"/>
        </w:rPr>
        <w:t>means the interest of a person or entity (the</w:t>
      </w:r>
      <w:r>
        <w:rPr>
          <w:rFonts w:ascii="Arial" w:cs="Arial" w:eastAsia="Arial" w:hAnsi="Arial"/>
          <w:sz w:val="18"/>
          <w:szCs w:val="18"/>
          <w:b w:val="1"/>
          <w:bCs w:val="1"/>
          <w:color w:val="auto"/>
        </w:rPr>
        <w:t xml:space="preserve"> Person</w:t>
      </w:r>
      <w:r>
        <w:rPr>
          <w:rFonts w:ascii="Arial" w:cs="Arial" w:eastAsia="Arial" w:hAnsi="Arial"/>
          <w:sz w:val="18"/>
          <w:szCs w:val="18"/>
          <w:color w:val="auto"/>
        </w:rPr>
        <w:t>) in Securities calculated as the sum of:</w:t>
      </w:r>
    </w:p>
    <w:p>
      <w:pPr>
        <w:spacing w:after="0" w:line="135" w:lineRule="exact"/>
        <w:rPr>
          <w:sz w:val="20"/>
          <w:szCs w:val="20"/>
          <w:color w:val="auto"/>
        </w:rPr>
      </w:pPr>
    </w:p>
    <w:p>
      <w:pPr>
        <w:ind w:left="424" w:hanging="424"/>
        <w:spacing w:after="0"/>
        <w:tabs>
          <w:tab w:leader="none" w:pos="4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number of Securities in issue for which the Person is the registered holder; plus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26" w:lineRule="exact"/>
        <w:rPr>
          <w:rFonts w:ascii="Arial" w:cs="Arial" w:eastAsia="Arial" w:hAnsi="Arial"/>
          <w:sz w:val="18"/>
          <w:szCs w:val="18"/>
          <w:color w:val="auto"/>
        </w:rPr>
      </w:pPr>
    </w:p>
    <w:p>
      <w:pPr>
        <w:ind w:left="984" w:right="40" w:hanging="538"/>
        <w:spacing w:after="0" w:line="298" w:lineRule="auto"/>
        <w:tabs>
          <w:tab w:leader="none" w:pos="984"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the fraction that is determined by multiplying the economic interest in the equity of an entity (the </w:t>
      </w:r>
      <w:r>
        <w:rPr>
          <w:rFonts w:ascii="Arial" w:cs="Arial" w:eastAsia="Arial" w:hAnsi="Arial"/>
          <w:sz w:val="16"/>
          <w:szCs w:val="16"/>
          <w:b w:val="1"/>
          <w:bCs w:val="1"/>
          <w:color w:val="auto"/>
        </w:rPr>
        <w:t>First Entity</w:t>
      </w:r>
      <w:r>
        <w:rPr>
          <w:rFonts w:ascii="Arial" w:cs="Arial" w:eastAsia="Arial" w:hAnsi="Arial"/>
          <w:sz w:val="16"/>
          <w:szCs w:val="16"/>
          <w:color w:val="auto"/>
        </w:rPr>
        <w:t>) held by the Person (expressed as a fraction of all the economic interests in the equity of the First Entity) by the economic interest in the equity of each other entity within the chain of entities between the First Entity and the Registered Holder (in each case expressed as a fraction of all the economic interests in the equity of each such entity) and, where the Person has an interest in Securities through more than one First Entity, the interest that is obtained by aggregating such Person’s fractional interest in all such First Entities, and</w:t>
      </w:r>
    </w:p>
    <w:p>
      <w:pPr>
        <w:spacing w:after="0" w:line="63" w:lineRule="exact"/>
        <w:rPr>
          <w:rFonts w:ascii="Arial" w:cs="Arial" w:eastAsia="Arial" w:hAnsi="Arial"/>
          <w:sz w:val="16"/>
          <w:szCs w:val="16"/>
          <w:color w:val="auto"/>
        </w:rPr>
      </w:pPr>
    </w:p>
    <w:p>
      <w:pPr>
        <w:ind w:left="984" w:right="240" w:hanging="538"/>
        <w:spacing w:after="0" w:line="277" w:lineRule="auto"/>
        <w:tabs>
          <w:tab w:leader="none" w:pos="98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the number of Securities in issue that are held by registered holders of Securities in which the Person holds an interest through the chain or chains of entities in </w:t>
      </w:r>
      <w:r>
        <w:rPr>
          <w:rFonts w:ascii="Arial" w:cs="Arial" w:eastAsia="Arial" w:hAnsi="Arial"/>
          <w:sz w:val="18"/>
          <w:szCs w:val="18"/>
          <w:b w:val="1"/>
          <w:bCs w:val="1"/>
          <w:color w:val="auto"/>
        </w:rPr>
        <w:t>clause (b)(i)</w:t>
      </w:r>
      <w:r>
        <w:rPr>
          <w:rFonts w:ascii="Arial" w:cs="Arial" w:eastAsia="Arial" w:hAnsi="Arial"/>
          <w:sz w:val="18"/>
          <w:szCs w:val="18"/>
          <w:color w:val="auto"/>
        </w:rPr>
        <w:t xml:space="preserve"> (</w:t>
      </w:r>
      <w:r>
        <w:rPr>
          <w:rFonts w:ascii="Arial" w:cs="Arial" w:eastAsia="Arial" w:hAnsi="Arial"/>
          <w:sz w:val="18"/>
          <w:szCs w:val="18"/>
          <w:b w:val="1"/>
          <w:bCs w:val="1"/>
          <w:color w:val="auto"/>
        </w:rPr>
        <w:t>Registered Holder</w:t>
      </w:r>
      <w:r>
        <w:rPr>
          <w:rFonts w:ascii="Arial" w:cs="Arial" w:eastAsia="Arial" w:hAnsi="Arial"/>
          <w:sz w:val="18"/>
          <w:szCs w:val="18"/>
          <w:color w:val="auto"/>
        </w:rPr>
        <w:t>); and</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expressed as a percentage of all the Securities in issue.</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For the purposes of this definition, “economic interest in the equity of an entity” excludes any derivative or synthetic security that represents an interest in the underlying equity securities of such entity.</w:t>
      </w:r>
    </w:p>
    <w:p>
      <w:pPr>
        <w:spacing w:after="0" w:line="58"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b w:val="1"/>
          <w:bCs w:val="1"/>
          <w:color w:val="auto"/>
        </w:rPr>
        <w:t xml:space="preserve">Entitled Minority Shareholder </w:t>
      </w:r>
      <w:r>
        <w:rPr>
          <w:rFonts w:ascii="Arial" w:cs="Arial" w:eastAsia="Arial" w:hAnsi="Arial"/>
          <w:sz w:val="18"/>
          <w:szCs w:val="18"/>
          <w:color w:val="auto"/>
        </w:rPr>
        <w:t>means any Minority Shareholder that is holding Class A Ordinary Shares at the relevant time of the offer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Equity Securities under </w:t>
      </w:r>
      <w:r>
        <w:rPr>
          <w:rFonts w:ascii="Arial" w:cs="Arial" w:eastAsia="Arial" w:hAnsi="Arial"/>
          <w:sz w:val="18"/>
          <w:szCs w:val="18"/>
          <w:b w:val="1"/>
          <w:bCs w:val="1"/>
          <w:color w:val="auto"/>
        </w:rPr>
        <w:t>clause 6.1</w:t>
      </w:r>
      <w:r>
        <w:rPr>
          <w:rFonts w:ascii="Arial" w:cs="Arial" w:eastAsia="Arial" w:hAnsi="Arial"/>
          <w:sz w:val="18"/>
          <w:szCs w:val="18"/>
          <w:color w:val="auto"/>
        </w:rPr>
        <w:t>.</w:t>
      </w:r>
    </w:p>
    <w:p>
      <w:pPr>
        <w:spacing w:after="0" w:line="54" w:lineRule="exact"/>
        <w:rPr>
          <w:sz w:val="20"/>
          <w:szCs w:val="20"/>
          <w:color w:val="auto"/>
        </w:rPr>
      </w:pPr>
    </w:p>
    <w:p>
      <w:pPr>
        <w:ind w:left="4" w:right="260"/>
        <w:spacing w:after="0" w:line="281" w:lineRule="auto"/>
        <w:rPr>
          <w:sz w:val="20"/>
          <w:szCs w:val="20"/>
          <w:color w:val="auto"/>
        </w:rPr>
      </w:pPr>
      <w:r>
        <w:rPr>
          <w:rFonts w:ascii="Arial" w:cs="Arial" w:eastAsia="Arial" w:hAnsi="Arial"/>
          <w:sz w:val="17"/>
          <w:szCs w:val="17"/>
          <w:b w:val="1"/>
          <w:bCs w:val="1"/>
          <w:color w:val="auto"/>
        </w:rPr>
        <w:t xml:space="preserve">Equity Plan </w:t>
      </w:r>
      <w:r>
        <w:rPr>
          <w:rFonts w:ascii="Arial" w:cs="Arial" w:eastAsia="Arial" w:hAnsi="Arial"/>
          <w:sz w:val="17"/>
          <w:szCs w:val="17"/>
          <w:color w:val="auto"/>
        </w:rPr>
        <w:t>means any compensation plan, agreement, or other arrangement that provides for the grant or issuance of equity or equity-based</w:t>
      </w:r>
      <w:r>
        <w:rPr>
          <w:rFonts w:ascii="Arial" w:cs="Arial" w:eastAsia="Arial" w:hAnsi="Arial"/>
          <w:sz w:val="17"/>
          <w:szCs w:val="17"/>
          <w:b w:val="1"/>
          <w:bCs w:val="1"/>
          <w:color w:val="auto"/>
        </w:rPr>
        <w:t xml:space="preserve"> </w:t>
      </w:r>
      <w:r>
        <w:rPr>
          <w:rFonts w:ascii="Arial" w:cs="Arial" w:eastAsia="Arial" w:hAnsi="Arial"/>
          <w:sz w:val="17"/>
          <w:szCs w:val="17"/>
          <w:color w:val="auto"/>
        </w:rPr>
        <w:t>awards (including share options) and that is approved by the Company for the benefit of any of the employees of the Company or any of its Subsidiaries or Affiliates or other service providers (including directors, advisers and consultants), or the employees or other services providers (including directors, advisers and consultants) of any of their respective Affiliates or Subsidiaries.</w:t>
      </w:r>
    </w:p>
    <w:p>
      <w:pPr>
        <w:spacing w:after="0" w:line="57"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means, with respect to any Person, equity securities or any securities convertible into or exchangeable or exercisable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securities of such Person.</w:t>
      </w:r>
    </w:p>
    <w:p>
      <w:pPr>
        <w:spacing w:after="0" w:line="54"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 xml:space="preserve">Exchange Right </w:t>
      </w:r>
      <w:r>
        <w:rPr>
          <w:rFonts w:ascii="Arial" w:cs="Arial" w:eastAsia="Arial" w:hAnsi="Arial"/>
          <w:sz w:val="18"/>
          <w:szCs w:val="18"/>
          <w:color w:val="auto"/>
        </w:rPr>
        <w:t>means the rights conferred upon New Cotai under Article III of the Participation Agreement dated October 12, 2018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New Cotai and Newco (</w:t>
      </w:r>
      <w:r>
        <w:rPr>
          <w:rFonts w:ascii="Arial" w:cs="Arial" w:eastAsia="Arial" w:hAnsi="Arial"/>
          <w:sz w:val="18"/>
          <w:szCs w:val="18"/>
          <w:b w:val="1"/>
          <w:bCs w:val="1"/>
          <w:color w:val="auto"/>
        </w:rPr>
        <w:t>Participation Agreement</w:t>
      </w:r>
      <w:r>
        <w:rPr>
          <w:rFonts w:ascii="Arial" w:cs="Arial" w:eastAsia="Arial" w:hAnsi="Arial"/>
          <w:sz w:val="18"/>
          <w:szCs w:val="18"/>
          <w:color w:val="auto"/>
        </w:rPr>
        <w:t>).</w:t>
      </w:r>
    </w:p>
    <w:p>
      <w:pPr>
        <w:spacing w:after="0" w:line="54"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Gaming Authorisation </w:t>
      </w:r>
      <w:r>
        <w:rPr>
          <w:rFonts w:ascii="Arial" w:cs="Arial" w:eastAsia="Arial" w:hAnsi="Arial"/>
          <w:sz w:val="18"/>
          <w:szCs w:val="18"/>
          <w:color w:val="auto"/>
        </w:rPr>
        <w:t>means any gaming concession, subconcession, licensing or regulatory Authorisation (or any renewal or extension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to conduct gaming business in any jurisdiction.</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876" w:top="270" w:right="439" w:bottom="1440" w:gutter="0" w:footer="0" w:header="0"/>
        </w:sectPr>
      </w:pPr>
    </w:p>
    <w:bookmarkStart w:id="279" w:name="page280"/>
    <w:bookmarkEnd w:id="279"/>
    <w:p>
      <w:pPr>
        <w:ind w:left="4" w:right="4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Gaming Promoter </w:t>
      </w:r>
      <w:r>
        <w:rPr>
          <w:rFonts w:ascii="Arial" w:cs="Arial" w:eastAsia="Arial" w:hAnsi="Arial"/>
          <w:sz w:val="18"/>
          <w:szCs w:val="18"/>
          <w:color w:val="auto"/>
        </w:rPr>
        <w:t>means any gaming promoter duly licensed by the Macau government to act in any such capacity, and whose activity is to</w:t>
      </w:r>
      <w:r>
        <w:rPr>
          <w:rFonts w:ascii="Arial" w:cs="Arial" w:eastAsia="Arial" w:hAnsi="Arial"/>
          <w:sz w:val="18"/>
          <w:szCs w:val="18"/>
          <w:b w:val="1"/>
          <w:bCs w:val="1"/>
          <w:color w:val="auto"/>
        </w:rPr>
        <w:t xml:space="preserve"> </w:t>
      </w:r>
      <w:r>
        <w:rPr>
          <w:rFonts w:ascii="Arial" w:cs="Arial" w:eastAsia="Arial" w:hAnsi="Arial"/>
          <w:sz w:val="18"/>
          <w:szCs w:val="18"/>
          <w:color w:val="auto"/>
        </w:rPr>
        <w:t>promote gaming in casinos in Macau by providing (among other things) amenities such as transport, lodgement, food and beverage and entertainment to patrons.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Gaming Regulator </w:t>
      </w:r>
      <w:r>
        <w:rPr>
          <w:rFonts w:ascii="Arial" w:cs="Arial" w:eastAsia="Arial" w:hAnsi="Arial"/>
          <w:sz w:val="17"/>
          <w:szCs w:val="17"/>
          <w:color w:val="auto"/>
        </w:rPr>
        <w:t>means any Governmental Agency responsible for the regulation of gaming, wagering or betting in any jurisdiction.</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Governmental Agency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government, whether foreign, federal, state, territorial or local;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department, office, or minister of a government acting in that capacity; or</w:t>
      </w:r>
    </w:p>
    <w:p>
      <w:pPr>
        <w:spacing w:after="0" w:line="130"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commission, delegate, instrumentality, agency, board or other governmental or semi-governmental, judicial, administrative, monetary, regulatory, fiscal or tax authority, whether statutory or not.</w:t>
      </w:r>
    </w:p>
    <w:p>
      <w:pPr>
        <w:spacing w:after="0" w:line="58"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Company and the Company Subsidiaries from time to time and the expressions</w:t>
      </w:r>
      <w:r>
        <w:rPr>
          <w:rFonts w:ascii="Arial" w:cs="Arial" w:eastAsia="Arial" w:hAnsi="Arial"/>
          <w:sz w:val="18"/>
          <w:szCs w:val="18"/>
          <w:b w:val="1"/>
          <w:bCs w:val="1"/>
          <w:color w:val="auto"/>
        </w:rPr>
        <w:t xml:space="preserve"> member of the Group </w:t>
      </w:r>
      <w:r>
        <w:rPr>
          <w:rFonts w:ascii="Arial" w:cs="Arial" w:eastAsia="Arial" w:hAnsi="Arial"/>
          <w:sz w:val="18"/>
          <w:szCs w:val="18"/>
          <w:color w:val="auto"/>
        </w:rPr>
        <w:t>or</w:t>
      </w:r>
      <w:r>
        <w:rPr>
          <w:rFonts w:ascii="Arial" w:cs="Arial" w:eastAsia="Arial" w:hAnsi="Arial"/>
          <w:sz w:val="18"/>
          <w:szCs w:val="18"/>
          <w:b w:val="1"/>
          <w:bCs w:val="1"/>
          <w:color w:val="auto"/>
        </w:rPr>
        <w:t xml:space="preserve"> Group member </w:t>
      </w:r>
      <w:r>
        <w:rPr>
          <w:rFonts w:ascii="Arial" w:cs="Arial" w:eastAsia="Arial" w:hAnsi="Arial"/>
          <w:sz w:val="18"/>
          <w:szCs w:val="18"/>
          <w:color w:val="auto"/>
        </w:rPr>
        <w:t>or</w:t>
      </w:r>
      <w:r>
        <w:rPr>
          <w:rFonts w:ascii="Arial" w:cs="Arial" w:eastAsia="Arial" w:hAnsi="Arial"/>
          <w:sz w:val="18"/>
          <w:szCs w:val="18"/>
          <w:b w:val="1"/>
          <w:bCs w:val="1"/>
          <w:color w:val="auto"/>
        </w:rPr>
        <w:t xml:space="preserve"> Group Company </w:t>
      </w:r>
      <w:r>
        <w:rPr>
          <w:rFonts w:ascii="Arial" w:cs="Arial" w:eastAsia="Arial" w:hAnsi="Arial"/>
          <w:sz w:val="18"/>
          <w:szCs w:val="18"/>
          <w:color w:val="auto"/>
        </w:rPr>
        <w:t>mean any one of them.</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Hong Kong </w:t>
      </w:r>
      <w:r>
        <w:rPr>
          <w:rFonts w:ascii="Arial" w:cs="Arial" w:eastAsia="Arial" w:hAnsi="Arial"/>
          <w:sz w:val="18"/>
          <w:szCs w:val="18"/>
          <w:color w:val="auto"/>
        </w:rPr>
        <w:t>means the Hong Kong Special Administrative Region of the People’s Republic of China.</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Land </w:t>
      </w:r>
      <w:r>
        <w:rPr>
          <w:rFonts w:ascii="Arial" w:cs="Arial" w:eastAsia="Arial" w:hAnsi="Arial"/>
          <w:sz w:val="18"/>
          <w:szCs w:val="18"/>
          <w:color w:val="auto"/>
        </w:rPr>
        <w:t>means a plot of land situated in Macau, at the Cotai reclaimed land area, with gross area of 130,789 square meters, described at and denoted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letter “A” on map no. 5899/2000 issued by Macao Cartography and Cadastre Bureau on 3 January 2012.</w:t>
      </w:r>
    </w:p>
    <w:p>
      <w:pPr>
        <w:spacing w:after="0" w:line="54" w:lineRule="exact"/>
        <w:rPr>
          <w:sz w:val="20"/>
          <w:szCs w:val="20"/>
          <w:color w:val="auto"/>
        </w:rPr>
      </w:pPr>
    </w:p>
    <w:p>
      <w:pPr>
        <w:ind w:left="4" w:right="260"/>
        <w:spacing w:after="0" w:line="313" w:lineRule="auto"/>
        <w:rPr>
          <w:sz w:val="20"/>
          <w:szCs w:val="20"/>
          <w:color w:val="auto"/>
        </w:rPr>
      </w:pPr>
      <w:r>
        <w:rPr>
          <w:rFonts w:ascii="Arial" w:cs="Arial" w:eastAsia="Arial" w:hAnsi="Arial"/>
          <w:sz w:val="17"/>
          <w:szCs w:val="17"/>
          <w:b w:val="1"/>
          <w:bCs w:val="1"/>
          <w:color w:val="auto"/>
        </w:rPr>
        <w:t xml:space="preserve">Law </w:t>
      </w:r>
      <w:r>
        <w:rPr>
          <w:rFonts w:ascii="Arial" w:cs="Arial" w:eastAsia="Arial" w:hAnsi="Arial"/>
          <w:sz w:val="17"/>
          <w:szCs w:val="17"/>
          <w:color w:val="auto"/>
        </w:rPr>
        <w:t>means any law or legal or regulatory compliance requirement, including at common law, in equity, under any statute, regulation or by-law</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decision, directive, guidance, guideline or requirement of any Governmental Agency or the relevant stock exchange.</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Macau </w:t>
      </w:r>
      <w:r>
        <w:rPr>
          <w:rFonts w:ascii="Arial" w:cs="Arial" w:eastAsia="Arial" w:hAnsi="Arial"/>
          <w:sz w:val="18"/>
          <w:szCs w:val="18"/>
          <w:color w:val="auto"/>
        </w:rPr>
        <w:t>means the Macau Special Administrative Region of the People’s Republic of China.</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Melco Casino(s) </w:t>
      </w:r>
      <w:r>
        <w:rPr>
          <w:rFonts w:ascii="Arial" w:cs="Arial" w:eastAsia="Arial" w:hAnsi="Arial"/>
          <w:sz w:val="18"/>
          <w:szCs w:val="18"/>
          <w:color w:val="auto"/>
        </w:rPr>
        <w:t>means the casino(s) and gaming area(s) owned directly or indirectly (in whole or in majority) or operated (or both) by Melco,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Subconcessionaire or any of their respective Affiliates.</w:t>
      </w:r>
    </w:p>
    <w:p>
      <w:pPr>
        <w:spacing w:after="0" w:line="54" w:lineRule="exact"/>
        <w:rPr>
          <w:sz w:val="20"/>
          <w:szCs w:val="20"/>
          <w:color w:val="auto"/>
        </w:rPr>
      </w:pPr>
    </w:p>
    <w:p>
      <w:pPr>
        <w:ind w:left="4" w:right="140"/>
        <w:spacing w:after="0" w:line="303" w:lineRule="auto"/>
        <w:rPr>
          <w:sz w:val="20"/>
          <w:szCs w:val="20"/>
          <w:color w:val="auto"/>
        </w:rPr>
      </w:pPr>
      <w:r>
        <w:rPr>
          <w:rFonts w:ascii="Arial" w:cs="Arial" w:eastAsia="Arial" w:hAnsi="Arial"/>
          <w:sz w:val="16"/>
          <w:szCs w:val="16"/>
          <w:b w:val="1"/>
          <w:bCs w:val="1"/>
          <w:color w:val="auto"/>
        </w:rPr>
        <w:t xml:space="preserve">Melco Original Share Amount </w:t>
      </w:r>
      <w:r>
        <w:rPr>
          <w:rFonts w:ascii="Arial" w:cs="Arial" w:eastAsia="Arial" w:hAnsi="Arial"/>
          <w:sz w:val="16"/>
          <w:szCs w:val="16"/>
          <w:color w:val="auto"/>
        </w:rPr>
        <w:t>means the number of Securities set out next to Melco Shareholders in the attached Schedule I,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increased or decreased from time to time in a corresponding manner to account for any split, subdivision, reverse split, consolidation, share dividend or share distribution in respect of Securities, including any Adjustment Event (as defined in the Participation Agreement), provided any such increase or decrease shall be documented in an amendment of Schedule I by the parties in accordance with </w:t>
      </w:r>
      <w:r>
        <w:rPr>
          <w:rFonts w:ascii="Arial" w:cs="Arial" w:eastAsia="Arial" w:hAnsi="Arial"/>
          <w:sz w:val="16"/>
          <w:szCs w:val="16"/>
          <w:b w:val="1"/>
          <w:bCs w:val="1"/>
          <w:color w:val="auto"/>
        </w:rPr>
        <w:t>clause 13.1</w:t>
      </w:r>
      <w:r>
        <w:rPr>
          <w:rFonts w:ascii="Arial" w:cs="Arial" w:eastAsia="Arial" w:hAnsi="Arial"/>
          <w:sz w:val="16"/>
          <w:szCs w:val="16"/>
          <w:color w:val="auto"/>
        </w:rPr>
        <w:t>.</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Melco Shareholders </w:t>
      </w:r>
      <w:r>
        <w:rPr>
          <w:rFonts w:ascii="Arial" w:cs="Arial" w:eastAsia="Arial" w:hAnsi="Arial"/>
          <w:sz w:val="18"/>
          <w:szCs w:val="18"/>
          <w:color w:val="auto"/>
        </w:rPr>
        <w:t>means Melco and any Affiliate of Melco to whom Securities are issued or Transferred under this document.</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Memorandum and Articles of Association </w:t>
      </w:r>
      <w:r>
        <w:rPr>
          <w:rFonts w:ascii="Arial" w:cs="Arial" w:eastAsia="Arial" w:hAnsi="Arial"/>
          <w:sz w:val="18"/>
          <w:szCs w:val="18"/>
          <w:color w:val="auto"/>
        </w:rPr>
        <w:t>means the memorandum and articles of association of the Company, as may be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accordance herewith.</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876" w:top="270" w:right="439" w:bottom="1440" w:gutter="0" w:footer="0" w:header="0"/>
        </w:sectPr>
      </w:pPr>
    </w:p>
    <w:bookmarkStart w:id="280" w:name="page281"/>
    <w:bookmarkEnd w:id="280"/>
    <w:p>
      <w:pPr>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Minority Shareholders </w:t>
      </w:r>
      <w:r>
        <w:rPr>
          <w:rFonts w:ascii="Arial" w:cs="Arial" w:eastAsia="Arial" w:hAnsi="Arial"/>
          <w:sz w:val="16"/>
          <w:szCs w:val="16"/>
          <w:color w:val="auto"/>
        </w:rPr>
        <w:t>means, at the relevant time of determination, any Shareholder the name of which is set forth on</w:t>
      </w:r>
      <w:r>
        <w:rPr>
          <w:rFonts w:ascii="Arial" w:cs="Arial" w:eastAsia="Arial" w:hAnsi="Arial"/>
          <w:sz w:val="16"/>
          <w:szCs w:val="16"/>
          <w:b w:val="1"/>
          <w:bCs w:val="1"/>
          <w:color w:val="auto"/>
        </w:rPr>
        <w:t xml:space="preserve"> Schedule II </w:t>
      </w:r>
      <w:r>
        <w:rPr>
          <w:rFonts w:ascii="Arial" w:cs="Arial" w:eastAsia="Arial" w:hAnsi="Arial"/>
          <w:sz w:val="16"/>
          <w:szCs w:val="16"/>
          <w:color w:val="auto"/>
        </w:rPr>
        <w:t>hereto,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schedule may be amended from time to time in accordance with </w:t>
      </w:r>
      <w:r>
        <w:rPr>
          <w:rFonts w:ascii="Arial" w:cs="Arial" w:eastAsia="Arial" w:hAnsi="Arial"/>
          <w:sz w:val="16"/>
          <w:szCs w:val="16"/>
          <w:b w:val="1"/>
          <w:bCs w:val="1"/>
          <w:color w:val="auto"/>
        </w:rPr>
        <w:t>clause 2.2(f)</w:t>
      </w:r>
      <w:r>
        <w:rPr>
          <w:rFonts w:ascii="Arial" w:cs="Arial" w:eastAsia="Arial" w:hAnsi="Arial"/>
          <w:sz w:val="16"/>
          <w:szCs w:val="16"/>
          <w:color w:val="auto"/>
        </w:rPr>
        <w:t xml:space="preserve"> and subject to </w:t>
      </w:r>
      <w:r>
        <w:rPr>
          <w:rFonts w:ascii="Arial" w:cs="Arial" w:eastAsia="Arial" w:hAnsi="Arial"/>
          <w:sz w:val="16"/>
          <w:szCs w:val="16"/>
          <w:b w:val="1"/>
          <w:bCs w:val="1"/>
          <w:color w:val="auto"/>
        </w:rPr>
        <w:t>clause 2.2(g)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relevant time of determination, such Shareholder is either (i) validly holding Class B Ordinary Shares or (ii) validly holding (a) Class A Ordinary Shares which such Shareholder has received as a result of exercising (including in connection with a Mandatory Exchange (as defined in the Participation Agreement) its Exchange Rights, or (b) Class A Ordinary Shares received from New Cotai or another Permitted Transferee, who in either case acquired them as described in the immediately preceding clause (a) and subsequently transferred them to such Shareholder directly or indirectly through multiple transfers (on successive occasions) so long as (x) each of such transfers was made by and between a transferor and transferee who were, at the time of such subsequent transfers, Permitted Transferees and (y) there were no other intervening Transfers of such Exchange Shares that were not between Permitted Transferees (such Class A Ordinary Shares acquired by each Shareholder set out in Schedule II and in the manner contemplated in clauses (a) or (b), </w:t>
      </w:r>
      <w:r>
        <w:rPr>
          <w:rFonts w:ascii="Arial" w:cs="Arial" w:eastAsia="Arial" w:hAnsi="Arial"/>
          <w:sz w:val="16"/>
          <w:szCs w:val="16"/>
          <w:b w:val="1"/>
          <w:bCs w:val="1"/>
          <w:color w:val="auto"/>
        </w:rPr>
        <w:t>Exchange Shares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any given time, there shall be no more than twenty-five</w:t>
      </w:r>
    </w:p>
    <w:p>
      <w:pPr>
        <w:spacing w:after="0" w:line="2" w:lineRule="exact"/>
        <w:rPr>
          <w:sz w:val="20"/>
          <w:szCs w:val="20"/>
          <w:color w:val="auto"/>
        </w:rPr>
      </w:pPr>
    </w:p>
    <w:p>
      <w:pPr>
        <w:ind w:right="140" w:firstLine="4"/>
        <w:spacing w:after="0" w:line="261" w:lineRule="auto"/>
        <w:tabs>
          <w:tab w:leader="none" w:pos="34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Minority Shareholders. For the avoidance of doubt, the limit of twenty-five (25) Minority Shareholders is inclusive of Shareholders holding Class B Ordinary Shares.</w:t>
      </w:r>
    </w:p>
    <w:p>
      <w:pPr>
        <w:spacing w:after="0" w:line="72"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New Cotai Original Share Amount </w:t>
      </w:r>
      <w:r>
        <w:rPr>
          <w:rFonts w:ascii="Arial" w:cs="Arial" w:eastAsia="Arial" w:hAnsi="Arial"/>
          <w:sz w:val="16"/>
          <w:szCs w:val="16"/>
          <w:color w:val="auto"/>
        </w:rPr>
        <w:t>means the number of Securities set out next to New Cotai in the attached Schedule I,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increased or decreased from time to time in a corresponding manner to account for any split, subdivision, reverse split, consolidation, share dividend or share distribution in respect of Securities, including any Adjustment Event (as defined in the Participation Agreement), provided any such increase or decrease shall be documented in an amendment of Schedule I by the parties in accordance with </w:t>
      </w:r>
      <w:r>
        <w:rPr>
          <w:rFonts w:ascii="Arial" w:cs="Arial" w:eastAsia="Arial" w:hAnsi="Arial"/>
          <w:sz w:val="16"/>
          <w:szCs w:val="16"/>
          <w:b w:val="1"/>
          <w:bCs w:val="1"/>
          <w:color w:val="auto"/>
        </w:rPr>
        <w:t>clause 13.1</w:t>
      </w:r>
      <w:r>
        <w:rPr>
          <w:rFonts w:ascii="Arial" w:cs="Arial" w:eastAsia="Arial" w:hAnsi="Arial"/>
          <w:sz w:val="16"/>
          <w:szCs w:val="16"/>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Newco </w:t>
      </w:r>
      <w:r>
        <w:rPr>
          <w:rFonts w:ascii="Arial" w:cs="Arial" w:eastAsia="Arial" w:hAnsi="Arial"/>
          <w:sz w:val="18"/>
          <w:szCs w:val="18"/>
          <w:color w:val="auto"/>
        </w:rPr>
        <w:t>means MSC Cotai Limited, a business company limited by shares incorporated in the British Virgin Islands.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Newco Memorandum and Articles of Association </w:t>
      </w:r>
      <w:r>
        <w:rPr>
          <w:rFonts w:ascii="Arial" w:cs="Arial" w:eastAsia="Arial" w:hAnsi="Arial"/>
          <w:sz w:val="18"/>
          <w:szCs w:val="18"/>
          <w:color w:val="auto"/>
        </w:rPr>
        <w:t>means the memorandum and articles of association of Newco, as may be amended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in accordance herewith.</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Observer </w:t>
      </w:r>
      <w:r>
        <w:rPr>
          <w:rFonts w:ascii="Arial" w:cs="Arial" w:eastAsia="Arial" w:hAnsi="Arial"/>
          <w:sz w:val="18"/>
          <w:szCs w:val="18"/>
          <w:color w:val="auto"/>
        </w:rPr>
        <w:t>means an observer appointed to the Board in accordance</w:t>
      </w:r>
      <w:r>
        <w:rPr>
          <w:rFonts w:ascii="Arial" w:cs="Arial" w:eastAsia="Arial" w:hAnsi="Arial"/>
          <w:sz w:val="18"/>
          <w:szCs w:val="18"/>
          <w:b w:val="1"/>
          <w:bCs w:val="1"/>
          <w:color w:val="auto"/>
        </w:rPr>
        <w:t xml:space="preserve"> with clause 2.2(a)(ii)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clause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Opening </w:t>
      </w:r>
      <w:r>
        <w:rPr>
          <w:rFonts w:ascii="Arial" w:cs="Arial" w:eastAsia="Arial" w:hAnsi="Arial"/>
          <w:sz w:val="18"/>
          <w:szCs w:val="18"/>
          <w:color w:val="auto"/>
        </w:rPr>
        <w:t>means 27 October 2015, the date that the Studio City Property opened to the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Casinos </w:t>
      </w:r>
      <w:r>
        <w:rPr>
          <w:rFonts w:ascii="Arial" w:cs="Arial" w:eastAsia="Arial" w:hAnsi="Arial"/>
          <w:sz w:val="18"/>
          <w:szCs w:val="18"/>
          <w:color w:val="auto"/>
        </w:rPr>
        <w:t>mean those casinos or gaming areas operated but not majority owned or controlled by Melco or any of its Affiliates.</w:t>
      </w:r>
    </w:p>
    <w:p>
      <w:pPr>
        <w:spacing w:after="0" w:line="117"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Permitted Transferee </w:t>
      </w:r>
      <w:r>
        <w:rPr>
          <w:rFonts w:ascii="Arial" w:cs="Arial" w:eastAsia="Arial" w:hAnsi="Arial"/>
          <w:sz w:val="18"/>
          <w:szCs w:val="18"/>
          <w:color w:val="auto"/>
        </w:rPr>
        <w:t>means any one or more investment funds or other entities directly or indirectly owned, managed or advised by Oaktree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Management, L.P. or Silver Point Capital, L.P. (for so long as the transferee continues to be directly or indirectly owned, managed, or advised by Oaktree Capital Management, L.P. or Silver Point Capital, L.P.).</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Project Lender </w:t>
      </w:r>
      <w:r>
        <w:rPr>
          <w:rFonts w:ascii="Arial" w:cs="Arial" w:eastAsia="Arial" w:hAnsi="Arial"/>
          <w:sz w:val="18"/>
          <w:szCs w:val="18"/>
          <w:color w:val="auto"/>
        </w:rPr>
        <w:t>means any third party lender(s) to the Studio City Property or any representative or agent (including a trustee, collateral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agent) of any such third party lender(s).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Prospective Purchaser </w:t>
      </w:r>
      <w:r>
        <w:rPr>
          <w:rFonts w:ascii="Arial" w:cs="Arial" w:eastAsia="Arial" w:hAnsi="Arial"/>
          <w:sz w:val="18"/>
          <w:szCs w:val="18"/>
          <w:color w:val="auto"/>
        </w:rPr>
        <w:t>has the meaning given to the term in</w:t>
      </w:r>
      <w:r>
        <w:rPr>
          <w:rFonts w:ascii="Arial" w:cs="Arial" w:eastAsia="Arial" w:hAnsi="Arial"/>
          <w:sz w:val="18"/>
          <w:szCs w:val="18"/>
          <w:b w:val="1"/>
          <w:bCs w:val="1"/>
          <w:color w:val="auto"/>
        </w:rPr>
        <w:t xml:space="preserve"> clause 7.7(a)</w:t>
      </w:r>
      <w:r>
        <w:rPr>
          <w:rFonts w:ascii="Arial" w:cs="Arial" w:eastAsia="Arial" w:hAnsi="Arial"/>
          <w:sz w:val="18"/>
          <w:szCs w:val="18"/>
          <w:color w:val="auto"/>
        </w:rPr>
        <w: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means the registration rights agreement entered into by and between the Shareholders (as defined therein)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dated the date hereof.</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0" w:right="459" w:bottom="1440" w:gutter="0" w:footer="0" w:header="0"/>
        </w:sectPr>
      </w:pPr>
    </w:p>
    <w:bookmarkStart w:id="281" w:name="page282"/>
    <w:bookmarkEnd w:id="281"/>
    <w:p>
      <w:pPr>
        <w:ind w:left="4"/>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Respective Proportion </w:t>
      </w:r>
      <w:r>
        <w:rPr>
          <w:rFonts w:ascii="Arial" w:cs="Arial" w:eastAsia="Arial" w:hAnsi="Arial"/>
          <w:sz w:val="17"/>
          <w:szCs w:val="17"/>
          <w:color w:val="auto"/>
        </w:rPr>
        <w:t>means, with respect to an Entitled Minority Shareholder, a fraction, the numerator of which shall be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Shares validly held by such Entitled Minority Shareholder at the relevant time of calculation and the denominator of which shall be the sum of (i) the number of issued and outstanding Class A Ordinary Shares held by Melco and its Affiliates (excluding the Company and its Subsidiaries), (ii) the number of Exchange Shares held by all Entitled Minority Shareholders, and (iii) the number of Class A Ordinary Shares issuable if all Participants (as defined in the Participation Agreement) exercised their Exchange Rights with respect to the entirety of the remaining Participation Interests (as defined in the Participation Agreement).</w:t>
      </w:r>
    </w:p>
    <w:p>
      <w:pPr>
        <w:spacing w:after="0" w:line="66"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means a fully paid share in the capital of the Company carrying the rights and obligations set out in this document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Memorandum and Articles of Association, which shall include Class A Ordinary Shares (including any Class A Ordinary Shares represented by ADSs) and Class B Ordinary Shares.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Shared Vendor Contracts </w:t>
      </w:r>
      <w:r>
        <w:rPr>
          <w:rFonts w:ascii="Arial" w:cs="Arial" w:eastAsia="Arial" w:hAnsi="Arial"/>
          <w:sz w:val="18"/>
          <w:szCs w:val="18"/>
          <w:color w:val="auto"/>
        </w:rPr>
        <w:t>has the meaning given to the term in</w:t>
      </w:r>
      <w:r>
        <w:rPr>
          <w:rFonts w:ascii="Arial" w:cs="Arial" w:eastAsia="Arial" w:hAnsi="Arial"/>
          <w:sz w:val="18"/>
          <w:szCs w:val="18"/>
          <w:b w:val="1"/>
          <w:bCs w:val="1"/>
          <w:color w:val="auto"/>
        </w:rPr>
        <w:t xml:space="preserve"> clause 3.1</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Shared Vendors </w:t>
      </w:r>
      <w:r>
        <w:rPr>
          <w:rFonts w:ascii="Arial" w:cs="Arial" w:eastAsia="Arial" w:hAnsi="Arial"/>
          <w:sz w:val="18"/>
          <w:szCs w:val="18"/>
          <w:color w:val="auto"/>
        </w:rPr>
        <w:t>has the meaning given to the term in</w:t>
      </w:r>
      <w:r>
        <w:rPr>
          <w:rFonts w:ascii="Arial" w:cs="Arial" w:eastAsia="Arial" w:hAnsi="Arial"/>
          <w:sz w:val="18"/>
          <w:szCs w:val="18"/>
          <w:b w:val="1"/>
          <w:bCs w:val="1"/>
          <w:color w:val="auto"/>
        </w:rPr>
        <w:t xml:space="preserve"> clause 3.1</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holder of Securities from time to time.</w:t>
      </w:r>
    </w:p>
    <w:p>
      <w:pPr>
        <w:spacing w:after="0" w:line="117"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Shareholder Group </w:t>
      </w:r>
      <w:r>
        <w:rPr>
          <w:rFonts w:ascii="Arial" w:cs="Arial" w:eastAsia="Arial" w:hAnsi="Arial"/>
          <w:sz w:val="18"/>
          <w:szCs w:val="18"/>
          <w:color w:val="auto"/>
        </w:rPr>
        <w:t>means each of the Melco Shareholders, on the one hand, and the Minority Shareholders, on the other hand, or either one of</w:t>
      </w:r>
      <w:r>
        <w:rPr>
          <w:rFonts w:ascii="Arial" w:cs="Arial" w:eastAsia="Arial" w:hAnsi="Arial"/>
          <w:sz w:val="18"/>
          <w:szCs w:val="18"/>
          <w:b w:val="1"/>
          <w:bCs w:val="1"/>
          <w:color w:val="auto"/>
        </w:rPr>
        <w:t xml:space="preserve"> </w:t>
      </w:r>
      <w:r>
        <w:rPr>
          <w:rFonts w:ascii="Arial" w:cs="Arial" w:eastAsia="Arial" w:hAnsi="Arial"/>
          <w:sz w:val="18"/>
          <w:szCs w:val="18"/>
          <w:color w:val="auto"/>
        </w:rPr>
        <w:t>them (as the context requires).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Studio City Casino </w:t>
      </w:r>
      <w:r>
        <w:rPr>
          <w:rFonts w:ascii="Arial" w:cs="Arial" w:eastAsia="Arial" w:hAnsi="Arial"/>
          <w:sz w:val="18"/>
          <w:szCs w:val="18"/>
          <w:color w:val="auto"/>
        </w:rPr>
        <w:t>means the casino and gaming area within the Studio City Property.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Studio City Property </w:t>
      </w:r>
      <w:r>
        <w:rPr>
          <w:rFonts w:ascii="Arial" w:cs="Arial" w:eastAsia="Arial" w:hAnsi="Arial"/>
          <w:sz w:val="18"/>
          <w:szCs w:val="18"/>
          <w:color w:val="auto"/>
        </w:rPr>
        <w:t>means the gaming, retail and entertainment resort located and operated on the Land.</w:t>
      </w:r>
    </w:p>
    <w:p>
      <w:pPr>
        <w:spacing w:after="0" w:line="117" w:lineRule="exact"/>
        <w:rPr>
          <w:sz w:val="20"/>
          <w:szCs w:val="20"/>
          <w:color w:val="auto"/>
        </w:rPr>
      </w:pPr>
    </w:p>
    <w:p>
      <w:pPr>
        <w:ind w:left="4"/>
        <w:spacing w:after="0" w:line="291" w:lineRule="auto"/>
        <w:rPr>
          <w:sz w:val="20"/>
          <w:szCs w:val="20"/>
          <w:color w:val="auto"/>
        </w:rPr>
      </w:pPr>
      <w:r>
        <w:rPr>
          <w:rFonts w:ascii="Arial" w:cs="Arial" w:eastAsia="Arial" w:hAnsi="Arial"/>
          <w:sz w:val="16"/>
          <w:szCs w:val="16"/>
          <w:b w:val="1"/>
          <w:bCs w:val="1"/>
          <w:color w:val="auto"/>
        </w:rPr>
        <w:t xml:space="preserve">Subconcession </w:t>
      </w:r>
      <w:r>
        <w:rPr>
          <w:rFonts w:ascii="Arial" w:cs="Arial" w:eastAsia="Arial" w:hAnsi="Arial"/>
          <w:sz w:val="16"/>
          <w:szCs w:val="16"/>
          <w:color w:val="auto"/>
        </w:rPr>
        <w:t>means the trilateral agreement dated 8 September 2006 entered into by and among the Macau government, Wynn Resorts</w:t>
      </w:r>
      <w:r>
        <w:rPr>
          <w:rFonts w:ascii="Arial" w:cs="Arial" w:eastAsia="Arial" w:hAnsi="Arial"/>
          <w:sz w:val="16"/>
          <w:szCs w:val="16"/>
          <w:b w:val="1"/>
          <w:bCs w:val="1"/>
          <w:color w:val="auto"/>
        </w:rPr>
        <w:t xml:space="preserve"> </w:t>
      </w:r>
      <w:r>
        <w:rPr>
          <w:rFonts w:ascii="Arial" w:cs="Arial" w:eastAsia="Arial" w:hAnsi="Arial"/>
          <w:sz w:val="16"/>
          <w:szCs w:val="16"/>
          <w:color w:val="auto"/>
        </w:rPr>
        <w:t>(Macau), S.A. (</w:t>
      </w:r>
      <w:r>
        <w:rPr>
          <w:rFonts w:ascii="Arial" w:cs="Arial" w:eastAsia="Arial" w:hAnsi="Arial"/>
          <w:sz w:val="16"/>
          <w:szCs w:val="16"/>
          <w:b w:val="1"/>
          <w:bCs w:val="1"/>
          <w:color w:val="auto"/>
        </w:rPr>
        <w:t>Wynn Macau</w:t>
      </w:r>
      <w:r>
        <w:rPr>
          <w:rFonts w:ascii="Arial" w:cs="Arial" w:eastAsia="Arial" w:hAnsi="Arial"/>
          <w:sz w:val="16"/>
          <w:szCs w:val="16"/>
          <w:color w:val="auto"/>
        </w:rPr>
        <w:t>) (as concessionaire for the operation of casino games of chance and other casino games in Macau, under the terms of a concession contract dated 24 June 2002 between Macau and Wynn Macau, as amended on 8 September 2006) and the Subconcessionaire, comprising a set of instruments from which shall flow an integrated web of rights, duties and obligations by and for all and each of Macau, Wynn Macau and the Subconcessionaire, pursuant to the terms of which the Subconcessionaire shall be entitled to operate casino games of chance and other casino games in Macau as an autonomous subconcessionaire in relation to Wynn Macau, including any supplemental letters or agreements entered into or issued by the Macau government and the Subconcessionaire from time to time, and including any replacement concession or subconcession for the operation of casino games of chance and other casino games in Macau.</w:t>
      </w:r>
    </w:p>
    <w:p>
      <w:pPr>
        <w:spacing w:after="0" w:line="52"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Subconcessionaire </w:t>
      </w:r>
      <w:r>
        <w:rPr>
          <w:rFonts w:ascii="Arial" w:cs="Arial" w:eastAsia="Arial" w:hAnsi="Arial"/>
          <w:sz w:val="18"/>
          <w:szCs w:val="18"/>
          <w:color w:val="auto"/>
        </w:rPr>
        <w:t>means Melco Resorts (Macau) Limited, a company incorporated in Macau, or any other Affiliate of Melco holding a Gaming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Authorisation in Macau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with respect to any Person:</w:t>
      </w:r>
    </w:p>
    <w:p>
      <w:pPr>
        <w:spacing w:after="0" w:line="135" w:lineRule="exact"/>
        <w:rPr>
          <w:sz w:val="20"/>
          <w:szCs w:val="20"/>
          <w:color w:val="auto"/>
        </w:rPr>
      </w:pPr>
    </w:p>
    <w:p>
      <w:pPr>
        <w:ind w:left="424" w:right="20" w:hanging="424"/>
        <w:spacing w:after="0" w:line="297" w:lineRule="auto"/>
        <w:tabs>
          <w:tab w:leader="none" w:pos="42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(i) more than 50% of the total voting power of shares of capital stock entitled (without regard to the occurrence of any contingency and after giving effect to any voting agreement or shareholders’ agreement that effectively transfers voting power) to vote in the election of directors, managers or trustees of the corporation, association or other business entity that is at the time owned or controlled, directly or indirectly, by such Person or one or more of the other Subsidiaries of such Person (or a combination thereof), or (ii) the composition of its board of directors is directly or indirectly controlled by such Person; and</w:t>
      </w:r>
    </w:p>
    <w:p>
      <w:pPr>
        <w:spacing w:after="0" w:line="91"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4"/>
          </w:cols>
          <w:pgMar w:left="876" w:top="270" w:right="539" w:bottom="1440" w:gutter="0" w:footer="0" w:header="0"/>
        </w:sectPr>
      </w:pPr>
    </w:p>
    <w:bookmarkStart w:id="282" w:name="page283"/>
    <w:bookmarkEnd w:id="282"/>
    <w:p>
      <w:pPr>
        <w:ind w:left="424" w:right="140" w:hanging="424"/>
        <w:spacing w:after="0" w:line="257" w:lineRule="auto"/>
        <w:tabs>
          <w:tab w:leader="none" w:pos="424"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partnership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(ii) such Person or any Subsidiary of such Person is a controlling general partner or otherwise controls such entity.</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Transaction Documents </w:t>
      </w:r>
      <w:r>
        <w:rPr>
          <w:rFonts w:ascii="Arial" w:cs="Arial" w:eastAsia="Arial" w:hAnsi="Arial"/>
          <w:sz w:val="17"/>
          <w:szCs w:val="17"/>
          <w:color w:val="auto"/>
        </w:rPr>
        <w:t>means this document, the Registration Rights Agreement and the Memorandum and Articles of Association.</w:t>
      </w:r>
    </w:p>
    <w:p>
      <w:pPr>
        <w:spacing w:after="0" w:line="129"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means to transfer, sell, exchange, hypothecate, assign, charge, pledge, encumber, gift, convey (including in trust) or otherwise dispose</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Unsubscribed Equity Securities </w:t>
      </w:r>
      <w:r>
        <w:rPr>
          <w:rFonts w:ascii="Arial" w:cs="Arial" w:eastAsia="Arial" w:hAnsi="Arial"/>
          <w:sz w:val="18"/>
          <w:szCs w:val="18"/>
          <w:color w:val="auto"/>
        </w:rPr>
        <w:t>has the meaning set forth in clause 6.3(b).</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Unsuitable Person </w:t>
      </w:r>
      <w:r>
        <w:rPr>
          <w:rFonts w:ascii="Arial" w:cs="Arial" w:eastAsia="Arial" w:hAnsi="Arial"/>
          <w:sz w:val="18"/>
          <w:szCs w:val="18"/>
          <w:color w:val="auto"/>
        </w:rPr>
        <w:t>means a person or entity whose direct or indirect ownership of Securities could (on the facts then known):</w:t>
      </w:r>
    </w:p>
    <w:p>
      <w:pPr>
        <w:spacing w:after="0" w:line="135" w:lineRule="exact"/>
        <w:rPr>
          <w:sz w:val="20"/>
          <w:szCs w:val="20"/>
          <w:color w:val="auto"/>
        </w:rPr>
      </w:pPr>
    </w:p>
    <w:p>
      <w:pPr>
        <w:ind w:left="424" w:hanging="424"/>
        <w:spacing w:after="0"/>
        <w:tabs>
          <w:tab w:leader="none" w:pos="42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based on the written advice of outside legal counsel to a Shareholder or Melco (as applicable);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based on an objection received from a Gaming Regulator,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 reasonably expected to adversely impact the suitability or entitlement of:</w:t>
      </w:r>
    </w:p>
    <w:p>
      <w:pPr>
        <w:spacing w:after="0" w:line="117" w:lineRule="exact"/>
        <w:rPr>
          <w:sz w:val="20"/>
          <w:szCs w:val="20"/>
          <w:color w:val="auto"/>
        </w:rPr>
      </w:pPr>
    </w:p>
    <w:p>
      <w:pPr>
        <w:ind w:left="264" w:hanging="256"/>
        <w:spacing w:after="0"/>
        <w:tabs>
          <w:tab w:leader="none" w:pos="26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member of the Group;</w:t>
      </w:r>
    </w:p>
    <w:p>
      <w:pPr>
        <w:spacing w:after="0" w:line="117" w:lineRule="exact"/>
        <w:rPr>
          <w:rFonts w:ascii="Arial" w:cs="Arial" w:eastAsia="Arial" w:hAnsi="Arial"/>
          <w:sz w:val="18"/>
          <w:szCs w:val="18"/>
          <w:color w:val="auto"/>
        </w:rPr>
      </w:pPr>
    </w:p>
    <w:p>
      <w:pPr>
        <w:ind w:left="4" w:right="120" w:firstLine="4"/>
        <w:spacing w:after="0" w:line="277" w:lineRule="auto"/>
        <w:tabs>
          <w:tab w:leader="none" w:pos="259"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Melco Shareholder, any holder of Upstream Securities in any Melco Shareholder, or any of their respective Affiliates, in each case, in the case of a Transfer of any Securities or Upstream Securities by any person other than those persons; or</w:t>
      </w:r>
    </w:p>
    <w:p>
      <w:pPr>
        <w:spacing w:after="0" w:line="62" w:lineRule="exact"/>
        <w:rPr>
          <w:rFonts w:ascii="Arial" w:cs="Arial" w:eastAsia="Arial" w:hAnsi="Arial"/>
          <w:sz w:val="18"/>
          <w:szCs w:val="18"/>
          <w:color w:val="auto"/>
        </w:rPr>
      </w:pPr>
    </w:p>
    <w:p>
      <w:pPr>
        <w:ind w:left="4" w:right="20" w:firstLine="4"/>
        <w:spacing w:after="0" w:line="342" w:lineRule="auto"/>
        <w:tabs>
          <w:tab w:leader="none" w:pos="24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any Minority Shareholder, any holder of Upstream Securities in any Minority Shareholder, or any of their respective Affiliates, in each case, in the case of a Transfer of any Securities or Upstream Securities by any person other than those persons, to maintain any Gaming Authorisation.</w:t>
      </w:r>
    </w:p>
    <w:p>
      <w:pPr>
        <w:spacing w:after="0" w:line="12" w:lineRule="exact"/>
        <w:rPr>
          <w:sz w:val="20"/>
          <w:szCs w:val="20"/>
          <w:color w:val="auto"/>
        </w:rPr>
      </w:pPr>
    </w:p>
    <w:p>
      <w:pPr>
        <w:jc w:val="both"/>
        <w:ind w:left="4"/>
        <w:spacing w:after="0" w:line="289" w:lineRule="auto"/>
        <w:rPr>
          <w:sz w:val="20"/>
          <w:szCs w:val="20"/>
          <w:color w:val="auto"/>
        </w:rPr>
      </w:pPr>
      <w:r>
        <w:rPr>
          <w:rFonts w:ascii="Arial" w:cs="Arial" w:eastAsia="Arial" w:hAnsi="Arial"/>
          <w:sz w:val="17"/>
          <w:szCs w:val="17"/>
          <w:b w:val="1"/>
          <w:bCs w:val="1"/>
          <w:color w:val="auto"/>
        </w:rPr>
        <w:t xml:space="preserve">Upstream Securities </w:t>
      </w:r>
      <w:r>
        <w:rPr>
          <w:rFonts w:ascii="Arial" w:cs="Arial" w:eastAsia="Arial" w:hAnsi="Arial"/>
          <w:sz w:val="17"/>
          <w:szCs w:val="17"/>
          <w:color w:val="auto"/>
        </w:rPr>
        <w:t>means, in respect of a Shareholder, any equity securities or interests in equity securities issued by that Shareholder or by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that directly, or indirectly through one or more interposed entities (whether legally or beneficially), holds an Effective Interest in Securities held by that Shareholder, but does not include any equity securities or interests in equity securities:</w:t>
      </w:r>
    </w:p>
    <w:p>
      <w:pPr>
        <w:spacing w:after="0" w:line="68" w:lineRule="exact"/>
        <w:rPr>
          <w:sz w:val="20"/>
          <w:szCs w:val="20"/>
          <w:color w:val="auto"/>
        </w:rPr>
      </w:pPr>
    </w:p>
    <w:p>
      <w:pPr>
        <w:jc w:val="both"/>
        <w:ind w:left="424" w:right="320" w:hanging="424"/>
        <w:spacing w:after="0" w:line="264" w:lineRule="auto"/>
        <w:tabs>
          <w:tab w:leader="none" w:pos="42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 any investment fund or account managed by any investment fund, or in any successors or Affiliates of the foregoing, or in any person that, directly or indirectly through one or more interposed entities (whether legally or beneficially), holds equity securities or interests in equity securities in any such person;</w:t>
      </w:r>
    </w:p>
    <w:p>
      <w:pPr>
        <w:spacing w:after="0" w:line="11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283" w:name="page284"/>
    <w:bookmarkEnd w:id="283"/>
    <w:p>
      <w:pPr>
        <w:ind w:left="860" w:right="380" w:hanging="424"/>
        <w:spacing w:after="0" w:line="277" w:lineRule="auto"/>
        <w:tabs>
          <w:tab w:leader="none" w:pos="8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Melco, or any of its shareholders or any person that directly, or indirectly through one or more interposed entities (whether legally or beneficially), holds equity securities or interests in equity securities in those shareholders; or</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in any other Shareholder or holder of Upstream Securities whose shares are listed on an internationally recognised stock exchange.</w:t>
      </w:r>
    </w:p>
    <w:p>
      <w:pPr>
        <w:spacing w:after="0" w:line="3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expressed to the contrary, in this document:</w:t>
      </w:r>
    </w:p>
    <w:p>
      <w:pPr>
        <w:spacing w:after="0" w:line="131" w:lineRule="exact"/>
        <w:rPr>
          <w:sz w:val="20"/>
          <w:szCs w:val="20"/>
          <w:color w:val="auto"/>
        </w:rPr>
      </w:pPr>
    </w:p>
    <w:p>
      <w:pPr>
        <w:ind w:left="860" w:hanging="424"/>
        <w:spacing w:after="0"/>
        <w:tabs>
          <w:tab w:leader="none" w:pos="8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gender includes the other genders;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corresponding meanings;</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 xml:space="preserve">includes </w:t>
      </w:r>
      <w:r>
        <w:rPr>
          <w:rFonts w:ascii="Arial" w:cs="Arial" w:eastAsia="Arial" w:hAnsi="Arial"/>
          <w:sz w:val="18"/>
          <w:szCs w:val="18"/>
          <w:color w:val="auto"/>
        </w:rPr>
        <w:t>means includes without limitation;</w:t>
      </w:r>
    </w:p>
    <w:p>
      <w:pPr>
        <w:spacing w:after="0" w:line="134" w:lineRule="exact"/>
        <w:rPr>
          <w:rFonts w:ascii="Arial" w:cs="Arial" w:eastAsia="Arial" w:hAnsi="Arial"/>
          <w:sz w:val="18"/>
          <w:szCs w:val="18"/>
          <w:color w:val="auto"/>
        </w:rPr>
      </w:pPr>
    </w:p>
    <w:p>
      <w:pPr>
        <w:ind w:left="860" w:hanging="424"/>
        <w:spacing w:after="0"/>
        <w:tabs>
          <w:tab w:leader="none" w:pos="8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 rule of construction will apply to a clause to the disadvantage of a party merely because that party put forward the clause;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reference to:</w:t>
      </w:r>
    </w:p>
    <w:p>
      <w:pPr>
        <w:spacing w:after="0" w:line="130" w:lineRule="exact"/>
        <w:rPr>
          <w:rFonts w:ascii="Arial" w:cs="Arial" w:eastAsia="Arial" w:hAnsi="Arial"/>
          <w:sz w:val="18"/>
          <w:szCs w:val="18"/>
          <w:color w:val="auto"/>
        </w:rPr>
      </w:pPr>
    </w:p>
    <w:p>
      <w:pPr>
        <w:ind w:left="1420" w:right="280" w:hanging="538"/>
        <w:spacing w:after="0" w:line="277" w:lineRule="auto"/>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 person includes a partnership, individual, limited liability company, trust, joint venture, unincorporated association, corporation and a Governmental Agency;</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 person or a party includes the person’s legal personal representatives, successors, assigns and persons substituted by novation;</w:t>
      </w:r>
    </w:p>
    <w:p>
      <w:pPr>
        <w:spacing w:after="0" w:line="153" w:lineRule="exact"/>
        <w:rPr>
          <w:rFonts w:ascii="Arial" w:cs="Arial" w:eastAsia="Arial" w:hAnsi="Arial"/>
          <w:sz w:val="16"/>
          <w:szCs w:val="16"/>
          <w:color w:val="auto"/>
        </w:rPr>
      </w:pPr>
    </w:p>
    <w:p>
      <w:pPr>
        <w:ind w:left="1420" w:right="460" w:hanging="538"/>
        <w:spacing w:after="0" w:line="277" w:lineRule="auto"/>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any legislation includes subordinate legislation under it and includes that legislation and subordinate legislation as modified or replaced;</w:t>
      </w:r>
    </w:p>
    <w:p>
      <w:pPr>
        <w:spacing w:after="0" w:line="75" w:lineRule="exact"/>
        <w:rPr>
          <w:rFonts w:ascii="Arial" w:cs="Arial" w:eastAsia="Arial" w:hAnsi="Arial"/>
          <w:sz w:val="18"/>
          <w:szCs w:val="18"/>
          <w:color w:val="auto"/>
        </w:rPr>
      </w:pPr>
    </w:p>
    <w:p>
      <w:pPr>
        <w:ind w:left="1420" w:right="340" w:hanging="538"/>
        <w:spacing w:after="0" w:line="277" w:lineRule="auto"/>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an obligation includes a warranty or representation and a reference to a failure to comply with an obligation includes a breach of warranty or representation;</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 right includes a benefit, remedy, discretion or power;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time is to local time in Hong Kong;</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“US$” or US dollars is a reference to the currency of the United States of America;</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“HK$” or HK dollars is a reference to the currency of Hong Kong;</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this or any other document includes the document as novated, varied or replaced in accordance with the terms hereof and thereof and despite any change in the identity of the parties;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this document includes all schedules, annexures and exhibits to it;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 clause, schedule or annexure is a reference to a clause, schedule or annexure, as the case may be, of this document;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4" w:name="page285"/>
    <w:bookmarkEnd w:id="284"/>
    <w:p>
      <w:pPr>
        <w:ind w:left="1420" w:right="180" w:hanging="538"/>
        <w:spacing w:after="0" w:line="277" w:lineRule="auto"/>
        <w:tabs>
          <w:tab w:leader="none" w:pos="14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reference to a meeting is a meeting in person, by conference telephone or similar equipment, so long as all of the participants can hear each other; and</w:t>
      </w:r>
    </w:p>
    <w:p>
      <w:pPr>
        <w:spacing w:after="0" w:line="75" w:lineRule="exact"/>
        <w:rPr>
          <w:rFonts w:ascii="Arial" w:cs="Arial" w:eastAsia="Arial" w:hAnsi="Arial"/>
          <w:sz w:val="18"/>
          <w:szCs w:val="18"/>
          <w:color w:val="auto"/>
        </w:rPr>
      </w:pPr>
    </w:p>
    <w:p>
      <w:pPr>
        <w:ind w:left="1420" w:right="320" w:hanging="538"/>
        <w:spacing w:after="0" w:line="277" w:lineRule="auto"/>
        <w:tabs>
          <w:tab w:leader="none" w:pos="14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if the number of Securities the Effective Interest in Securities represents is required to be calculated, if the number is not a whole number, that number will rounded up or down, as appropriate, with .5 or greater rounded up;</w:t>
      </w:r>
    </w:p>
    <w:p>
      <w:pPr>
        <w:spacing w:after="0" w:line="75" w:lineRule="exact"/>
        <w:rPr>
          <w:rFonts w:ascii="Arial" w:cs="Arial" w:eastAsia="Arial" w:hAnsi="Arial"/>
          <w:sz w:val="18"/>
          <w:szCs w:val="18"/>
          <w:color w:val="auto"/>
        </w:rPr>
      </w:pPr>
    </w:p>
    <w:p>
      <w:pPr>
        <w:ind w:left="860" w:right="140" w:hanging="424"/>
        <w:spacing w:after="0" w:line="277" w:lineRule="auto"/>
        <w:tabs>
          <w:tab w:leader="none" w:pos="8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the date on or by which any act shall be done under this document is not a Business Day, the act shall be done on or by the next Business Day;</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where time is to be calculated by reference to a day or event, that day or the day of that event is excluded;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schedules and annexures to this document shall be incorporated by reference herein and constitute a part hereof.</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Headings do not affect the interpretation of this document.</w:t>
      </w:r>
    </w:p>
    <w:p>
      <w:pPr>
        <w:spacing w:after="0" w:line="370" w:lineRule="exact"/>
        <w:rPr>
          <w:sz w:val="20"/>
          <w:szCs w:val="20"/>
          <w:color w:val="auto"/>
        </w:rPr>
      </w:pPr>
    </w:p>
    <w:p>
      <w:pPr>
        <w:ind w:right="9360" w:firstLine="4"/>
        <w:spacing w:after="0" w:line="391" w:lineRule="auto"/>
        <w:tabs>
          <w:tab w:leader="none" w:pos="432"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2.1 Melco Directors</w:t>
      </w:r>
    </w:p>
    <w:p>
      <w:pPr>
        <w:ind w:left="860" w:hanging="424"/>
        <w:spacing w:after="0" w:line="256" w:lineRule="auto"/>
        <w:tabs>
          <w:tab w:leader="none" w:pos="8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2.1(b)</w:t>
      </w:r>
      <w:r>
        <w:rPr>
          <w:rFonts w:ascii="Arial" w:cs="Arial" w:eastAsia="Arial" w:hAnsi="Arial"/>
          <w:sz w:val="18"/>
          <w:szCs w:val="18"/>
          <w:color w:val="auto"/>
        </w:rPr>
        <w:t xml:space="preserve">, the Melco Shareholders may appoint, from time to time, by Notice to the Company, one Director so long as they hold in aggregate a number of Securities equal to at least 33% but less than 66% of the Melco Original Share Amount, two Directors for so long as they hold in aggregate a number of Securities equal to at least 66% but less than 99% of the Melco Original Share Amount, and three Directors for so long as they hold in aggregate a number of Securities equal to at least 99% of the Melco Original Share Amount, including to fill vacancies created by removals under </w:t>
      </w:r>
      <w:r>
        <w:rPr>
          <w:rFonts w:ascii="Arial" w:cs="Arial" w:eastAsia="Arial" w:hAnsi="Arial"/>
          <w:sz w:val="18"/>
          <w:szCs w:val="18"/>
          <w:b w:val="1"/>
          <w:bCs w:val="1"/>
          <w:color w:val="auto"/>
        </w:rPr>
        <w:t>clause 2.1(c)</w:t>
      </w:r>
      <w:r>
        <w:rPr>
          <w:rFonts w:ascii="Arial" w:cs="Arial" w:eastAsia="Arial" w:hAnsi="Arial"/>
          <w:sz w:val="18"/>
          <w:szCs w:val="18"/>
          <w:color w:val="auto"/>
        </w:rPr>
        <w:t xml:space="preserve"> or vacancies created under </w:t>
      </w:r>
      <w:r>
        <w:rPr>
          <w:rFonts w:ascii="Arial" w:cs="Arial" w:eastAsia="Arial" w:hAnsi="Arial"/>
          <w:sz w:val="18"/>
          <w:szCs w:val="18"/>
          <w:b w:val="1"/>
          <w:bCs w:val="1"/>
          <w:color w:val="auto"/>
        </w:rPr>
        <w:t>clause 2.4</w:t>
      </w:r>
      <w:r>
        <w:rPr>
          <w:rFonts w:ascii="Arial" w:cs="Arial" w:eastAsia="Arial" w:hAnsi="Arial"/>
          <w:sz w:val="18"/>
          <w:szCs w:val="18"/>
          <w:color w:val="auto"/>
        </w:rPr>
        <w:t xml:space="preserve"> of Directors appointed by the Melco Shareholders.</w:t>
      </w:r>
    </w:p>
    <w:p>
      <w:pPr>
        <w:spacing w:after="0" w:line="93" w:lineRule="exact"/>
        <w:rPr>
          <w:rFonts w:ascii="Arial" w:cs="Arial" w:eastAsia="Arial" w:hAnsi="Arial"/>
          <w:sz w:val="18"/>
          <w:szCs w:val="18"/>
          <w:color w:val="auto"/>
        </w:rPr>
      </w:pPr>
    </w:p>
    <w:p>
      <w:pPr>
        <w:ind w:left="860" w:right="180" w:hanging="424"/>
        <w:spacing w:after="0" w:line="282" w:lineRule="auto"/>
        <w:tabs>
          <w:tab w:leader="none" w:pos="8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Despite </w:t>
      </w:r>
      <w:r>
        <w:rPr>
          <w:rFonts w:ascii="Arial" w:cs="Arial" w:eastAsia="Arial" w:hAnsi="Arial"/>
          <w:sz w:val="18"/>
          <w:szCs w:val="18"/>
          <w:b w:val="1"/>
          <w:bCs w:val="1"/>
          <w:color w:val="auto"/>
        </w:rPr>
        <w:t>clause 2.1(a)</w:t>
      </w:r>
      <w:r>
        <w:rPr>
          <w:rFonts w:ascii="Arial" w:cs="Arial" w:eastAsia="Arial" w:hAnsi="Arial"/>
          <w:sz w:val="18"/>
          <w:szCs w:val="18"/>
          <w:color w:val="auto"/>
        </w:rPr>
        <w:t>, the Melco Shareholders may, from time to time, by notice to the Company, appoint up to three Directors for so long as they hold in aggregate:</w:t>
      </w:r>
    </w:p>
    <w:p>
      <w:pPr>
        <w:spacing w:after="0" w:line="71" w:lineRule="exact"/>
        <w:rPr>
          <w:rFonts w:ascii="Arial" w:cs="Arial" w:eastAsia="Arial" w:hAnsi="Arial"/>
          <w:sz w:val="18"/>
          <w:szCs w:val="18"/>
          <w:color w:val="auto"/>
        </w:rPr>
      </w:pPr>
    </w:p>
    <w:p>
      <w:pPr>
        <w:ind w:left="1420" w:hanging="538"/>
        <w:spacing w:after="0"/>
        <w:tabs>
          <w:tab w:leader="none" w:pos="1420" w:val="left"/>
        </w:tabs>
        <w:numPr>
          <w:ilvl w:val="2"/>
          <w:numId w:val="345"/>
        </w:numPr>
        <w:rPr>
          <w:rFonts w:ascii="Arial" w:cs="Arial" w:eastAsia="Arial" w:hAnsi="Arial"/>
          <w:sz w:val="18"/>
          <w:szCs w:val="18"/>
          <w:color w:val="auto"/>
        </w:rPr>
      </w:pPr>
      <w:r>
        <w:rPr>
          <w:rFonts w:ascii="Arial" w:cs="Arial" w:eastAsia="Arial" w:hAnsi="Arial"/>
          <w:sz w:val="18"/>
          <w:szCs w:val="18"/>
          <w:color w:val="auto"/>
        </w:rPr>
        <w:t>a number of Securities equal to more than 66% of the Melco Original Share Amount; and</w:t>
      </w:r>
    </w:p>
    <w:p>
      <w:pPr>
        <w:spacing w:after="0" w:line="130" w:lineRule="exact"/>
        <w:rPr>
          <w:rFonts w:ascii="Arial" w:cs="Arial" w:eastAsia="Arial" w:hAnsi="Arial"/>
          <w:sz w:val="18"/>
          <w:szCs w:val="18"/>
          <w:color w:val="auto"/>
        </w:rPr>
      </w:pPr>
    </w:p>
    <w:p>
      <w:pPr>
        <w:ind w:left="1420" w:right="160" w:hanging="538"/>
        <w:spacing w:after="0" w:line="264" w:lineRule="auto"/>
        <w:tabs>
          <w:tab w:leader="none" w:pos="1420" w:val="left"/>
        </w:tabs>
        <w:numPr>
          <w:ilvl w:val="2"/>
          <w:numId w:val="345"/>
        </w:numPr>
        <w:rPr>
          <w:rFonts w:ascii="Arial" w:cs="Arial" w:eastAsia="Arial" w:hAnsi="Arial"/>
          <w:sz w:val="18"/>
          <w:szCs w:val="18"/>
          <w:color w:val="auto"/>
        </w:rPr>
      </w:pPr>
      <w:r>
        <w:rPr>
          <w:rFonts w:ascii="Arial" w:cs="Arial" w:eastAsia="Arial" w:hAnsi="Arial"/>
          <w:sz w:val="18"/>
          <w:szCs w:val="18"/>
          <w:color w:val="auto"/>
        </w:rPr>
        <w:t>more Securities in issue than any other Shareholder and its Affiliates to whom Securities have been issued or Transferred in accordance with this document, in the aggregate, provided that for the purposes of this clause 2.1(b)(ii), the depositary bank for the ADSs shall be deemed not to be a Shareholder ;</w:t>
      </w:r>
    </w:p>
    <w:p>
      <w:pPr>
        <w:spacing w:after="0" w:line="69" w:lineRule="exact"/>
        <w:rPr>
          <w:sz w:val="20"/>
          <w:szCs w:val="20"/>
          <w:color w:val="auto"/>
        </w:rPr>
      </w:pPr>
    </w:p>
    <w:p>
      <w:pPr>
        <w:ind w:left="880" w:right="820"/>
        <w:spacing w:after="0" w:line="282" w:lineRule="auto"/>
        <w:rPr>
          <w:sz w:val="20"/>
          <w:szCs w:val="20"/>
          <w:color w:val="auto"/>
        </w:rPr>
      </w:pPr>
      <w:r>
        <w:rPr>
          <w:rFonts w:ascii="Arial" w:cs="Arial" w:eastAsia="Arial" w:hAnsi="Arial"/>
          <w:sz w:val="18"/>
          <w:szCs w:val="18"/>
          <w:color w:val="auto"/>
        </w:rPr>
        <w:t xml:space="preserve">including to fill vacancies created under </w:t>
      </w:r>
      <w:r>
        <w:rPr>
          <w:rFonts w:ascii="Arial" w:cs="Arial" w:eastAsia="Arial" w:hAnsi="Arial"/>
          <w:sz w:val="18"/>
          <w:szCs w:val="18"/>
          <w:b w:val="1"/>
          <w:bCs w:val="1"/>
          <w:color w:val="auto"/>
        </w:rPr>
        <w:t>clause 2.1(c)</w:t>
      </w:r>
      <w:r>
        <w:rPr>
          <w:rFonts w:ascii="Arial" w:cs="Arial" w:eastAsia="Arial" w:hAnsi="Arial"/>
          <w:sz w:val="18"/>
          <w:szCs w:val="18"/>
          <w:color w:val="auto"/>
        </w:rPr>
        <w:t xml:space="preserve">, or vacancies created under </w:t>
      </w:r>
      <w:r>
        <w:rPr>
          <w:rFonts w:ascii="Arial" w:cs="Arial" w:eastAsia="Arial" w:hAnsi="Arial"/>
          <w:sz w:val="18"/>
          <w:szCs w:val="18"/>
          <w:b w:val="1"/>
          <w:bCs w:val="1"/>
          <w:color w:val="auto"/>
        </w:rPr>
        <w:t>clause 2.4</w:t>
      </w:r>
      <w:r>
        <w:rPr>
          <w:rFonts w:ascii="Arial" w:cs="Arial" w:eastAsia="Arial" w:hAnsi="Arial"/>
          <w:sz w:val="18"/>
          <w:szCs w:val="18"/>
          <w:color w:val="auto"/>
        </w:rPr>
        <w:t xml:space="preserve"> of Directors appointed by the Melco Shareholders.</w:t>
      </w:r>
    </w:p>
    <w:p>
      <w:pPr>
        <w:spacing w:after="0" w:line="67" w:lineRule="exact"/>
        <w:rPr>
          <w:sz w:val="20"/>
          <w:szCs w:val="20"/>
          <w:color w:val="auto"/>
        </w:rPr>
      </w:pPr>
    </w:p>
    <w:p>
      <w:pPr>
        <w:ind w:left="860" w:right="40" w:hanging="424"/>
        <w:spacing w:after="0" w:line="282" w:lineRule="auto"/>
        <w:tabs>
          <w:tab w:leader="none" w:pos="8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2.1(d)</w:t>
      </w:r>
      <w:r>
        <w:rPr>
          <w:rFonts w:ascii="Arial" w:cs="Arial" w:eastAsia="Arial" w:hAnsi="Arial"/>
          <w:sz w:val="18"/>
          <w:szCs w:val="18"/>
          <w:color w:val="auto"/>
        </w:rPr>
        <w:t xml:space="preserve">, the Melco Shareholders may remove any Director appointed by them under </w:t>
      </w:r>
      <w:r>
        <w:rPr>
          <w:rFonts w:ascii="Arial" w:cs="Arial" w:eastAsia="Arial" w:hAnsi="Arial"/>
          <w:sz w:val="18"/>
          <w:szCs w:val="18"/>
          <w:b w:val="1"/>
          <w:bCs w:val="1"/>
          <w:color w:val="auto"/>
        </w:rPr>
        <w:t>clauses 2.1(a)</w:t>
      </w:r>
      <w:r>
        <w:rPr>
          <w:rFonts w:ascii="Arial" w:cs="Arial" w:eastAsia="Arial" w:hAnsi="Arial"/>
          <w:sz w:val="18"/>
          <w:szCs w:val="18"/>
          <w:color w:val="auto"/>
        </w:rPr>
        <w:t xml:space="preserve"> or </w:t>
      </w:r>
      <w:r>
        <w:rPr>
          <w:rFonts w:ascii="Arial" w:cs="Arial" w:eastAsia="Arial" w:hAnsi="Arial"/>
          <w:sz w:val="18"/>
          <w:szCs w:val="18"/>
          <w:b w:val="1"/>
          <w:bCs w:val="1"/>
          <w:color w:val="auto"/>
        </w:rPr>
        <w:t>2.1(b)</w:t>
      </w:r>
      <w:r>
        <w:rPr>
          <w:rFonts w:ascii="Arial" w:cs="Arial" w:eastAsia="Arial" w:hAnsi="Arial"/>
          <w:sz w:val="18"/>
          <w:szCs w:val="18"/>
          <w:color w:val="auto"/>
        </w:rPr>
        <w:t xml:space="preserve"> (as applicable) by notice to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85" w:name="page286"/>
    <w:bookmarkEnd w:id="285"/>
    <w:p>
      <w:pPr>
        <w:ind w:left="860" w:right="20" w:hanging="424"/>
        <w:spacing w:after="0" w:line="282" w:lineRule="auto"/>
        <w:tabs>
          <w:tab w:leader="none" w:pos="8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notice under </w:t>
      </w:r>
      <w:r>
        <w:rPr>
          <w:rFonts w:ascii="Arial" w:cs="Arial" w:eastAsia="Arial" w:hAnsi="Arial"/>
          <w:sz w:val="18"/>
          <w:szCs w:val="18"/>
          <w:b w:val="1"/>
          <w:bCs w:val="1"/>
          <w:color w:val="auto"/>
        </w:rPr>
        <w:t>clauses 2.1(a), 2.1(b) or 2.1(c)</w:t>
      </w:r>
      <w:r>
        <w:rPr>
          <w:rFonts w:ascii="Arial" w:cs="Arial" w:eastAsia="Arial" w:hAnsi="Arial"/>
          <w:sz w:val="18"/>
          <w:szCs w:val="18"/>
          <w:color w:val="auto"/>
        </w:rPr>
        <w:t xml:space="preserve"> shall be signed by Shareholders holding a majority of the Securities in issue held by all of the Melco Shareholders as at the date of the notice.</w:t>
      </w:r>
    </w:p>
    <w:p>
      <w:pPr>
        <w:spacing w:after="0" w:line="31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Minority Directors</w:t>
      </w:r>
    </w:p>
    <w:p>
      <w:pPr>
        <w:spacing w:after="0" w:line="135" w:lineRule="exact"/>
        <w:rPr>
          <w:sz w:val="20"/>
          <w:szCs w:val="20"/>
          <w:color w:val="auto"/>
        </w:rPr>
      </w:pPr>
    </w:p>
    <w:p>
      <w:pPr>
        <w:ind w:left="860" w:hanging="424"/>
        <w:spacing w:after="0"/>
        <w:tabs>
          <w:tab w:leader="none" w:pos="8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New Cotai may, for so long as it holds in aggregate, a number of Securities equal to:</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50% or more of the New Cotai Original Share Amount, appoint two Directors; and</w:t>
      </w:r>
    </w:p>
    <w:p>
      <w:pPr>
        <w:spacing w:after="0" w:line="130" w:lineRule="exact"/>
        <w:rPr>
          <w:rFonts w:ascii="Arial" w:cs="Arial" w:eastAsia="Arial" w:hAnsi="Arial"/>
          <w:sz w:val="18"/>
          <w:szCs w:val="18"/>
          <w:color w:val="auto"/>
        </w:rPr>
      </w:pPr>
    </w:p>
    <w:p>
      <w:pPr>
        <w:ind w:left="1420" w:right="40" w:hanging="538"/>
        <w:spacing w:after="0" w:line="297" w:lineRule="auto"/>
        <w:tabs>
          <w:tab w:leader="none" w:pos="142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 xml:space="preserve">25% or more, but less than 50% of the New Cotai Original Share Amount, (y) appoint one Director, including in each case to fill vacancies created by removals under </w:t>
      </w:r>
      <w:r>
        <w:rPr>
          <w:rFonts w:ascii="Arial" w:cs="Arial" w:eastAsia="Arial" w:hAnsi="Arial"/>
          <w:sz w:val="16"/>
          <w:szCs w:val="16"/>
          <w:b w:val="1"/>
          <w:bCs w:val="1"/>
          <w:color w:val="auto"/>
        </w:rPr>
        <w:t>clause 2.2(c)</w:t>
      </w:r>
      <w:r>
        <w:rPr>
          <w:rFonts w:ascii="Arial" w:cs="Arial" w:eastAsia="Arial" w:hAnsi="Arial"/>
          <w:sz w:val="16"/>
          <w:szCs w:val="16"/>
          <w:color w:val="auto"/>
        </w:rPr>
        <w:t xml:space="preserve"> or vacancies created under </w:t>
      </w:r>
      <w:r>
        <w:rPr>
          <w:rFonts w:ascii="Arial" w:cs="Arial" w:eastAsia="Arial" w:hAnsi="Arial"/>
          <w:sz w:val="16"/>
          <w:szCs w:val="16"/>
          <w:b w:val="1"/>
          <w:bCs w:val="1"/>
          <w:color w:val="auto"/>
        </w:rPr>
        <w:t>clause 2.4</w:t>
      </w:r>
      <w:r>
        <w:rPr>
          <w:rFonts w:ascii="Arial" w:cs="Arial" w:eastAsia="Arial" w:hAnsi="Arial"/>
          <w:sz w:val="16"/>
          <w:szCs w:val="16"/>
          <w:color w:val="auto"/>
        </w:rPr>
        <w:t xml:space="preserve"> of Directors appointed by New Cotai</w:t>
      </w:r>
      <w:r>
        <w:rPr>
          <w:rFonts w:ascii="Arial" w:cs="Arial" w:eastAsia="Arial" w:hAnsi="Arial"/>
          <w:sz w:val="16"/>
          <w:szCs w:val="16"/>
          <w:b w:val="1"/>
          <w:bCs w:val="1"/>
          <w:color w:val="auto"/>
        </w:rPr>
        <w:t>,</w:t>
      </w:r>
      <w:r>
        <w:rPr>
          <w:rFonts w:ascii="Arial" w:cs="Arial" w:eastAsia="Arial" w:hAnsi="Arial"/>
          <w:sz w:val="16"/>
          <w:szCs w:val="16"/>
          <w:color w:val="auto"/>
        </w:rPr>
        <w:t xml:space="preserve"> in each case by written notice to the Company; and (z) to the extent not prohibited by applicable Laws or the listing or exchange rules of any stock exchange on which the Securities are listed, appoint one Observer to the Board, including to fill vacancies created by removals under </w:t>
      </w:r>
      <w:r>
        <w:rPr>
          <w:rFonts w:ascii="Arial" w:cs="Arial" w:eastAsia="Arial" w:hAnsi="Arial"/>
          <w:sz w:val="16"/>
          <w:szCs w:val="16"/>
          <w:b w:val="1"/>
          <w:bCs w:val="1"/>
          <w:color w:val="auto"/>
        </w:rPr>
        <w:t>clause 2.2(c)</w:t>
      </w:r>
      <w:r>
        <w:rPr>
          <w:rFonts w:ascii="Arial" w:cs="Arial" w:eastAsia="Arial" w:hAnsi="Arial"/>
          <w:sz w:val="16"/>
          <w:szCs w:val="16"/>
          <w:color w:val="auto"/>
        </w:rPr>
        <w:t xml:space="preserve"> or death or resignation of an Observer, in each case by written notice to the Company.</w:t>
      </w:r>
    </w:p>
    <w:p>
      <w:pPr>
        <w:spacing w:after="0" w:line="59" w:lineRule="exact"/>
        <w:rPr>
          <w:rFonts w:ascii="Arial" w:cs="Arial" w:eastAsia="Arial" w:hAnsi="Arial"/>
          <w:sz w:val="16"/>
          <w:szCs w:val="16"/>
          <w:color w:val="auto"/>
        </w:rPr>
      </w:pPr>
    </w:p>
    <w:p>
      <w:pPr>
        <w:ind w:left="860" w:hanging="424"/>
        <w:spacing w:after="0" w:line="291" w:lineRule="auto"/>
        <w:tabs>
          <w:tab w:leader="none" w:pos="86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New Cotai may, for so long as it has the right to appoint at least one Director pursuant to </w:t>
      </w:r>
      <w:r>
        <w:rPr>
          <w:rFonts w:ascii="Arial" w:cs="Arial" w:eastAsia="Arial" w:hAnsi="Arial"/>
          <w:sz w:val="16"/>
          <w:szCs w:val="16"/>
          <w:b w:val="1"/>
          <w:bCs w:val="1"/>
          <w:color w:val="auto"/>
        </w:rPr>
        <w:t>clause 2.2(a)</w:t>
      </w:r>
      <w:r>
        <w:rPr>
          <w:rFonts w:ascii="Arial" w:cs="Arial" w:eastAsia="Arial" w:hAnsi="Arial"/>
          <w:sz w:val="16"/>
          <w:szCs w:val="16"/>
          <w:color w:val="auto"/>
        </w:rPr>
        <w:t>, appoint a Director (who is already a member of the Board of the Company and appointed pursuant to Clause 2.2(a)) to sit on any committee of the Board (other than (i) a committee formed to evaluate a transaction between the Company and the Minority Shareholders or their Affiliates or (ii) a committee that the Board has determined as a matter of good corporate governance should be comprised solely of independent directors and, at such time, no Director appointed by the Minority Shareholders is independent under applicable stock exchange rules), to the extent any such appointment is not prohibited by applicable Laws or the listing or exchange rules of any stock exchange on which the Securities are listed; provided, however, that a simple majority will be sufficient to approve such committees’ decisions and, provided further, that such Director will not be required to form a quorum at meetings of any committee so long as due notice of the meeting has been provided.</w:t>
      </w:r>
    </w:p>
    <w:p>
      <w:pPr>
        <w:spacing w:after="0" w:line="65" w:lineRule="exact"/>
        <w:rPr>
          <w:rFonts w:ascii="Arial" w:cs="Arial" w:eastAsia="Arial" w:hAnsi="Arial"/>
          <w:sz w:val="16"/>
          <w:szCs w:val="16"/>
          <w:color w:val="auto"/>
        </w:rPr>
      </w:pPr>
    </w:p>
    <w:p>
      <w:pPr>
        <w:ind w:left="860" w:right="180" w:hanging="424"/>
        <w:spacing w:after="0" w:line="282" w:lineRule="auto"/>
        <w:tabs>
          <w:tab w:leader="none" w:pos="8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2.2(d)</w:t>
      </w:r>
      <w:r>
        <w:rPr>
          <w:rFonts w:ascii="Arial" w:cs="Arial" w:eastAsia="Arial" w:hAnsi="Arial"/>
          <w:sz w:val="18"/>
          <w:szCs w:val="18"/>
          <w:color w:val="auto"/>
        </w:rPr>
        <w:t xml:space="preserve">, New Cotai may remove any Director or Observer appointed under </w:t>
      </w:r>
      <w:r>
        <w:rPr>
          <w:rFonts w:ascii="Arial" w:cs="Arial" w:eastAsia="Arial" w:hAnsi="Arial"/>
          <w:sz w:val="18"/>
          <w:szCs w:val="18"/>
          <w:b w:val="1"/>
          <w:bCs w:val="1"/>
          <w:color w:val="auto"/>
        </w:rPr>
        <w:t>clause 2.2(a)</w:t>
      </w:r>
      <w:r>
        <w:rPr>
          <w:rFonts w:ascii="Arial" w:cs="Arial" w:eastAsia="Arial" w:hAnsi="Arial"/>
          <w:sz w:val="18"/>
          <w:szCs w:val="18"/>
          <w:color w:val="auto"/>
        </w:rPr>
        <w:t xml:space="preserve"> or remove from any committee any Director appointed by it to such committee under </w:t>
      </w:r>
      <w:r>
        <w:rPr>
          <w:rFonts w:ascii="Arial" w:cs="Arial" w:eastAsia="Arial" w:hAnsi="Arial"/>
          <w:sz w:val="18"/>
          <w:szCs w:val="18"/>
          <w:b w:val="1"/>
          <w:bCs w:val="1"/>
          <w:color w:val="auto"/>
        </w:rPr>
        <w:t>clause 2.2(b)</w:t>
      </w:r>
      <w:r>
        <w:rPr>
          <w:rFonts w:ascii="Arial" w:cs="Arial" w:eastAsia="Arial" w:hAnsi="Arial"/>
          <w:sz w:val="18"/>
          <w:szCs w:val="18"/>
          <w:color w:val="auto"/>
        </w:rPr>
        <w:t xml:space="preserve"> by notice to the Company.</w:t>
      </w:r>
    </w:p>
    <w:p>
      <w:pPr>
        <w:spacing w:after="0" w:line="67" w:lineRule="exact"/>
        <w:rPr>
          <w:rFonts w:ascii="Arial" w:cs="Arial" w:eastAsia="Arial" w:hAnsi="Arial"/>
          <w:sz w:val="18"/>
          <w:szCs w:val="18"/>
          <w:color w:val="auto"/>
        </w:rPr>
      </w:pPr>
    </w:p>
    <w:p>
      <w:pPr>
        <w:ind w:left="860" w:hanging="424"/>
        <w:spacing w:after="0"/>
        <w:tabs>
          <w:tab w:leader="none" w:pos="8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Any notice under </w:t>
      </w:r>
      <w:r>
        <w:rPr>
          <w:rFonts w:ascii="Arial" w:cs="Arial" w:eastAsia="Arial" w:hAnsi="Arial"/>
          <w:sz w:val="18"/>
          <w:szCs w:val="18"/>
          <w:b w:val="1"/>
          <w:bCs w:val="1"/>
          <w:color w:val="auto"/>
        </w:rPr>
        <w:t>clauses 2.2(a), 2.2(b) or 2.2(c)</w:t>
      </w:r>
      <w:r>
        <w:rPr>
          <w:rFonts w:ascii="Arial" w:cs="Arial" w:eastAsia="Arial" w:hAnsi="Arial"/>
          <w:sz w:val="18"/>
          <w:szCs w:val="18"/>
          <w:color w:val="auto"/>
        </w:rPr>
        <w:t xml:space="preserve"> shall be signed by New Cotai.</w:t>
      </w:r>
    </w:p>
    <w:p>
      <w:pPr>
        <w:spacing w:after="0" w:line="130" w:lineRule="exact"/>
        <w:rPr>
          <w:rFonts w:ascii="Arial" w:cs="Arial" w:eastAsia="Arial" w:hAnsi="Arial"/>
          <w:sz w:val="18"/>
          <w:szCs w:val="18"/>
          <w:color w:val="auto"/>
        </w:rPr>
      </w:pPr>
    </w:p>
    <w:p>
      <w:pPr>
        <w:ind w:left="860" w:right="300" w:hanging="424"/>
        <w:spacing w:after="0" w:line="282" w:lineRule="auto"/>
        <w:tabs>
          <w:tab w:leader="none" w:pos="8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New Cotai’s rights under </w:t>
      </w:r>
      <w:r>
        <w:rPr>
          <w:rFonts w:ascii="Arial" w:cs="Arial" w:eastAsia="Arial" w:hAnsi="Arial"/>
          <w:sz w:val="18"/>
          <w:szCs w:val="18"/>
          <w:b w:val="1"/>
          <w:bCs w:val="1"/>
          <w:color w:val="auto"/>
        </w:rPr>
        <w:t>clauses 2.2(a) through 2.2(d)</w:t>
      </w:r>
      <w:r>
        <w:rPr>
          <w:rFonts w:ascii="Arial" w:cs="Arial" w:eastAsia="Arial" w:hAnsi="Arial"/>
          <w:sz w:val="18"/>
          <w:szCs w:val="18"/>
          <w:color w:val="auto"/>
        </w:rPr>
        <w:t xml:space="preserve"> shall terminate at such time when New Cotai no longer holds at least 5% of the Securities in issue.</w:t>
      </w:r>
    </w:p>
    <w:p>
      <w:pPr>
        <w:spacing w:after="0" w:line="71" w:lineRule="exact"/>
        <w:rPr>
          <w:rFonts w:ascii="Arial" w:cs="Arial" w:eastAsia="Arial" w:hAnsi="Arial"/>
          <w:sz w:val="18"/>
          <w:szCs w:val="18"/>
          <w:color w:val="auto"/>
        </w:rPr>
      </w:pPr>
    </w:p>
    <w:p>
      <w:pPr>
        <w:ind w:left="860" w:right="60" w:hanging="424"/>
        <w:spacing w:after="0" w:line="302" w:lineRule="auto"/>
        <w:tabs>
          <w:tab w:leader="none" w:pos="86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New Cotai shall amend Schedule II from time to time to ensure, at all times, that (i) it only includes Shareholders that satisfy the definition of Minority Shareholders herein, (ii) the number of Class B Ordinary Shares and/or Exchange Shares set out next to each Minority Shareholder in Schedule II is accurate and (iii) the number of Minority Shareholders does not exceed twenty-five (25). The amendment of Schedule II will be effective upon the receipt by Melco and the Company of a copy of such amendment in accordance with </w:t>
      </w:r>
      <w:r>
        <w:rPr>
          <w:rFonts w:ascii="Arial" w:cs="Arial" w:eastAsia="Arial" w:hAnsi="Arial"/>
          <w:sz w:val="16"/>
          <w:szCs w:val="16"/>
          <w:b w:val="1"/>
          <w:bCs w:val="1"/>
          <w:color w:val="auto"/>
        </w:rPr>
        <w:t>clause 10.7</w:t>
      </w:r>
      <w:r>
        <w:rPr>
          <w:rFonts w:ascii="Arial" w:cs="Arial" w:eastAsia="Arial" w:hAnsi="Arial"/>
          <w:sz w:val="16"/>
          <w:szCs w:val="16"/>
          <w:color w:val="auto"/>
        </w:rPr>
        <w:t>.</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0" w:right="539" w:bottom="1440" w:gutter="0" w:footer="0" w:header="0"/>
        </w:sectPr>
      </w:pPr>
    </w:p>
    <w:bookmarkStart w:id="286" w:name="page287"/>
    <w:bookmarkEnd w:id="286"/>
    <w:p>
      <w:pPr>
        <w:ind w:left="860" w:hanging="424"/>
        <w:spacing w:after="0"/>
        <w:tabs>
          <w:tab w:leader="none" w:pos="860" w:val="left"/>
        </w:tabs>
        <w:numPr>
          <w:ilvl w:val="0"/>
          <w:numId w:val="3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Cotai represents and warrants to the Company and Melco on the date hereof and on the date of each amendment of Schedule II that</w:t>
      </w:r>
    </w:p>
    <w:p>
      <w:pPr>
        <w:spacing w:after="0" w:line="46" w:lineRule="exact"/>
        <w:rPr>
          <w:rFonts w:ascii="Arial" w:cs="Arial" w:eastAsia="Arial" w:hAnsi="Arial"/>
          <w:sz w:val="16"/>
          <w:szCs w:val="16"/>
          <w:color w:val="auto"/>
        </w:rPr>
      </w:pPr>
    </w:p>
    <w:p>
      <w:pPr>
        <w:ind w:left="860"/>
        <w:spacing w:after="0" w:line="268" w:lineRule="auto"/>
        <w:rPr>
          <w:rFonts w:ascii="Arial" w:cs="Arial" w:eastAsia="Arial" w:hAnsi="Arial"/>
          <w:sz w:val="16"/>
          <w:szCs w:val="16"/>
          <w:color w:val="auto"/>
        </w:rPr>
      </w:pPr>
      <w:r>
        <w:rPr>
          <w:rFonts w:ascii="Arial" w:cs="Arial" w:eastAsia="Arial" w:hAnsi="Arial"/>
          <w:sz w:val="17"/>
          <w:szCs w:val="17"/>
          <w:color w:val="auto"/>
        </w:rPr>
        <w:t>(i) each Minority Shareholder set out in Schedule II is a Permitted Transferee, (ii) Schedule II accurately sets out the number of Class B Ordinary Shares and Exchange Shares held by each of the Minority Shareholders, and (iii) each Minority Shareholder acquired and holds the Exchange Shares set out next to such Minority Shareholder’s name in Schedule II either (x) as a result of exercising (including in connection with a Mandatory Exchange (as defined in the Participation Agreement) its Exchange Rights pursuant to which Class A Ordinary Shares were received, or (y) through a transfer from New Cotai or another Permitted Transferee, who in either case acquired them as described in the immediately preceding clause (x) and subsequently transferred them to such Shareholder directly or indirectly through multiple transfers (on successive occasions) so long as (aa) each of such transfers were made by and between a transferor and transferee who were, at the time of such subsequent transfers, Permitted Transferees and (bb) there were no other intervening Transfers of such Class A Ordinary Shares that were not between Permitted Transferees.</w:t>
      </w:r>
    </w:p>
    <w:p>
      <w:pPr>
        <w:spacing w:after="0" w:line="3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Eligibility and rights of Observers</w:t>
      </w:r>
    </w:p>
    <w:p>
      <w:pPr>
        <w:spacing w:after="0" w:line="135" w:lineRule="exact"/>
        <w:rPr>
          <w:sz w:val="20"/>
          <w:szCs w:val="20"/>
          <w:color w:val="auto"/>
        </w:rPr>
      </w:pPr>
    </w:p>
    <w:p>
      <w:pPr>
        <w:ind w:left="860" w:hanging="424"/>
        <w:spacing w:after="0"/>
        <w:tabs>
          <w:tab w:leader="none" w:pos="8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An Observer is entitled to attend each meeting of the Board.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An Observer shall be given the same notice of each meeting of the Board, at the same time and in the same form, as given to the Directors.</w:t>
      </w:r>
    </w:p>
    <w:p>
      <w:pPr>
        <w:spacing w:after="0" w:line="153" w:lineRule="exact"/>
        <w:rPr>
          <w:rFonts w:ascii="Arial" w:cs="Arial" w:eastAsia="Arial" w:hAnsi="Arial"/>
          <w:sz w:val="16"/>
          <w:szCs w:val="16"/>
          <w:color w:val="auto"/>
        </w:rPr>
      </w:pPr>
    </w:p>
    <w:p>
      <w:pPr>
        <w:ind w:left="860" w:right="420" w:hanging="424"/>
        <w:spacing w:after="0" w:line="277" w:lineRule="auto"/>
        <w:tabs>
          <w:tab w:leader="none" w:pos="8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An Observer shall be provided with all of the information provided to Directors at the same time as such information is provided to the Directors, including all board packs, agendas and any information to be presented to the Board.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An Observer is not entitled to vote at meetings of the Board.</w:t>
      </w:r>
    </w:p>
    <w:p>
      <w:pPr>
        <w:spacing w:after="0" w:line="126" w:lineRule="exact"/>
        <w:rPr>
          <w:rFonts w:ascii="Arial" w:cs="Arial" w:eastAsia="Arial" w:hAnsi="Arial"/>
          <w:sz w:val="18"/>
          <w:szCs w:val="18"/>
          <w:color w:val="auto"/>
        </w:rPr>
      </w:pPr>
    </w:p>
    <w:p>
      <w:pPr>
        <w:ind w:left="860" w:right="40" w:hanging="424"/>
        <w:spacing w:after="0" w:line="347" w:lineRule="auto"/>
        <w:tabs>
          <w:tab w:leader="none" w:pos="86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It is a condition of the designation of an Observer under </w:t>
      </w:r>
      <w:r>
        <w:rPr>
          <w:rFonts w:ascii="Arial" w:cs="Arial" w:eastAsia="Arial" w:hAnsi="Arial"/>
          <w:sz w:val="16"/>
          <w:szCs w:val="16"/>
          <w:b w:val="1"/>
          <w:bCs w:val="1"/>
          <w:color w:val="auto"/>
        </w:rPr>
        <w:t>clause 2.2(a)</w:t>
      </w:r>
      <w:r>
        <w:rPr>
          <w:rFonts w:ascii="Arial" w:cs="Arial" w:eastAsia="Arial" w:hAnsi="Arial"/>
          <w:sz w:val="16"/>
          <w:szCs w:val="16"/>
          <w:color w:val="auto"/>
        </w:rPr>
        <w:t xml:space="preserve"> that the Observer enters into, or is already covered by, a confidentiality deed with the Company on terms substantially the same as the Confidentiality Deed or otherwise acceptable to the Company.</w:t>
      </w:r>
    </w:p>
    <w:p>
      <w:pPr>
        <w:spacing w:after="0" w:line="26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Vacation of office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 of a Director will be vacated if:</w:t>
      </w:r>
    </w:p>
    <w:p>
      <w:pPr>
        <w:spacing w:after="0" w:line="131" w:lineRule="exact"/>
        <w:rPr>
          <w:sz w:val="20"/>
          <w:szCs w:val="20"/>
          <w:color w:val="auto"/>
        </w:rPr>
      </w:pPr>
    </w:p>
    <w:p>
      <w:pPr>
        <w:ind w:left="860" w:hanging="424"/>
        <w:spacing w:after="0"/>
        <w:tabs>
          <w:tab w:leader="none" w:pos="8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 Director resigns his office by notice in writing to the Company;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 Director dies;</w:t>
      </w:r>
    </w:p>
    <w:p>
      <w:pPr>
        <w:spacing w:after="0" w:line="130" w:lineRule="exact"/>
        <w:rPr>
          <w:rFonts w:ascii="Arial" w:cs="Arial" w:eastAsia="Arial" w:hAnsi="Arial"/>
          <w:sz w:val="18"/>
          <w:szCs w:val="18"/>
          <w:color w:val="auto"/>
        </w:rPr>
      </w:pPr>
    </w:p>
    <w:p>
      <w:pPr>
        <w:ind w:left="860" w:right="720" w:hanging="424"/>
        <w:spacing w:after="0" w:line="308" w:lineRule="auto"/>
        <w:tabs>
          <w:tab w:leader="none" w:pos="8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an order is made by any competent court or official on the grounds that a Director is or may be suffering from mental disorder or is otherwise incapable of managing his affairs and a majority of the Directors resolve that his office be vacated;</w:t>
      </w:r>
    </w:p>
    <w:p>
      <w:pPr>
        <w:spacing w:after="0" w:line="51" w:lineRule="exact"/>
        <w:rPr>
          <w:rFonts w:ascii="Arial" w:cs="Arial" w:eastAsia="Arial" w:hAnsi="Arial"/>
          <w:sz w:val="17"/>
          <w:szCs w:val="17"/>
          <w:color w:val="auto"/>
        </w:rPr>
      </w:pPr>
    </w:p>
    <w:p>
      <w:pPr>
        <w:ind w:left="860" w:right="420" w:hanging="424"/>
        <w:spacing w:after="0" w:line="277" w:lineRule="auto"/>
        <w:tabs>
          <w:tab w:leader="none" w:pos="8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without leave, a Director is absent from meetings of the Board (unless an alternate Director appointed by him attends in his place) for a continuous period of 6 months, and a majority of the Directors resolve that his office be vacated;</w:t>
      </w:r>
    </w:p>
    <w:p>
      <w:pPr>
        <w:spacing w:after="0" w:line="75" w:lineRule="exact"/>
        <w:rPr>
          <w:rFonts w:ascii="Arial" w:cs="Arial" w:eastAsia="Arial" w:hAnsi="Arial"/>
          <w:sz w:val="18"/>
          <w:szCs w:val="18"/>
          <w:color w:val="auto"/>
        </w:rPr>
      </w:pPr>
    </w:p>
    <w:p>
      <w:pPr>
        <w:ind w:left="5420" w:right="320" w:hanging="4984"/>
        <w:spacing w:after="0" w:line="449" w:lineRule="auto"/>
        <w:tabs>
          <w:tab w:leader="none" w:pos="86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 Director becomes bankrupt or has a receiving order made against him or suspends payment or compounds with his creditors generally; 12</w:t>
      </w:r>
    </w:p>
    <w:p>
      <w:pPr>
        <w:sectPr>
          <w:pgSz w:w="11900" w:h="16838" w:orient="portrait"/>
          <w:cols w:equalWidth="0" w:num="1">
            <w:col w:w="11020"/>
          </w:cols>
          <w:pgMar w:left="440" w:top="274" w:right="439" w:bottom="1440" w:gutter="0" w:footer="0" w:header="0"/>
        </w:sectPr>
      </w:pPr>
    </w:p>
    <w:bookmarkStart w:id="287" w:name="page288"/>
    <w:bookmarkEnd w:id="287"/>
    <w:p>
      <w:pPr>
        <w:ind w:left="860" w:right="400" w:hanging="424"/>
        <w:spacing w:after="0" w:line="277" w:lineRule="auto"/>
        <w:tabs>
          <w:tab w:leader="none" w:pos="8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Director ceases to be or is prohibited from being a Director by law or by virtue of any provisions in the Memorandum and Articles of Association;</w:t>
      </w:r>
    </w:p>
    <w:p>
      <w:pPr>
        <w:spacing w:after="0" w:line="75" w:lineRule="exact"/>
        <w:rPr>
          <w:rFonts w:ascii="Arial" w:cs="Arial" w:eastAsia="Arial" w:hAnsi="Arial"/>
          <w:sz w:val="18"/>
          <w:szCs w:val="18"/>
          <w:color w:val="auto"/>
        </w:rPr>
      </w:pPr>
    </w:p>
    <w:p>
      <w:pPr>
        <w:ind w:left="860" w:right="160" w:hanging="424"/>
        <w:spacing w:after="0" w:line="264" w:lineRule="auto"/>
        <w:tabs>
          <w:tab w:leader="none" w:pos="8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a Director is removed from office by notice in writing served upon him signed by not less than a majority in number (or, if that is not a round number, the nearest lower round number) of the Directors (including himself) then in office; provided that a Director appointed by a Shareholder may only be removed by that Shareholder pursuant to </w:t>
      </w:r>
      <w:r>
        <w:rPr>
          <w:rFonts w:ascii="Arial" w:cs="Arial" w:eastAsia="Arial" w:hAnsi="Arial"/>
          <w:sz w:val="18"/>
          <w:szCs w:val="18"/>
          <w:b w:val="1"/>
          <w:bCs w:val="1"/>
          <w:color w:val="auto"/>
        </w:rPr>
        <w:t>clauses 2.1, 2.2 and 2.5</w:t>
      </w:r>
      <w:r>
        <w:rPr>
          <w:rFonts w:ascii="Arial" w:cs="Arial" w:eastAsia="Arial" w:hAnsi="Arial"/>
          <w:sz w:val="18"/>
          <w:szCs w:val="18"/>
          <w:color w:val="auto"/>
        </w:rPr>
        <w:t>; or</w:t>
      </w:r>
    </w:p>
    <w:p>
      <w:pPr>
        <w:spacing w:after="0" w:line="82" w:lineRule="exact"/>
        <w:rPr>
          <w:rFonts w:ascii="Arial" w:cs="Arial" w:eastAsia="Arial" w:hAnsi="Arial"/>
          <w:sz w:val="18"/>
          <w:szCs w:val="18"/>
          <w:color w:val="auto"/>
        </w:rPr>
      </w:pPr>
    </w:p>
    <w:p>
      <w:pPr>
        <w:ind w:left="860" w:hanging="424"/>
        <w:spacing w:after="0"/>
        <w:tabs>
          <w:tab w:leader="none" w:pos="8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a Director is removed under </w:t>
      </w:r>
      <w:r>
        <w:rPr>
          <w:rFonts w:ascii="Arial" w:cs="Arial" w:eastAsia="Arial" w:hAnsi="Arial"/>
          <w:sz w:val="18"/>
          <w:szCs w:val="18"/>
          <w:b w:val="1"/>
          <w:bCs w:val="1"/>
          <w:color w:val="auto"/>
        </w:rPr>
        <w:t>clause 2.1(c)</w:t>
      </w:r>
      <w:r>
        <w:rPr>
          <w:rFonts w:ascii="Arial" w:cs="Arial" w:eastAsia="Arial" w:hAnsi="Arial"/>
          <w:sz w:val="18"/>
          <w:szCs w:val="18"/>
          <w:color w:val="auto"/>
        </w:rPr>
        <w:t xml:space="preserve"> or </w:t>
      </w:r>
      <w:r>
        <w:rPr>
          <w:rFonts w:ascii="Arial" w:cs="Arial" w:eastAsia="Arial" w:hAnsi="Arial"/>
          <w:sz w:val="18"/>
          <w:szCs w:val="18"/>
          <w:b w:val="1"/>
          <w:bCs w:val="1"/>
          <w:color w:val="auto"/>
        </w:rPr>
        <w:t>2.2(c)</w:t>
      </w:r>
      <w:r>
        <w:rPr>
          <w:rFonts w:ascii="Arial" w:cs="Arial" w:eastAsia="Arial" w:hAnsi="Arial"/>
          <w:sz w:val="18"/>
          <w:szCs w:val="18"/>
          <w:color w:val="auto"/>
        </w:rPr>
        <w:t xml:space="preserve"> (as applicable);</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Removal of Directors</w:t>
      </w:r>
    </w:p>
    <w:p>
      <w:pPr>
        <w:spacing w:after="0" w:line="131" w:lineRule="exact"/>
        <w:rPr>
          <w:sz w:val="20"/>
          <w:szCs w:val="20"/>
          <w:color w:val="auto"/>
        </w:rPr>
      </w:pPr>
    </w:p>
    <w:p>
      <w:pPr>
        <w:ind w:left="860" w:right="40" w:hanging="424"/>
        <w:spacing w:after="0" w:line="266" w:lineRule="auto"/>
        <w:tabs>
          <w:tab w:leader="none" w:pos="8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If the number of Directors appointed by a person under </w:t>
      </w:r>
      <w:r>
        <w:rPr>
          <w:rFonts w:ascii="Arial" w:cs="Arial" w:eastAsia="Arial" w:hAnsi="Arial"/>
          <w:sz w:val="18"/>
          <w:szCs w:val="18"/>
          <w:b w:val="1"/>
          <w:bCs w:val="1"/>
          <w:color w:val="auto"/>
        </w:rPr>
        <w:t>clauses 2.1</w:t>
      </w:r>
      <w:r>
        <w:rPr>
          <w:rFonts w:ascii="Arial" w:cs="Arial" w:eastAsia="Arial" w:hAnsi="Arial"/>
          <w:sz w:val="18"/>
          <w:szCs w:val="18"/>
          <w:color w:val="auto"/>
        </w:rPr>
        <w:t xml:space="preserve"> or </w:t>
      </w:r>
      <w:r>
        <w:rPr>
          <w:rFonts w:ascii="Arial" w:cs="Arial" w:eastAsia="Arial" w:hAnsi="Arial"/>
          <w:sz w:val="18"/>
          <w:szCs w:val="18"/>
          <w:b w:val="1"/>
          <w:bCs w:val="1"/>
          <w:color w:val="auto"/>
        </w:rPr>
        <w:t>2.2</w:t>
      </w:r>
      <w:r>
        <w:rPr>
          <w:rFonts w:ascii="Arial" w:cs="Arial" w:eastAsia="Arial" w:hAnsi="Arial"/>
          <w:sz w:val="18"/>
          <w:szCs w:val="18"/>
          <w:color w:val="auto"/>
        </w:rPr>
        <w:t xml:space="preserve"> is greater than the number of Directors entitled to be appointed by that person under the relevant clause, then that person shall, within two Business Days of ceasing to be so entitled, give notice to the Company removing that number of Directors in excess of its entitlement.</w:t>
      </w:r>
    </w:p>
    <w:p>
      <w:pPr>
        <w:spacing w:after="0" w:line="81" w:lineRule="exact"/>
        <w:rPr>
          <w:rFonts w:ascii="Arial" w:cs="Arial" w:eastAsia="Arial" w:hAnsi="Arial"/>
          <w:sz w:val="18"/>
          <w:szCs w:val="18"/>
          <w:color w:val="auto"/>
        </w:rPr>
      </w:pPr>
    </w:p>
    <w:p>
      <w:pPr>
        <w:ind w:left="860" w:right="160" w:hanging="424"/>
        <w:spacing w:after="0" w:line="347" w:lineRule="auto"/>
        <w:tabs>
          <w:tab w:leader="none" w:pos="8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If any person to whom </w:t>
      </w:r>
      <w:r>
        <w:rPr>
          <w:rFonts w:ascii="Arial" w:cs="Arial" w:eastAsia="Arial" w:hAnsi="Arial"/>
          <w:sz w:val="16"/>
          <w:szCs w:val="16"/>
          <w:b w:val="1"/>
          <w:bCs w:val="1"/>
          <w:color w:val="auto"/>
        </w:rPr>
        <w:t>clause 2.5(a)</w:t>
      </w:r>
      <w:r>
        <w:rPr>
          <w:rFonts w:ascii="Arial" w:cs="Arial" w:eastAsia="Arial" w:hAnsi="Arial"/>
          <w:sz w:val="16"/>
          <w:szCs w:val="16"/>
          <w:color w:val="auto"/>
        </w:rPr>
        <w:t xml:space="preserve"> applies does not give notice removing the required number of Directors within the period specified in that clause, any person entitled to appoint a Director under </w:t>
      </w:r>
      <w:r>
        <w:rPr>
          <w:rFonts w:ascii="Arial" w:cs="Arial" w:eastAsia="Arial" w:hAnsi="Arial"/>
          <w:sz w:val="16"/>
          <w:szCs w:val="16"/>
          <w:b w:val="1"/>
          <w:bCs w:val="1"/>
          <w:color w:val="auto"/>
        </w:rPr>
        <w:t>clauses 2.1</w:t>
      </w:r>
      <w:r>
        <w:rPr>
          <w:rFonts w:ascii="Arial" w:cs="Arial" w:eastAsia="Arial" w:hAnsi="Arial"/>
          <w:sz w:val="16"/>
          <w:szCs w:val="16"/>
          <w:color w:val="auto"/>
        </w:rPr>
        <w:t xml:space="preserve"> or </w:t>
      </w:r>
      <w:r>
        <w:rPr>
          <w:rFonts w:ascii="Arial" w:cs="Arial" w:eastAsia="Arial" w:hAnsi="Arial"/>
          <w:sz w:val="16"/>
          <w:szCs w:val="16"/>
          <w:b w:val="1"/>
          <w:bCs w:val="1"/>
          <w:color w:val="auto"/>
        </w:rPr>
        <w:t>2.2</w:t>
      </w:r>
      <w:r>
        <w:rPr>
          <w:rFonts w:ascii="Arial" w:cs="Arial" w:eastAsia="Arial" w:hAnsi="Arial"/>
          <w:sz w:val="16"/>
          <w:szCs w:val="16"/>
          <w:color w:val="auto"/>
        </w:rPr>
        <w:t xml:space="preserve"> may give such a notice removing any such Directors.</w:t>
      </w:r>
    </w:p>
    <w:p>
      <w:pPr>
        <w:spacing w:after="0" w:line="26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Alternate directors</w:t>
      </w:r>
    </w:p>
    <w:p>
      <w:pPr>
        <w:spacing w:after="0" w:line="135" w:lineRule="exact"/>
        <w:rPr>
          <w:sz w:val="20"/>
          <w:szCs w:val="20"/>
          <w:color w:val="auto"/>
        </w:rPr>
      </w:pPr>
    </w:p>
    <w:p>
      <w:pPr>
        <w:ind w:left="860" w:right="180" w:hanging="424"/>
        <w:spacing w:after="0" w:line="277" w:lineRule="auto"/>
        <w:tabs>
          <w:tab w:leader="none" w:pos="8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 Director (other than any independent Director under applicable stock exchange rules) may, with the prior written approval of the Board, appoint an alternate director by notice to the Company.</w:t>
      </w:r>
    </w:p>
    <w:p>
      <w:pPr>
        <w:spacing w:after="0" w:line="75" w:lineRule="exact"/>
        <w:rPr>
          <w:rFonts w:ascii="Arial" w:cs="Arial" w:eastAsia="Arial" w:hAnsi="Arial"/>
          <w:sz w:val="18"/>
          <w:szCs w:val="18"/>
          <w:color w:val="auto"/>
        </w:rPr>
      </w:pPr>
    </w:p>
    <w:p>
      <w:pPr>
        <w:ind w:left="860" w:right="560" w:hanging="424"/>
        <w:spacing w:after="0" w:line="277" w:lineRule="auto"/>
        <w:tabs>
          <w:tab w:leader="none" w:pos="8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 alternate director may attend any Board meeting and vote on any resolution of the Board provided the Director that appointed the alternate is not present at the meeting and is a Director at the time of the meeting.</w:t>
      </w:r>
    </w:p>
    <w:p>
      <w:pPr>
        <w:spacing w:after="0" w:line="75" w:lineRule="exact"/>
        <w:rPr>
          <w:rFonts w:ascii="Arial" w:cs="Arial" w:eastAsia="Arial" w:hAnsi="Arial"/>
          <w:sz w:val="18"/>
          <w:szCs w:val="18"/>
          <w:color w:val="auto"/>
        </w:rPr>
      </w:pPr>
    </w:p>
    <w:p>
      <w:pPr>
        <w:ind w:left="860" w:right="360" w:hanging="424"/>
        <w:spacing w:after="0" w:line="277" w:lineRule="auto"/>
        <w:tabs>
          <w:tab w:leader="none" w:pos="8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 alternate director is entitled to a separate vote for each Director the alternate director represents in addition to any vote that alternate director may have as a Director if that alternate director is also a Director.</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Director duties</w:t>
      </w:r>
    </w:p>
    <w:p>
      <w:pPr>
        <w:spacing w:after="0" w:line="12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Each Director and director of a Company Subsidiary shall be required to have regard to, and act in the best interests of, the Company and all of its Shareholders; provided that, to the maximum extent permitted by law and without detracting from or limiting the foregoing obligation, Directors and directors of Company Subsidiaries shall be permitted to also have regard to the interests of the Shareholder Group that appointed that Director in carrying out his or her duties as a Director or a director of any Company Subsidiary to the extent that those interests are consistent with the best interests of the Company and all of its Shareholders.</w:t>
      </w:r>
    </w:p>
    <w:p>
      <w:pPr>
        <w:spacing w:after="0" w:line="33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Fees and expenses of Directors</w:t>
      </w:r>
    </w:p>
    <w:p>
      <w:pPr>
        <w:spacing w:after="0" w:line="135" w:lineRule="exact"/>
        <w:rPr>
          <w:sz w:val="20"/>
          <w:szCs w:val="20"/>
          <w:color w:val="auto"/>
        </w:rPr>
      </w:pPr>
    </w:p>
    <w:p>
      <w:pPr>
        <w:ind w:left="860" w:hanging="424"/>
        <w:spacing w:after="0"/>
        <w:tabs>
          <w:tab w:leader="none" w:pos="8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88" w:name="page289"/>
    <w:bookmarkEnd w:id="288"/>
    <w:p>
      <w:pPr>
        <w:ind w:left="1420" w:right="120" w:hanging="538"/>
        <w:spacing w:after="0" w:line="264" w:lineRule="auto"/>
        <w:tabs>
          <w:tab w:leader="none" w:pos="14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 the reasonable expenses properly incurred by Directors in relation to the business of the Group, including accommodation expenses in travelling to and from meetings of the Board or any committee of the Board, any Group Company, or any committee of any such company, and provided such expenses are supported by valid receipts; and</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pay the cost of any insurance policies taken out by the Company in respect of the Directors.</w:t>
      </w:r>
    </w:p>
    <w:p>
      <w:pPr>
        <w:spacing w:after="0" w:line="130" w:lineRule="exact"/>
        <w:rPr>
          <w:rFonts w:ascii="Arial" w:cs="Arial" w:eastAsia="Arial" w:hAnsi="Arial"/>
          <w:sz w:val="18"/>
          <w:szCs w:val="18"/>
          <w:color w:val="auto"/>
        </w:rPr>
      </w:pPr>
    </w:p>
    <w:p>
      <w:pPr>
        <w:ind w:left="860" w:right="260" w:hanging="424"/>
        <w:spacing w:after="0" w:line="277" w:lineRule="auto"/>
        <w:tabs>
          <w:tab w:leader="none" w:pos="8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 Director that is not independent within the meaning of the listing or exchange rules of any stock exchange on which the Securities are listed is entitled to be paid any fees in connection with his or her appointment or role as a Director.</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D&amp;O Policy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shall:</w:t>
      </w:r>
    </w:p>
    <w:p>
      <w:pPr>
        <w:spacing w:after="0" w:line="131" w:lineRule="exact"/>
        <w:rPr>
          <w:sz w:val="20"/>
          <w:szCs w:val="20"/>
          <w:color w:val="auto"/>
        </w:rPr>
      </w:pPr>
    </w:p>
    <w:p>
      <w:pPr>
        <w:jc w:val="both"/>
        <w:ind w:left="860" w:right="180" w:hanging="424"/>
        <w:spacing w:after="0" w:line="264" w:lineRule="auto"/>
        <w:tabs>
          <w:tab w:leader="none" w:pos="8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maintain a D&amp;O Policy in respect of each Director and each director of a Company Subsidiary that provides a level of coverage consistent with that maintained by similarly sized companies that engage in activities similar to those undertaken by the Company and the Company Subsidiaries; and</w:t>
      </w:r>
    </w:p>
    <w:p>
      <w:pPr>
        <w:spacing w:after="0" w:line="86" w:lineRule="exact"/>
        <w:rPr>
          <w:rFonts w:ascii="Arial" w:cs="Arial" w:eastAsia="Arial" w:hAnsi="Arial"/>
          <w:sz w:val="18"/>
          <w:szCs w:val="18"/>
          <w:color w:val="auto"/>
        </w:rPr>
      </w:pPr>
    </w:p>
    <w:p>
      <w:pPr>
        <w:ind w:left="860" w:right="20" w:hanging="424"/>
        <w:spacing w:after="0" w:line="277" w:lineRule="auto"/>
        <w:tabs>
          <w:tab w:leader="none" w:pos="8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pay the premiums in respect of that D&amp;O Policy in relation to the Director’s term in office and for six years after the expiry of the Director’s term (to the maximum extent permitted by Law).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Indemnity deed</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Each Group member shall enter into a deed of access and indemnity with each director of such a company (on terms acceptable to the Board) under which it indemnifies the directors to the maximum extent permitted by Law and gives each director a right (subject to certain limitations) to have access to and make copies of Board papers and minutes in respect of the period during which the relevant director is or was a director of such a company.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Post IPO</w:t>
      </w:r>
    </w:p>
    <w:p>
      <w:pPr>
        <w:spacing w:after="0" w:line="121" w:lineRule="exact"/>
        <w:rPr>
          <w:sz w:val="20"/>
          <w:szCs w:val="20"/>
          <w:color w:val="auto"/>
        </w:rPr>
      </w:pPr>
    </w:p>
    <w:p>
      <w:pPr>
        <w:ind w:left="440" w:right="60"/>
        <w:spacing w:after="0" w:line="286" w:lineRule="auto"/>
        <w:rPr>
          <w:sz w:val="20"/>
          <w:szCs w:val="20"/>
          <w:color w:val="auto"/>
        </w:rPr>
      </w:pPr>
      <w:r>
        <w:rPr>
          <w:rFonts w:ascii="Arial" w:cs="Arial" w:eastAsia="Arial" w:hAnsi="Arial"/>
          <w:sz w:val="17"/>
          <w:szCs w:val="17"/>
          <w:color w:val="auto"/>
        </w:rPr>
        <w:t>Following an underwritten public offering of the Company’s Equity Securities, or American depositary shares representing the Company’s Equity Securities, related party transactions shall be approved by an audit committee of independent Directors, unless the rules of the relevant exchange require or permit an alternative approval process by independent Directors (in which case that process will apply).</w:t>
      </w:r>
    </w:p>
    <w:p>
      <w:pPr>
        <w:spacing w:after="0" w:line="310" w:lineRule="exact"/>
        <w:rPr>
          <w:sz w:val="20"/>
          <w:szCs w:val="20"/>
          <w:color w:val="auto"/>
        </w:rPr>
      </w:pPr>
    </w:p>
    <w:p>
      <w:pPr>
        <w:ind w:right="7840" w:firstLine="4"/>
        <w:spacing w:after="0" w:line="408" w:lineRule="auto"/>
        <w:tabs>
          <w:tab w:leader="none" w:pos="432" w:val="left"/>
        </w:tabs>
        <w:numPr>
          <w:ilvl w:val="0"/>
          <w:numId w:val="359"/>
        </w:numPr>
        <w:rPr>
          <w:rFonts w:ascii="Arial" w:cs="Arial" w:eastAsia="Arial" w:hAnsi="Arial"/>
          <w:sz w:val="17"/>
          <w:szCs w:val="17"/>
          <w:b w:val="1"/>
          <w:bCs w:val="1"/>
          <w:color w:val="auto"/>
        </w:rPr>
      </w:pPr>
      <w:r>
        <w:rPr>
          <w:rFonts w:ascii="Arial" w:cs="Arial" w:eastAsia="Arial" w:hAnsi="Arial"/>
          <w:sz w:val="17"/>
          <w:szCs w:val="17"/>
          <w:b w:val="1"/>
          <w:bCs w:val="1"/>
          <w:color w:val="auto"/>
        </w:rPr>
        <w:t>SHARED VENDOR CONTRACTS 3.1 Shared Vendor Contracts</w:t>
      </w:r>
    </w:p>
    <w:p>
      <w:pPr>
        <w:spacing w:after="0" w:line="1" w:lineRule="exact"/>
        <w:rPr>
          <w:sz w:val="20"/>
          <w:szCs w:val="20"/>
          <w:color w:val="auto"/>
        </w:rPr>
      </w:pPr>
    </w:p>
    <w:p>
      <w:pPr>
        <w:ind w:left="440" w:right="260"/>
        <w:spacing w:after="0" w:line="264" w:lineRule="auto"/>
        <w:rPr>
          <w:sz w:val="20"/>
          <w:szCs w:val="20"/>
          <w:color w:val="auto"/>
        </w:rPr>
      </w:pPr>
      <w:r>
        <w:rPr>
          <w:rFonts w:ascii="Arial" w:cs="Arial" w:eastAsia="Arial" w:hAnsi="Arial"/>
          <w:sz w:val="18"/>
          <w:szCs w:val="18"/>
          <w:color w:val="auto"/>
        </w:rPr>
        <w:t>The parties acknowledge that Melco and its Affiliates may from time to time enter into Contracts with a supplier, vendor or other party or its Affiliates or related parties (</w:t>
      </w:r>
      <w:r>
        <w:rPr>
          <w:rFonts w:ascii="Arial" w:cs="Arial" w:eastAsia="Arial" w:hAnsi="Arial"/>
          <w:sz w:val="18"/>
          <w:szCs w:val="18"/>
          <w:b w:val="1"/>
          <w:bCs w:val="1"/>
          <w:color w:val="auto"/>
        </w:rPr>
        <w:t>Shared Vendors</w:t>
      </w:r>
      <w:r>
        <w:rPr>
          <w:rFonts w:ascii="Arial" w:cs="Arial" w:eastAsia="Arial" w:hAnsi="Arial"/>
          <w:sz w:val="18"/>
          <w:szCs w:val="18"/>
          <w:color w:val="auto"/>
        </w:rPr>
        <w:t>) for the provision of various goods and services to more than one Melco Casino (</w:t>
      </w:r>
      <w:r>
        <w:rPr>
          <w:rFonts w:ascii="Arial" w:cs="Arial" w:eastAsia="Arial" w:hAnsi="Arial"/>
          <w:sz w:val="18"/>
          <w:szCs w:val="18"/>
          <w:b w:val="1"/>
          <w:bCs w:val="1"/>
          <w:color w:val="auto"/>
        </w:rPr>
        <w:t>Shared Vendor</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Contracts</w:t>
      </w:r>
      <w:r>
        <w:rPr>
          <w:rFonts w:ascii="Arial" w:cs="Arial" w:eastAsia="Arial" w:hAnsi="Arial"/>
          <w:sz w:val="18"/>
          <w:szCs w:val="18"/>
          <w:color w:val="auto"/>
        </w:rPr>
        <w:t>).</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Obligation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3.3</w:t>
      </w:r>
      <w:r>
        <w:rPr>
          <w:rFonts w:ascii="Arial" w:cs="Arial" w:eastAsia="Arial" w:hAnsi="Arial"/>
          <w:sz w:val="16"/>
          <w:szCs w:val="16"/>
          <w:color w:val="auto"/>
        </w:rPr>
        <w:t>, Melco shall, for so long as New Cotai holds 5% or more of the Securities in issue, use commercially reasonable endeavours: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89" w:name="page290"/>
    <w:bookmarkEnd w:id="289"/>
    <w:p>
      <w:pPr>
        <w:ind w:left="860" w:right="120" w:hanging="424"/>
        <w:spacing w:after="0" w:line="259" w:lineRule="auto"/>
        <w:tabs>
          <w:tab w:leader="none" w:pos="8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obtain on behalf of the Group, to the extent possible, economic and other terms at least as favourable (when taken as a whole and after taking into account, among other things, the passing of time, inflation and the then prevailing economic conditions) to the Group as the economic and other terms it obtains from the applicable Shared Vendor for any of the other Melco Casinos in respect of similar goods and services; and</w:t>
      </w:r>
    </w:p>
    <w:p>
      <w:pPr>
        <w:spacing w:after="0" w:line="92"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to utilise the services of, and obtain goods from, the Shared Vendors and to obtain volume and pricing discounts on such services and goods from such Shared Vendors for the benefit of the Group.</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Application</w:t>
      </w:r>
    </w:p>
    <w:p>
      <w:pPr>
        <w:spacing w:after="0" w:line="131" w:lineRule="exact"/>
        <w:rPr>
          <w:sz w:val="20"/>
          <w:szCs w:val="20"/>
          <w:color w:val="auto"/>
        </w:rPr>
      </w:pPr>
    </w:p>
    <w:p>
      <w:pPr>
        <w:ind w:left="860" w:hanging="424"/>
        <w:spacing w:after="0"/>
        <w:tabs>
          <w:tab w:leader="none" w:pos="8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parties agree that </w:t>
      </w:r>
      <w:r>
        <w:rPr>
          <w:rFonts w:ascii="Arial" w:cs="Arial" w:eastAsia="Arial" w:hAnsi="Arial"/>
          <w:sz w:val="18"/>
          <w:szCs w:val="18"/>
          <w:b w:val="1"/>
          <w:bCs w:val="1"/>
          <w:color w:val="auto"/>
        </w:rPr>
        <w:t>clause 3.2</w:t>
      </w:r>
      <w:r>
        <w:rPr>
          <w:rFonts w:ascii="Arial" w:cs="Arial" w:eastAsia="Arial" w:hAnsi="Arial"/>
          <w:sz w:val="18"/>
          <w:szCs w:val="18"/>
          <w:color w:val="auto"/>
        </w:rPr>
        <w:t xml:space="preserve"> will not apply in respect of any the following Shared Vendors:</w:t>
      </w:r>
    </w:p>
    <w:p>
      <w:pPr>
        <w:spacing w:after="0" w:line="134" w:lineRule="exact"/>
        <w:rPr>
          <w:rFonts w:ascii="Arial" w:cs="Arial" w:eastAsia="Arial" w:hAnsi="Arial"/>
          <w:sz w:val="18"/>
          <w:szCs w:val="18"/>
          <w:color w:val="auto"/>
        </w:rPr>
      </w:pPr>
    </w:p>
    <w:p>
      <w:pPr>
        <w:ind w:left="1420" w:hanging="538"/>
        <w:spacing w:after="0"/>
        <w:tabs>
          <w:tab w:leader="none" w:pos="14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utility operators (water, electricity, gas and telephone and whether public or private) in Hong Kong or Macau;</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 financier or lender to Melco or any of its Affiliates;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 Governmental Agency;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 Gaming Promoter;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 Other Casino.</w:t>
      </w:r>
    </w:p>
    <w:p>
      <w:pPr>
        <w:spacing w:after="0" w:line="126" w:lineRule="exact"/>
        <w:rPr>
          <w:rFonts w:ascii="Arial" w:cs="Arial" w:eastAsia="Arial" w:hAnsi="Arial"/>
          <w:sz w:val="18"/>
          <w:szCs w:val="18"/>
          <w:color w:val="auto"/>
        </w:rPr>
      </w:pPr>
    </w:p>
    <w:p>
      <w:pPr>
        <w:jc w:val="both"/>
        <w:ind w:left="860" w:right="480" w:hanging="424"/>
        <w:spacing w:after="0" w:line="266" w:lineRule="auto"/>
        <w:tabs>
          <w:tab w:leader="none" w:pos="8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parties agree that </w:t>
      </w:r>
      <w:r>
        <w:rPr>
          <w:rFonts w:ascii="Arial" w:cs="Arial" w:eastAsia="Arial" w:hAnsi="Arial"/>
          <w:sz w:val="18"/>
          <w:szCs w:val="18"/>
          <w:b w:val="1"/>
          <w:bCs w:val="1"/>
          <w:color w:val="auto"/>
        </w:rPr>
        <w:t>clause 3.2(b)</w:t>
      </w:r>
      <w:r>
        <w:rPr>
          <w:rFonts w:ascii="Arial" w:cs="Arial" w:eastAsia="Arial" w:hAnsi="Arial"/>
          <w:sz w:val="18"/>
          <w:szCs w:val="18"/>
          <w:color w:val="auto"/>
        </w:rPr>
        <w:t xml:space="preserve"> does not apply to any Shared Vendor Contract which is the subject of any dispute, claim, or other proceedings or the performance of which, or the goods provided under which, do not in the reasonable opinion of Melco or any of its Affiliates, meet appropriate standards of performance.</w:t>
      </w:r>
    </w:p>
    <w:p>
      <w:pPr>
        <w:spacing w:after="0" w:line="3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Gaming Promoters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Melco will use commercially reasonable efforts to ensure that there is no bias or discrimination by or at the direction of Melco or any of its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Affiliates against the Group with respect to:</w:t>
      </w:r>
    </w:p>
    <w:p>
      <w:pPr>
        <w:spacing w:after="0" w:line="116" w:lineRule="exact"/>
        <w:rPr>
          <w:sz w:val="20"/>
          <w:szCs w:val="20"/>
          <w:color w:val="auto"/>
        </w:rPr>
      </w:pPr>
    </w:p>
    <w:p>
      <w:pPr>
        <w:ind w:left="860" w:hanging="424"/>
        <w:spacing w:after="0"/>
        <w:tabs>
          <w:tab w:leader="none" w:pos="8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use or selection of Gaming Promoters;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allocation of customers by Gaming Promoters (to the extent it is within the control of Melco); or</w:t>
      </w:r>
    </w:p>
    <w:p>
      <w:pPr>
        <w:spacing w:after="0" w:line="130" w:lineRule="exact"/>
        <w:rPr>
          <w:rFonts w:ascii="Arial" w:cs="Arial" w:eastAsia="Arial" w:hAnsi="Arial"/>
          <w:sz w:val="18"/>
          <w:szCs w:val="18"/>
          <w:color w:val="auto"/>
        </w:rPr>
      </w:pPr>
    </w:p>
    <w:p>
      <w:pPr>
        <w:ind w:left="860" w:right="700" w:hanging="424"/>
        <w:spacing w:after="0" w:line="264" w:lineRule="auto"/>
        <w:tabs>
          <w:tab w:leader="none" w:pos="8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commissions, commission rate policies or extensions of credit in respect of Gaming Promoters for the Group as compared to commissions, commission rate policies or extensions of credit in respect of Gaming Promoters for any of the other Melco Casinos (excluding Other Casinos).</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Audit rights</w:t>
      </w:r>
    </w:p>
    <w:p>
      <w:pPr>
        <w:spacing w:after="0" w:line="131" w:lineRule="exact"/>
        <w:rPr>
          <w:sz w:val="20"/>
          <w:szCs w:val="20"/>
          <w:color w:val="auto"/>
        </w:rPr>
      </w:pPr>
    </w:p>
    <w:p>
      <w:pPr>
        <w:ind w:left="860" w:right="280" w:hanging="424"/>
        <w:spacing w:after="0" w:line="347" w:lineRule="auto"/>
        <w:tabs>
          <w:tab w:leader="none" w:pos="86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If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applies, New Cotai may on an annual basis jointly request the Company to instruct the Company’s auditors to audit the compliance by Melco with its obligations under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and to share the results thereof with the Director(s) appointed by New Cotai.</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290" w:name="page291"/>
    <w:bookmarkEnd w:id="290"/>
    <w:p>
      <w:pPr>
        <w:ind w:left="860" w:right="20" w:hanging="424"/>
        <w:spacing w:after="0" w:line="282" w:lineRule="auto"/>
        <w:tabs>
          <w:tab w:leader="none" w:pos="8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agree that any audit conducted under </w:t>
      </w:r>
      <w:r>
        <w:rPr>
          <w:rFonts w:ascii="Arial" w:cs="Arial" w:eastAsia="Arial" w:hAnsi="Arial"/>
          <w:sz w:val="18"/>
          <w:szCs w:val="18"/>
          <w:b w:val="1"/>
          <w:bCs w:val="1"/>
          <w:color w:val="auto"/>
        </w:rPr>
        <w:t>clause 3.5(a)</w:t>
      </w:r>
      <w:r>
        <w:rPr>
          <w:rFonts w:ascii="Arial" w:cs="Arial" w:eastAsia="Arial" w:hAnsi="Arial"/>
          <w:sz w:val="18"/>
          <w:szCs w:val="18"/>
          <w:color w:val="auto"/>
        </w:rPr>
        <w:t xml:space="preserve"> will be limited to a review of a random sample of Shared Vendor Contracts of an appropriate size to be determined by the auditor to verify compliance by Melco with </w:t>
      </w:r>
      <w:r>
        <w:rPr>
          <w:rFonts w:ascii="Arial" w:cs="Arial" w:eastAsia="Arial" w:hAnsi="Arial"/>
          <w:sz w:val="18"/>
          <w:szCs w:val="18"/>
          <w:b w:val="1"/>
          <w:bCs w:val="1"/>
          <w:color w:val="auto"/>
        </w:rPr>
        <w:t>clause 3.2(a)</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860" w:hanging="424"/>
        <w:spacing w:after="0"/>
        <w:tabs>
          <w:tab w:leader="none" w:pos="8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Any work conducted by the Company’s auditors in respect of </w:t>
      </w:r>
      <w:r>
        <w:rPr>
          <w:rFonts w:ascii="Arial" w:cs="Arial" w:eastAsia="Arial" w:hAnsi="Arial"/>
          <w:sz w:val="18"/>
          <w:szCs w:val="18"/>
          <w:b w:val="1"/>
          <w:bCs w:val="1"/>
          <w:color w:val="auto"/>
        </w:rPr>
        <w:t>clause 3.5(a)</w:t>
      </w:r>
      <w:r>
        <w:rPr>
          <w:rFonts w:ascii="Arial" w:cs="Arial" w:eastAsia="Arial" w:hAnsi="Arial"/>
          <w:sz w:val="18"/>
          <w:szCs w:val="18"/>
          <w:color w:val="auto"/>
        </w:rPr>
        <w:t xml:space="preserve"> will be at the expense of the Company.</w:t>
      </w:r>
    </w:p>
    <w:p>
      <w:pPr>
        <w:spacing w:after="0" w:line="134" w:lineRule="exact"/>
        <w:rPr>
          <w:rFonts w:ascii="Arial" w:cs="Arial" w:eastAsia="Arial" w:hAnsi="Arial"/>
          <w:sz w:val="18"/>
          <w:szCs w:val="18"/>
          <w:color w:val="auto"/>
        </w:rPr>
      </w:pPr>
    </w:p>
    <w:p>
      <w:pPr>
        <w:ind w:left="860" w:hanging="424"/>
        <w:spacing w:after="0" w:line="308" w:lineRule="auto"/>
        <w:tabs>
          <w:tab w:leader="none" w:pos="8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Melco shall instruct the auditors of the other Melco Casinos (other than Other Casinos) to reasonably cooperate with the Company’s auditors in connection with any work conducted by the Company’s auditors under </w:t>
      </w:r>
      <w:r>
        <w:rPr>
          <w:rFonts w:ascii="Arial" w:cs="Arial" w:eastAsia="Arial" w:hAnsi="Arial"/>
          <w:sz w:val="17"/>
          <w:szCs w:val="17"/>
          <w:b w:val="1"/>
          <w:bCs w:val="1"/>
          <w:color w:val="auto"/>
        </w:rPr>
        <w:t>clause 3.5(a)</w:t>
      </w:r>
      <w:r>
        <w:rPr>
          <w:rFonts w:ascii="Arial" w:cs="Arial" w:eastAsia="Arial" w:hAnsi="Arial"/>
          <w:sz w:val="17"/>
          <w:szCs w:val="17"/>
          <w:color w:val="auto"/>
        </w:rPr>
        <w:t xml:space="preserve"> (but subject to </w:t>
      </w:r>
      <w:r>
        <w:rPr>
          <w:rFonts w:ascii="Arial" w:cs="Arial" w:eastAsia="Arial" w:hAnsi="Arial"/>
          <w:sz w:val="17"/>
          <w:szCs w:val="17"/>
          <w:b w:val="1"/>
          <w:bCs w:val="1"/>
          <w:color w:val="auto"/>
        </w:rPr>
        <w:t>clause 3.5(b)</w:t>
      </w:r>
      <w:r>
        <w:rPr>
          <w:rFonts w:ascii="Arial" w:cs="Arial" w:eastAsia="Arial" w:hAnsi="Arial"/>
          <w:sz w:val="17"/>
          <w:szCs w:val="17"/>
          <w:color w:val="auto"/>
        </w:rPr>
        <w:t>).</w:t>
      </w:r>
    </w:p>
    <w:p>
      <w:pPr>
        <w:spacing w:after="0" w:line="291" w:lineRule="exact"/>
        <w:rPr>
          <w:sz w:val="20"/>
          <w:szCs w:val="20"/>
          <w:color w:val="auto"/>
        </w:rPr>
      </w:pPr>
    </w:p>
    <w:p>
      <w:pPr>
        <w:ind w:right="8760" w:firstLine="4"/>
        <w:spacing w:after="0" w:line="393" w:lineRule="auto"/>
        <w:tabs>
          <w:tab w:leader="none" w:pos="432"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CASINO OPERATION 4.1 Casino operation</w:t>
      </w:r>
    </w:p>
    <w:p>
      <w:pPr>
        <w:spacing w:after="0" w:line="1" w:lineRule="exact"/>
        <w:rPr>
          <w:rFonts w:ascii="Arial" w:cs="Arial" w:eastAsia="Arial" w:hAnsi="Arial"/>
          <w:sz w:val="18"/>
          <w:szCs w:val="18"/>
          <w:b w:val="1"/>
          <w:bCs w:val="1"/>
          <w:color w:val="auto"/>
        </w:rPr>
      </w:pPr>
    </w:p>
    <w:p>
      <w:pPr>
        <w:ind w:left="860" w:right="320" w:hanging="424"/>
        <w:spacing w:after="0" w:line="277" w:lineRule="auto"/>
        <w:tabs>
          <w:tab w:leader="none" w:pos="86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Subconcessionaire is the holder of the Subconcession under which the Subconcessionaire is authorised by the Macau government to conduct the operation of casino games of chance and other casino games in Macau.</w:t>
      </w:r>
    </w:p>
    <w:p>
      <w:pPr>
        <w:spacing w:after="0" w:line="75" w:lineRule="exact"/>
        <w:rPr>
          <w:rFonts w:ascii="Arial" w:cs="Arial" w:eastAsia="Arial" w:hAnsi="Arial"/>
          <w:sz w:val="18"/>
          <w:szCs w:val="18"/>
          <w:color w:val="auto"/>
        </w:rPr>
      </w:pPr>
    </w:p>
    <w:p>
      <w:pPr>
        <w:ind w:left="860" w:right="100" w:hanging="424"/>
        <w:spacing w:after="0" w:line="277" w:lineRule="auto"/>
        <w:tabs>
          <w:tab w:leader="none" w:pos="86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parties acknowledge that the Subconcessionaire shall operate the Studio City Casino within the Subconcession pursuant to the terms of the Casino Management Agreement.</w:t>
      </w:r>
    </w:p>
    <w:p>
      <w:pPr>
        <w:spacing w:after="0" w:line="75" w:lineRule="exact"/>
        <w:rPr>
          <w:rFonts w:ascii="Arial" w:cs="Arial" w:eastAsia="Arial" w:hAnsi="Arial"/>
          <w:sz w:val="18"/>
          <w:szCs w:val="18"/>
          <w:color w:val="auto"/>
        </w:rPr>
      </w:pPr>
    </w:p>
    <w:p>
      <w:pPr>
        <w:ind w:left="860" w:hanging="424"/>
        <w:spacing w:after="0" w:line="264" w:lineRule="auto"/>
        <w:tabs>
          <w:tab w:leader="none" w:pos="86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Subconcessionaire shall apply for a Gaming Authorisation to operate in Macau prior to any expiration of the Subconcession from time to time, or at such other time determined by the Macau government, and, in any event, continue to operate the Studio City Casino for as long as the Subconcession is in effect.</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Gaming tables</w:t>
      </w:r>
    </w:p>
    <w:p>
      <w:pPr>
        <w:spacing w:after="0" w:line="135" w:lineRule="exact"/>
        <w:rPr>
          <w:sz w:val="20"/>
          <w:szCs w:val="20"/>
          <w:color w:val="auto"/>
        </w:rPr>
      </w:pPr>
    </w:p>
    <w:p>
      <w:pPr>
        <w:ind w:left="860" w:right="180" w:hanging="424"/>
        <w:spacing w:after="0" w:line="277" w:lineRule="auto"/>
        <w:tabs>
          <w:tab w:leader="none" w:pos="8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parties acknowledge that the initial number of gaming tables authorised by the Macau government for operation at Studio City Casino on Opening is 250 mass gaming tables.</w:t>
      </w:r>
    </w:p>
    <w:p>
      <w:pPr>
        <w:spacing w:after="0" w:line="75" w:lineRule="exact"/>
        <w:rPr>
          <w:rFonts w:ascii="Arial" w:cs="Arial" w:eastAsia="Arial" w:hAnsi="Arial"/>
          <w:sz w:val="18"/>
          <w:szCs w:val="18"/>
          <w:color w:val="auto"/>
        </w:rPr>
      </w:pPr>
    </w:p>
    <w:p>
      <w:pPr>
        <w:ind w:left="860" w:right="80" w:hanging="424"/>
        <w:spacing w:after="0" w:line="264" w:lineRule="auto"/>
        <w:tabs>
          <w:tab w:leader="none" w:pos="8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additional gaming tables authorised by the Macau government to be utilised by the Subconcessionaire after initial allocation of gaming tables by the Macau government to the Studio City Casino will (to the extent permitted by the Macau government) be allocated by the Subconcessionaire to the Studio City Casino and the other Melco Casinos:</w:t>
      </w:r>
    </w:p>
    <w:p>
      <w:pPr>
        <w:spacing w:after="0" w:line="86" w:lineRule="exact"/>
        <w:rPr>
          <w:rFonts w:ascii="Arial" w:cs="Arial" w:eastAsia="Arial" w:hAnsi="Arial"/>
          <w:sz w:val="18"/>
          <w:szCs w:val="18"/>
          <w:color w:val="auto"/>
        </w:rPr>
      </w:pPr>
    </w:p>
    <w:p>
      <w:pPr>
        <w:ind w:left="1420" w:right="300" w:hanging="538"/>
        <w:spacing w:after="0" w:line="277" w:lineRule="auto"/>
        <w:tabs>
          <w:tab w:leader="none" w:pos="142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 proportion to the number of tables the Studio City Casino and the other Melco Casinos have (or have allocated to them) at that time; and</w:t>
      </w:r>
    </w:p>
    <w:p>
      <w:pPr>
        <w:spacing w:after="0" w:line="75" w:lineRule="exact"/>
        <w:rPr>
          <w:rFonts w:ascii="Arial" w:cs="Arial" w:eastAsia="Arial" w:hAnsi="Arial"/>
          <w:sz w:val="18"/>
          <w:szCs w:val="18"/>
          <w:color w:val="auto"/>
        </w:rPr>
      </w:pPr>
    </w:p>
    <w:p>
      <w:pPr>
        <w:ind w:left="1420" w:right="60" w:hanging="538"/>
        <w:spacing w:after="0" w:line="272" w:lineRule="auto"/>
        <w:tabs>
          <w:tab w:leader="none" w:pos="142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if the number of additional gaming tables authorised by the Macau government to be utilised by the Subconcession is disproportionately more than the number of gaming tables authorised to other concession and subconcession holders in Macau (based on the number of gaming tables held by each of them and including circumstances in which the percentage of additional gaming tables allocated to the Subconcessionaire exceeds the percentage of gaming tables allocated to other gaming concession or subconcession holders in Macau under the table cap regime implemented by the Macau government from time to time), the amount of the excess will (to the extent permitted by the Macau government) be allocated by the Subconcessionaire between the Studio City Casino and the other Melco Casinos based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291" w:name="page292"/>
    <w:bookmarkEnd w:id="291"/>
    <w:p>
      <w:pPr>
        <w:ind w:left="1416" w:hanging="538"/>
        <w:spacing w:after="0"/>
        <w:tabs>
          <w:tab w:leader="none" w:pos="1416" w:val="left"/>
        </w:tabs>
        <w:numPr>
          <w:ilvl w:val="2"/>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relative gaming expansion plans approved by the Macau government; or</w:t>
      </w:r>
    </w:p>
    <w:p>
      <w:pPr>
        <w:spacing w:after="0" w:line="130" w:lineRule="exact"/>
        <w:rPr>
          <w:rFonts w:ascii="Arial" w:cs="Arial" w:eastAsia="Arial" w:hAnsi="Arial"/>
          <w:sz w:val="18"/>
          <w:szCs w:val="18"/>
          <w:color w:val="auto"/>
        </w:rPr>
      </w:pPr>
    </w:p>
    <w:p>
      <w:pPr>
        <w:ind w:left="1416" w:right="280" w:hanging="538"/>
        <w:spacing w:after="0" w:line="277" w:lineRule="auto"/>
        <w:tabs>
          <w:tab w:leader="none" w:pos="1416" w:val="left"/>
        </w:tabs>
        <w:numPr>
          <w:ilvl w:val="2"/>
          <w:numId w:val="367"/>
        </w:numPr>
        <w:rPr>
          <w:rFonts w:ascii="Arial" w:cs="Arial" w:eastAsia="Arial" w:hAnsi="Arial"/>
          <w:sz w:val="18"/>
          <w:szCs w:val="18"/>
          <w:color w:val="auto"/>
        </w:rPr>
      </w:pPr>
      <w:r>
        <w:rPr>
          <w:rFonts w:ascii="Arial" w:cs="Arial" w:eastAsia="Arial" w:hAnsi="Arial"/>
          <w:sz w:val="18"/>
          <w:szCs w:val="18"/>
          <w:color w:val="auto"/>
        </w:rPr>
        <w:t>if no such plans exist, pro rated based on the respective number of tables at (or allocated to) the Studio City Casino and the other Melco Casinos.</w:t>
      </w:r>
    </w:p>
    <w:p>
      <w:pPr>
        <w:spacing w:after="0" w:line="75" w:lineRule="exact"/>
        <w:rPr>
          <w:rFonts w:ascii="Arial" w:cs="Arial" w:eastAsia="Arial" w:hAnsi="Arial"/>
          <w:sz w:val="18"/>
          <w:szCs w:val="18"/>
          <w:color w:val="auto"/>
        </w:rPr>
      </w:pPr>
    </w:p>
    <w:p>
      <w:pPr>
        <w:ind w:left="856" w:hanging="424"/>
        <w:spacing w:after="0" w:line="255" w:lineRule="auto"/>
        <w:tabs>
          <w:tab w:leader="none" w:pos="856"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In the event that, after initial allocation of gaming tables by the Macau government to the Studio City Casino, the number of gaming tables authorised by the Macau government to be utilized by the Subconcession is reduced, Melco and New Cotai shall discuss in good faith whether there is to be any reduction in the number of gaming tables at the Studio City Casino having regard to (among other things) a fair and appropriate allocation of gaming tables to all Melco Casinos and after taking into account any Macau government requirement and the capital expenditures of each of the Melco Casinos and, in any event, the number of gaming tables at the Studio City Casino shall not be disproportionately reduced relative to the reduction of gaming tables at other Melco Casinos (unless the Melco Shareholders and New Cotai agree otherwise).</w:t>
      </w:r>
    </w:p>
    <w:p>
      <w:pPr>
        <w:spacing w:after="0" w:line="333" w:lineRule="exact"/>
        <w:rPr>
          <w:rFonts w:ascii="Arial" w:cs="Arial" w:eastAsia="Arial" w:hAnsi="Arial"/>
          <w:sz w:val="18"/>
          <w:szCs w:val="18"/>
          <w:color w:val="auto"/>
        </w:rPr>
      </w:pPr>
    </w:p>
    <w:p>
      <w:pPr>
        <w:ind w:left="436" w:hanging="436"/>
        <w:spacing w:after="0"/>
        <w:tabs>
          <w:tab w:leader="none" w:pos="436"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OTHER ADMINISTRATIVE MATTERS</w:t>
      </w:r>
    </w:p>
    <w:p>
      <w:pPr>
        <w:spacing w:after="0" w:line="131" w:lineRule="exact"/>
        <w:rPr>
          <w:sz w:val="20"/>
          <w:szCs w:val="20"/>
          <w:color w:val="auto"/>
        </w:rPr>
      </w:pPr>
    </w:p>
    <w:p>
      <w:pPr>
        <w:ind w:left="436" w:hanging="431"/>
        <w:spacing w:after="0" w:line="279" w:lineRule="auto"/>
        <w:tabs>
          <w:tab w:leader="none" w:pos="416"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color w:val="auto"/>
        </w:rPr>
        <w:t>For so long as any Shareholder, holder of Upstream Securities in a Shareholder, or any of their respective Affiliates, is required to provide information to any Gaming Regulator in relation to their interest in the Company (including any information about another Shareholder or any holder of Upstream Securities in that Shareholder), the Company will and will procure that each Company Subsidiary will, to the extent permitted by law, cooperate in good faith to obtain and endeavour to provide that information where requested in writing by that person.</w:t>
      </w:r>
    </w:p>
    <w:p>
      <w:pPr>
        <w:spacing w:after="0" w:line="77" w:lineRule="exact"/>
        <w:rPr>
          <w:sz w:val="20"/>
          <w:szCs w:val="20"/>
          <w:color w:val="auto"/>
        </w:rPr>
      </w:pPr>
    </w:p>
    <w:p>
      <w:pPr>
        <w:ind w:left="436" w:right="160" w:hanging="431"/>
        <w:spacing w:after="0" w:line="277" w:lineRule="auto"/>
        <w:tabs>
          <w:tab w:leader="none" w:pos="416"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Despite clause 5.1(a), if reasonable to do so, the Company may limit the information provided to such information as is required by the Gaming Regulator or otherwise customarily provided to any such Gaming Regulator.</w:t>
      </w:r>
    </w:p>
    <w:p>
      <w:pPr>
        <w:spacing w:after="0" w:line="76" w:lineRule="exact"/>
        <w:rPr>
          <w:sz w:val="20"/>
          <w:szCs w:val="20"/>
          <w:color w:val="auto"/>
        </w:rPr>
      </w:pPr>
    </w:p>
    <w:p>
      <w:pPr>
        <w:ind w:left="436" w:right="60" w:hanging="431"/>
        <w:spacing w:after="0" w:line="264" w:lineRule="auto"/>
        <w:tabs>
          <w:tab w:leader="none" w:pos="416"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Any person to whom information is provided under clause 5.1(a) shall agree, as a condition of being provided with that information, to cooperate with the Company to seek to limit or protect the information required to be provided, if the Company determines (acting reasonably) that providing such information would:</w:t>
      </w:r>
    </w:p>
    <w:p>
      <w:pPr>
        <w:spacing w:after="0" w:line="91" w:lineRule="exact"/>
        <w:rPr>
          <w:sz w:val="20"/>
          <w:szCs w:val="20"/>
          <w:color w:val="auto"/>
        </w:rPr>
      </w:pPr>
    </w:p>
    <w:p>
      <w:pPr>
        <w:ind w:left="856" w:hanging="424"/>
        <w:spacing w:after="0"/>
        <w:tabs>
          <w:tab w:leader="none" w:pos="85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materially compromise the competitiveness of the Studio City Property; or</w:t>
      </w:r>
    </w:p>
    <w:p>
      <w:pPr>
        <w:spacing w:after="0" w:line="130" w:lineRule="exact"/>
        <w:rPr>
          <w:rFonts w:ascii="Arial" w:cs="Arial" w:eastAsia="Arial" w:hAnsi="Arial"/>
          <w:sz w:val="18"/>
          <w:szCs w:val="18"/>
          <w:color w:val="auto"/>
        </w:rPr>
      </w:pPr>
    </w:p>
    <w:p>
      <w:pPr>
        <w:ind w:left="856" w:hanging="424"/>
        <w:spacing w:after="0" w:line="277" w:lineRule="auto"/>
        <w:tabs>
          <w:tab w:leader="none" w:pos="85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be prohibited by applicable Laws or the listing or exchange rules of any stock exchange on which the Securities or Melco’s equity securities are listed.</w:t>
      </w:r>
    </w:p>
    <w:p>
      <w:pPr>
        <w:spacing w:after="0" w:line="72" w:lineRule="exact"/>
        <w:rPr>
          <w:sz w:val="20"/>
          <w:szCs w:val="20"/>
          <w:color w:val="auto"/>
        </w:rPr>
      </w:pPr>
    </w:p>
    <w:p>
      <w:pPr>
        <w:ind w:left="436" w:hanging="431"/>
        <w:spacing w:after="0" w:line="277" w:lineRule="auto"/>
        <w:tabs>
          <w:tab w:leader="none" w:pos="416"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 xml:space="preserve">The parties agree to be bound by and comply with the provisions as set out in Annexures G and H of the Original Shareholders Agreement, which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hereto, referring to Newco instead of the Company where applicable.</w:t>
      </w:r>
    </w:p>
    <w:p>
      <w:pPr>
        <w:spacing w:after="0" w:line="107"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56"/>
          </w:cols>
          <w:pgMar w:left="444" w:top="274" w:right="499" w:bottom="1440" w:gutter="0" w:footer="0" w:header="0"/>
        </w:sectPr>
      </w:pPr>
    </w:p>
    <w:bookmarkStart w:id="292" w:name="page293"/>
    <w:bookmarkEnd w:id="292"/>
    <w:p>
      <w:pPr>
        <w:ind w:right="8580" w:firstLine="4"/>
        <w:spacing w:after="0" w:line="385" w:lineRule="auto"/>
        <w:tabs>
          <w:tab w:leader="none" w:pos="432"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PRE-EMPTIVE RIGHTS 6.1 Pro rata offer</w:t>
      </w:r>
    </w:p>
    <w:p>
      <w:pPr>
        <w:spacing w:after="0" w:line="2" w:lineRule="exact"/>
        <w:rPr>
          <w:sz w:val="20"/>
          <w:szCs w:val="20"/>
          <w:color w:val="auto"/>
        </w:rPr>
      </w:pPr>
    </w:p>
    <w:p>
      <w:pPr>
        <w:ind w:left="440" w:right="180"/>
        <w:spacing w:after="0" w:line="273" w:lineRule="auto"/>
        <w:rPr>
          <w:sz w:val="20"/>
          <w:szCs w:val="20"/>
          <w:color w:val="auto"/>
        </w:rPr>
      </w:pPr>
      <w:r>
        <w:rPr>
          <w:rFonts w:ascii="Arial" w:cs="Arial" w:eastAsia="Arial" w:hAnsi="Arial"/>
          <w:sz w:val="17"/>
          <w:szCs w:val="17"/>
          <w:color w:val="auto"/>
        </w:rPr>
        <w:t>If the Company proposes to offer Equity Securities of the Company for subscription (other than issuances in connection with a public offering, under any Equity Plan or “assured entitlement” arrangements pursuant to the Listing Rules of The Stock Exchange of Hong Kong Limited (as it may be amended from time to time)), solely or primarily to Melco or any of its Affiliates, each Entitled Minority Shareholder is entitled to subscribe for up to its Respective Proportion of the Equity Securities proposed to be issued, and the Company shall give written notice to New Cotai of the proposed issuance, describing the type of Equity Securities, the cash price per Equity Security, the number of Equity Securities, and the general terms upon which the Company proposes to issue the same (</w:t>
      </w:r>
      <w:r>
        <w:rPr>
          <w:rFonts w:ascii="Arial" w:cs="Arial" w:eastAsia="Arial" w:hAnsi="Arial"/>
          <w:sz w:val="17"/>
          <w:szCs w:val="17"/>
          <w:b w:val="1"/>
          <w:bCs w:val="1"/>
          <w:color w:val="auto"/>
        </w:rPr>
        <w:t>Offer</w:t>
      </w:r>
      <w:r>
        <w:rPr>
          <w:rFonts w:ascii="Arial" w:cs="Arial" w:eastAsia="Arial" w:hAnsi="Arial"/>
          <w:sz w:val="17"/>
          <w:szCs w:val="17"/>
          <w:color w:val="auto"/>
        </w:rPr>
        <w:t>).</w:t>
      </w:r>
    </w:p>
    <w:p>
      <w:pPr>
        <w:spacing w:after="0" w:line="3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Offer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shall make the Offer to each Entitled Minority Shareholder by giving a notice in writing (</w:t>
      </w:r>
      <w:r>
        <w:rPr>
          <w:rFonts w:ascii="Arial" w:cs="Arial" w:eastAsia="Arial" w:hAnsi="Arial"/>
          <w:sz w:val="17"/>
          <w:szCs w:val="17"/>
          <w:b w:val="1"/>
          <w:bCs w:val="1"/>
          <w:color w:val="auto"/>
        </w:rPr>
        <w:t>Offer Notice</w:t>
      </w:r>
      <w:r>
        <w:rPr>
          <w:rFonts w:ascii="Arial" w:cs="Arial" w:eastAsia="Arial" w:hAnsi="Arial"/>
          <w:sz w:val="17"/>
          <w:szCs w:val="17"/>
          <w:color w:val="auto"/>
        </w:rPr>
        <w:t>) to New Cotai specifying:</w:t>
      </w:r>
    </w:p>
    <w:p>
      <w:pPr>
        <w:spacing w:after="0" w:line="146" w:lineRule="exact"/>
        <w:rPr>
          <w:sz w:val="20"/>
          <w:szCs w:val="20"/>
          <w:color w:val="auto"/>
        </w:rPr>
      </w:pPr>
    </w:p>
    <w:p>
      <w:pPr>
        <w:ind w:left="860" w:hanging="424"/>
        <w:spacing w:after="0"/>
        <w:tabs>
          <w:tab w:leader="none" w:pos="8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total number of Equity Securities proposed to be issued to Melco and/or its Affiliates;</w:t>
      </w:r>
    </w:p>
    <w:p>
      <w:pPr>
        <w:spacing w:after="0" w:line="130" w:lineRule="exact"/>
        <w:rPr>
          <w:rFonts w:ascii="Arial" w:cs="Arial" w:eastAsia="Arial" w:hAnsi="Arial"/>
          <w:sz w:val="18"/>
          <w:szCs w:val="18"/>
          <w:color w:val="auto"/>
        </w:rPr>
      </w:pPr>
    </w:p>
    <w:p>
      <w:pPr>
        <w:ind w:left="860" w:right="560" w:hanging="424"/>
        <w:spacing w:after="0" w:line="277" w:lineRule="auto"/>
        <w:tabs>
          <w:tab w:leader="none" w:pos="8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number of Equity Securities each Entitled Minority Shareholder is entitled to subscribe for (up to its Respective Proportion of the aggregate of all Equity Securities to be issued to Melco and its Affiliates); and</w:t>
      </w:r>
    </w:p>
    <w:p>
      <w:pPr>
        <w:spacing w:after="0" w:line="75" w:lineRule="exact"/>
        <w:rPr>
          <w:rFonts w:ascii="Arial" w:cs="Arial" w:eastAsia="Arial" w:hAnsi="Arial"/>
          <w:sz w:val="18"/>
          <w:szCs w:val="18"/>
          <w:color w:val="auto"/>
        </w:rPr>
      </w:pPr>
    </w:p>
    <w:p>
      <w:pPr>
        <w:ind w:left="860" w:right="460" w:hanging="424"/>
        <w:spacing w:after="0" w:line="277" w:lineRule="auto"/>
        <w:tabs>
          <w:tab w:leader="none" w:pos="8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terms of issue of the Equity Securities (including the issue price which shall be the same price for all of the Equity Securities being offered).</w:t>
      </w:r>
    </w:p>
    <w:p>
      <w:pPr>
        <w:spacing w:after="0" w:line="62" w:lineRule="exact"/>
        <w:rPr>
          <w:sz w:val="20"/>
          <w:szCs w:val="20"/>
          <w:color w:val="auto"/>
        </w:rPr>
      </w:pPr>
    </w:p>
    <w:p>
      <w:pPr>
        <w:ind w:left="440" w:right="200"/>
        <w:spacing w:after="0" w:line="264" w:lineRule="auto"/>
        <w:rPr>
          <w:sz w:val="20"/>
          <w:szCs w:val="20"/>
          <w:color w:val="auto"/>
        </w:rPr>
      </w:pPr>
      <w:r>
        <w:rPr>
          <w:rFonts w:ascii="Arial" w:cs="Arial" w:eastAsia="Arial" w:hAnsi="Arial"/>
          <w:sz w:val="18"/>
          <w:szCs w:val="18"/>
          <w:color w:val="auto"/>
        </w:rPr>
        <w:t xml:space="preserve">The Company shall provide such Offer Notice as soon as reasonably practicable (but not less than fifteen (15) business days) prior to the date of the closing of the issue of the Equity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determines that such advance notice is not practical under the circumstances, the Company may provide notice as soon as practicable after such closing.</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Response to Offer</w:t>
      </w:r>
    </w:p>
    <w:p>
      <w:pPr>
        <w:spacing w:after="0" w:line="117" w:lineRule="exact"/>
        <w:rPr>
          <w:sz w:val="20"/>
          <w:szCs w:val="20"/>
          <w:color w:val="auto"/>
        </w:rPr>
      </w:pPr>
    </w:p>
    <w:p>
      <w:pPr>
        <w:jc w:val="both"/>
        <w:ind w:left="440" w:right="40"/>
        <w:spacing w:after="0" w:line="266" w:lineRule="auto"/>
        <w:rPr>
          <w:sz w:val="20"/>
          <w:szCs w:val="20"/>
          <w:color w:val="auto"/>
        </w:rPr>
      </w:pPr>
      <w:r>
        <w:rPr>
          <w:rFonts w:ascii="Arial" w:cs="Arial" w:eastAsia="Arial" w:hAnsi="Arial"/>
          <w:sz w:val="18"/>
          <w:szCs w:val="18"/>
          <w:color w:val="auto"/>
        </w:rPr>
        <w:t xml:space="preserve">Within fifteen (15) business days after the date the Offer Notice is deemed given in accordance with </w:t>
      </w:r>
      <w:r>
        <w:rPr>
          <w:rFonts w:ascii="Arial" w:cs="Arial" w:eastAsia="Arial" w:hAnsi="Arial"/>
          <w:sz w:val="18"/>
          <w:szCs w:val="18"/>
          <w:b w:val="1"/>
          <w:bCs w:val="1"/>
          <w:color w:val="auto"/>
        </w:rPr>
        <w:t>clause 10</w:t>
      </w:r>
      <w:r>
        <w:rPr>
          <w:rFonts w:ascii="Arial" w:cs="Arial" w:eastAsia="Arial" w:hAnsi="Arial"/>
          <w:sz w:val="18"/>
          <w:szCs w:val="18"/>
          <w:color w:val="auto"/>
        </w:rPr>
        <w:t>, New Cotai shall give notice to the Company stating, with respect to each Entitled Minority Shareholder, whether such Entitled Minority Shareholder accepts all or any portion of the Equity Securities offered to it in the Offer Notice or it declines the Offer in full.</w:t>
      </w:r>
    </w:p>
    <w:p>
      <w:pPr>
        <w:spacing w:after="0" w:line="3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Failure to Respond</w:t>
      </w:r>
    </w:p>
    <w:p>
      <w:pPr>
        <w:spacing w:after="0" w:line="121"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 xml:space="preserve">If New Cotai does not give notice to the Company stating whether an Entitled Minority Shareholder accepts all or a portion of the Equity Securities offered to such Entitled Minority Shareholder in the Offer within the period stated in </w:t>
      </w:r>
      <w:r>
        <w:rPr>
          <w:rFonts w:ascii="Arial" w:cs="Arial" w:eastAsia="Arial" w:hAnsi="Arial"/>
          <w:sz w:val="18"/>
          <w:szCs w:val="18"/>
          <w:b w:val="1"/>
          <w:bCs w:val="1"/>
          <w:color w:val="auto"/>
        </w:rPr>
        <w:t>clause 6.3</w:t>
      </w:r>
      <w:r>
        <w:rPr>
          <w:rFonts w:ascii="Arial" w:cs="Arial" w:eastAsia="Arial" w:hAnsi="Arial"/>
          <w:sz w:val="18"/>
          <w:szCs w:val="18"/>
          <w:color w:val="auto"/>
        </w:rPr>
        <w:t>, any such Entitled Minority Shareholder shall be deemed to have declined all of the Equity Securities offered to it in the Offer.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293" w:name="page294"/>
    <w:bookmarkEnd w:id="293"/>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r>
        <w:rPr>
          <w:sz w:val="20"/>
          <w:szCs w:val="20"/>
          <w:color w:val="auto"/>
        </w:rPr>
        <w:tab/>
      </w:r>
      <w:r>
        <w:rPr>
          <w:rFonts w:ascii="Arial" w:cs="Arial" w:eastAsia="Arial" w:hAnsi="Arial"/>
          <w:sz w:val="16"/>
          <w:szCs w:val="16"/>
          <w:b w:val="1"/>
          <w:bCs w:val="1"/>
          <w:color w:val="auto"/>
        </w:rPr>
        <w:t>Payment by Accepting Entitled Minority Shareholders</w:t>
      </w:r>
    </w:p>
    <w:p>
      <w:pPr>
        <w:spacing w:after="0" w:line="12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 xml:space="preserve">If an Entitled Minority Shareholder accepts all or any portion of the Equity Securities offered to such Entitled Minority Shareholder in the Offer, upon the closing of the issuance of the Equity Securities as specified in the Offer Notice, such Entitled Minority Shareholder shall pay to the Company an amount in cash (in U.S. dollars) equal to the aggregate purchase price for the number of Equity Securities specified in the notice of acceptance of such Entitled Minority Shareholder’s Offer (the </w:t>
      </w:r>
      <w:r>
        <w:rPr>
          <w:rFonts w:ascii="Arial" w:cs="Arial" w:eastAsia="Arial" w:hAnsi="Arial"/>
          <w:sz w:val="17"/>
          <w:szCs w:val="17"/>
          <w:b w:val="1"/>
          <w:bCs w:val="1"/>
          <w:color w:val="auto"/>
        </w:rPr>
        <w:t>Cash Purchase Price</w:t>
      </w:r>
      <w:r>
        <w:rPr>
          <w:rFonts w:ascii="Arial" w:cs="Arial" w:eastAsia="Arial" w:hAnsi="Arial"/>
          <w:sz w:val="17"/>
          <w:szCs w:val="17"/>
          <w:color w:val="auto"/>
        </w:rPr>
        <w:t>) on the terms specified in the Offer Notice. If an Entitled Minority Shareholder fails to make a timely payment of the Cash Purchase Price in full in accordance with the terms specified in the Offer Notice, such Entitled Minority Shareholder shall be deemed to have declined all of the Equity Securities offered to it in the Offer.</w:t>
      </w:r>
    </w:p>
    <w:p>
      <w:pPr>
        <w:spacing w:after="0" w:line="3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Termination of Pre-Emptive Rights</w:t>
      </w:r>
    </w:p>
    <w:p>
      <w:pPr>
        <w:spacing w:after="0" w:line="117" w:lineRule="exact"/>
        <w:rPr>
          <w:sz w:val="20"/>
          <w:szCs w:val="20"/>
          <w:color w:val="auto"/>
        </w:rPr>
      </w:pPr>
    </w:p>
    <w:p>
      <w:pPr>
        <w:ind w:left="440" w:right="120"/>
        <w:spacing w:after="0" w:line="261" w:lineRule="auto"/>
        <w:rPr>
          <w:sz w:val="20"/>
          <w:szCs w:val="20"/>
          <w:color w:val="auto"/>
        </w:rPr>
      </w:pPr>
      <w:r>
        <w:rPr>
          <w:rFonts w:ascii="Arial" w:cs="Arial" w:eastAsia="Arial" w:hAnsi="Arial"/>
          <w:sz w:val="18"/>
          <w:szCs w:val="18"/>
          <w:b w:val="1"/>
          <w:bCs w:val="1"/>
          <w:color w:val="auto"/>
        </w:rPr>
        <w:t xml:space="preserve">Clauses 6.1 through 6.5 </w:t>
      </w:r>
      <w:r>
        <w:rPr>
          <w:rFonts w:ascii="Arial" w:cs="Arial" w:eastAsia="Arial" w:hAnsi="Arial"/>
          <w:sz w:val="18"/>
          <w:szCs w:val="18"/>
          <w:color w:val="auto"/>
        </w:rPr>
        <w:t>shall terminate and be of no further force or effect (</w:t>
      </w:r>
      <w:r>
        <w:rPr>
          <w:rFonts w:ascii="Arial" w:cs="Arial" w:eastAsia="Arial" w:hAnsi="Arial"/>
          <w:sz w:val="18"/>
          <w:szCs w:val="18"/>
          <w:b w:val="1"/>
          <w:bCs w:val="1"/>
          <w:color w:val="auto"/>
        </w:rPr>
        <w:t>Termination of Pre-Emptive Rights</w:t>
      </w:r>
      <w:r>
        <w:rPr>
          <w:rFonts w:ascii="Arial" w:cs="Arial" w:eastAsia="Arial" w:hAnsi="Arial"/>
          <w:sz w:val="18"/>
          <w:szCs w:val="18"/>
          <w:color w:val="auto"/>
        </w:rPr>
        <w:t>) upon which time (a)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Agreement is no longer in effect and (b) either (i) the combined value of the Exchange Shares held by all Minority Shareholders no longer equals at least US$40,000,000 based on a 20-Day VWAP or (ii) the total sum of the number of Exchange Shares held by all Minority Shareholders is less than 1.00% of the outstanding Class A Ordinary Shares.</w:t>
      </w:r>
    </w:p>
    <w:p>
      <w:pPr>
        <w:spacing w:after="0" w:line="329" w:lineRule="exact"/>
        <w:rPr>
          <w:sz w:val="20"/>
          <w:szCs w:val="20"/>
          <w:color w:val="auto"/>
        </w:rPr>
      </w:pPr>
    </w:p>
    <w:p>
      <w:pPr>
        <w:ind w:right="7180" w:firstLine="4"/>
        <w:spacing w:after="0" w:line="393" w:lineRule="auto"/>
        <w:tabs>
          <w:tab w:leader="none" w:pos="432"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DISCLOSURE 7.1 Disclosure by Directors</w:t>
      </w:r>
    </w:p>
    <w:p>
      <w:pPr>
        <w:spacing w:after="0" w:line="1" w:lineRule="exact"/>
        <w:rPr>
          <w:rFonts w:ascii="Arial" w:cs="Arial" w:eastAsia="Arial" w:hAnsi="Arial"/>
          <w:sz w:val="18"/>
          <w:szCs w:val="18"/>
          <w:b w:val="1"/>
          <w:bCs w:val="1"/>
          <w:color w:val="auto"/>
        </w:rPr>
      </w:pPr>
    </w:p>
    <w:p>
      <w:pPr>
        <w:ind w:left="860" w:hanging="424"/>
        <w:spacing w:after="0"/>
        <w:tabs>
          <w:tab w:leader="none" w:pos="86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Each Director shall not disclose any Confidential Information except, to the extent not prohibited by Law:</w:t>
      </w:r>
    </w:p>
    <w:p>
      <w:pPr>
        <w:spacing w:after="0" w:line="130" w:lineRule="exact"/>
        <w:rPr>
          <w:rFonts w:ascii="Arial" w:cs="Arial" w:eastAsia="Arial" w:hAnsi="Arial"/>
          <w:sz w:val="18"/>
          <w:szCs w:val="18"/>
          <w:color w:val="auto"/>
        </w:rPr>
      </w:pPr>
    </w:p>
    <w:p>
      <w:pPr>
        <w:ind w:left="1420" w:right="140" w:hanging="538"/>
        <w:spacing w:after="0" w:line="277" w:lineRule="auto"/>
        <w:tabs>
          <w:tab w:leader="none" w:pos="1420" w:val="left"/>
        </w:tabs>
        <w:numPr>
          <w:ilvl w:val="2"/>
          <w:numId w:val="373"/>
        </w:numPr>
        <w:rPr>
          <w:rFonts w:ascii="Arial" w:cs="Arial" w:eastAsia="Arial" w:hAnsi="Arial"/>
          <w:sz w:val="18"/>
          <w:szCs w:val="18"/>
          <w:color w:val="auto"/>
        </w:rPr>
      </w:pPr>
      <w:r>
        <w:rPr>
          <w:rFonts w:ascii="Arial" w:cs="Arial" w:eastAsia="Arial" w:hAnsi="Arial"/>
          <w:sz w:val="18"/>
          <w:szCs w:val="18"/>
          <w:color w:val="auto"/>
        </w:rPr>
        <w:t>to any officer, manager, employee, director (or equivalent) or financial, legal or accounting adviser of or lender to a Shareholder or holder of Upstream Securities; and</w:t>
      </w:r>
    </w:p>
    <w:p>
      <w:pPr>
        <w:spacing w:after="0" w:line="75" w:lineRule="exact"/>
        <w:rPr>
          <w:rFonts w:ascii="Arial" w:cs="Arial" w:eastAsia="Arial" w:hAnsi="Arial"/>
          <w:sz w:val="18"/>
          <w:szCs w:val="18"/>
          <w:color w:val="auto"/>
        </w:rPr>
      </w:pPr>
    </w:p>
    <w:p>
      <w:pPr>
        <w:ind w:left="1420" w:right="260" w:hanging="538"/>
        <w:spacing w:after="0" w:line="264" w:lineRule="auto"/>
        <w:tabs>
          <w:tab w:leader="none" w:pos="1420" w:val="left"/>
        </w:tabs>
        <w:numPr>
          <w:ilvl w:val="2"/>
          <w:numId w:val="373"/>
        </w:numPr>
        <w:rPr>
          <w:rFonts w:ascii="Arial" w:cs="Arial" w:eastAsia="Arial" w:hAnsi="Arial"/>
          <w:sz w:val="18"/>
          <w:szCs w:val="18"/>
          <w:color w:val="auto"/>
        </w:rPr>
      </w:pPr>
      <w:r>
        <w:rPr>
          <w:rFonts w:ascii="Arial" w:cs="Arial" w:eastAsia="Arial" w:hAnsi="Arial"/>
          <w:sz w:val="18"/>
          <w:szCs w:val="18"/>
          <w:color w:val="auto"/>
        </w:rPr>
        <w:t>in the case of a Director employed by an investment fund or a management company of an investment fund (as applicable) that holds, or has any Affiliates that hold, an Effective Interest in Securities, to any partner, officer, manager, employee or director (or equivalent) of that investment fund or management company.</w:t>
      </w:r>
    </w:p>
    <w:p>
      <w:pPr>
        <w:spacing w:after="0" w:line="82" w:lineRule="exact"/>
        <w:rPr>
          <w:rFonts w:ascii="Arial" w:cs="Arial" w:eastAsia="Arial" w:hAnsi="Arial"/>
          <w:sz w:val="18"/>
          <w:szCs w:val="18"/>
          <w:color w:val="auto"/>
        </w:rPr>
      </w:pPr>
    </w:p>
    <w:p>
      <w:pPr>
        <w:ind w:left="860" w:right="100" w:hanging="424"/>
        <w:spacing w:after="0" w:line="282" w:lineRule="auto"/>
        <w:tabs>
          <w:tab w:leader="none" w:pos="86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Each Shareholder shall procure that the Director appointed by them complies with the Director’s obligations under this </w:t>
      </w:r>
      <w:r>
        <w:rPr>
          <w:rFonts w:ascii="Arial" w:cs="Arial" w:eastAsia="Arial" w:hAnsi="Arial"/>
          <w:sz w:val="18"/>
          <w:szCs w:val="18"/>
          <w:b w:val="1"/>
          <w:bCs w:val="1"/>
          <w:color w:val="auto"/>
        </w:rPr>
        <w:t>clause 7</w:t>
      </w:r>
      <w:r>
        <w:rPr>
          <w:rFonts w:ascii="Arial" w:cs="Arial" w:eastAsia="Arial" w:hAnsi="Arial"/>
          <w:sz w:val="18"/>
          <w:szCs w:val="18"/>
          <w:color w:val="auto"/>
        </w:rPr>
        <w:t xml:space="preserve"> (subject to such Director’s fiduciary duties).</w:t>
      </w:r>
    </w:p>
    <w:p>
      <w:pPr>
        <w:spacing w:after="0" w:line="31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Restrictions on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person (other than a Director) shall not disclose any Confidential Information except, to the extent not prohibited by Law:</w:t>
      </w:r>
    </w:p>
    <w:p>
      <w:pPr>
        <w:spacing w:after="0" w:line="127" w:lineRule="exact"/>
        <w:rPr>
          <w:sz w:val="20"/>
          <w:szCs w:val="20"/>
          <w:color w:val="auto"/>
        </w:rPr>
      </w:pPr>
    </w:p>
    <w:p>
      <w:pPr>
        <w:ind w:left="860" w:hanging="424"/>
        <w:spacing w:after="0"/>
        <w:tabs>
          <w:tab w:leader="none" w:pos="8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in the case of a Shareholder or holder of Upstream Securities, where permitted under </w:t>
      </w:r>
      <w:r>
        <w:rPr>
          <w:rFonts w:ascii="Arial" w:cs="Arial" w:eastAsia="Arial" w:hAnsi="Arial"/>
          <w:sz w:val="18"/>
          <w:szCs w:val="18"/>
          <w:b w:val="1"/>
          <w:bCs w:val="1"/>
          <w:color w:val="auto"/>
        </w:rPr>
        <w:t>clauses 7.3</w:t>
      </w:r>
      <w:r>
        <w:rPr>
          <w:rFonts w:ascii="Arial" w:cs="Arial" w:eastAsia="Arial" w:hAnsi="Arial"/>
          <w:sz w:val="18"/>
          <w:szCs w:val="18"/>
          <w:color w:val="auto"/>
        </w:rPr>
        <w:t xml:space="preserve">, </w:t>
      </w:r>
      <w:r>
        <w:rPr>
          <w:rFonts w:ascii="Arial" w:cs="Arial" w:eastAsia="Arial" w:hAnsi="Arial"/>
          <w:sz w:val="18"/>
          <w:szCs w:val="18"/>
          <w:b w:val="1"/>
          <w:bCs w:val="1"/>
          <w:color w:val="auto"/>
        </w:rPr>
        <w:t>7.4</w:t>
      </w:r>
      <w:r>
        <w:rPr>
          <w:rFonts w:ascii="Arial" w:cs="Arial" w:eastAsia="Arial" w:hAnsi="Arial"/>
          <w:sz w:val="18"/>
          <w:szCs w:val="18"/>
          <w:color w:val="auto"/>
        </w:rPr>
        <w:t xml:space="preserve">, </w:t>
      </w:r>
      <w:r>
        <w:rPr>
          <w:rFonts w:ascii="Arial" w:cs="Arial" w:eastAsia="Arial" w:hAnsi="Arial"/>
          <w:sz w:val="18"/>
          <w:szCs w:val="18"/>
          <w:b w:val="1"/>
          <w:bCs w:val="1"/>
          <w:color w:val="auto"/>
        </w:rPr>
        <w:t>7.5</w:t>
      </w:r>
      <w:r>
        <w:rPr>
          <w:rFonts w:ascii="Arial" w:cs="Arial" w:eastAsia="Arial" w:hAnsi="Arial"/>
          <w:sz w:val="18"/>
          <w:szCs w:val="18"/>
          <w:color w:val="auto"/>
        </w:rPr>
        <w:t xml:space="preserve"> or </w:t>
      </w:r>
      <w:r>
        <w:rPr>
          <w:rFonts w:ascii="Arial" w:cs="Arial" w:eastAsia="Arial" w:hAnsi="Arial"/>
          <w:sz w:val="18"/>
          <w:szCs w:val="18"/>
          <w:b w:val="1"/>
          <w:bCs w:val="1"/>
          <w:color w:val="auto"/>
        </w:rPr>
        <w:t>7.6</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in any other case, where permitted under </w:t>
      </w:r>
      <w:r>
        <w:rPr>
          <w:rFonts w:ascii="Arial" w:cs="Arial" w:eastAsia="Arial" w:hAnsi="Arial"/>
          <w:sz w:val="18"/>
          <w:szCs w:val="18"/>
          <w:b w:val="1"/>
          <w:bCs w:val="1"/>
          <w:color w:val="auto"/>
        </w:rPr>
        <w:t>clauses 7.4</w:t>
      </w:r>
      <w:r>
        <w:rPr>
          <w:rFonts w:ascii="Arial" w:cs="Arial" w:eastAsia="Arial" w:hAnsi="Arial"/>
          <w:sz w:val="18"/>
          <w:szCs w:val="18"/>
          <w:color w:val="auto"/>
        </w:rPr>
        <w:t xml:space="preserve">, </w:t>
      </w:r>
      <w:r>
        <w:rPr>
          <w:rFonts w:ascii="Arial" w:cs="Arial" w:eastAsia="Arial" w:hAnsi="Arial"/>
          <w:sz w:val="18"/>
          <w:szCs w:val="18"/>
          <w:b w:val="1"/>
          <w:bCs w:val="1"/>
          <w:color w:val="auto"/>
        </w:rPr>
        <w:t>7.5</w:t>
      </w:r>
      <w:r>
        <w:rPr>
          <w:rFonts w:ascii="Arial" w:cs="Arial" w:eastAsia="Arial" w:hAnsi="Arial"/>
          <w:sz w:val="18"/>
          <w:szCs w:val="18"/>
          <w:color w:val="auto"/>
        </w:rPr>
        <w:t xml:space="preserve"> or </w:t>
      </w:r>
      <w:r>
        <w:rPr>
          <w:rFonts w:ascii="Arial" w:cs="Arial" w:eastAsia="Arial" w:hAnsi="Arial"/>
          <w:sz w:val="18"/>
          <w:szCs w:val="18"/>
          <w:b w:val="1"/>
          <w:bCs w:val="1"/>
          <w:color w:val="auto"/>
        </w:rPr>
        <w:t>7.8</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Disclosure by Shareholders and holders of Upstream Securities</w:t>
      </w:r>
    </w:p>
    <w:p>
      <w:pPr>
        <w:spacing w:after="0" w:line="117" w:lineRule="exact"/>
        <w:rPr>
          <w:sz w:val="20"/>
          <w:szCs w:val="20"/>
          <w:color w:val="auto"/>
        </w:rPr>
      </w:pPr>
    </w:p>
    <w:p>
      <w:pPr>
        <w:ind w:left="440" w:right="20"/>
        <w:spacing w:after="0" w:line="282" w:lineRule="auto"/>
        <w:rPr>
          <w:sz w:val="20"/>
          <w:szCs w:val="20"/>
          <w:color w:val="auto"/>
        </w:rPr>
      </w:pPr>
      <w:r>
        <w:rPr>
          <w:rFonts w:ascii="Arial" w:cs="Arial" w:eastAsia="Arial" w:hAnsi="Arial"/>
          <w:sz w:val="18"/>
          <w:szCs w:val="18"/>
          <w:color w:val="auto"/>
        </w:rPr>
        <w:t xml:space="preserve">Each Shareholder and holder of Upstream Securities, as applicable, may, subject to </w:t>
      </w:r>
      <w:r>
        <w:rPr>
          <w:rFonts w:ascii="Arial" w:cs="Arial" w:eastAsia="Arial" w:hAnsi="Arial"/>
          <w:sz w:val="18"/>
          <w:szCs w:val="18"/>
          <w:b w:val="1"/>
          <w:bCs w:val="1"/>
          <w:color w:val="auto"/>
        </w:rPr>
        <w:t>clause 7.6</w:t>
      </w:r>
      <w:r>
        <w:rPr>
          <w:rFonts w:ascii="Arial" w:cs="Arial" w:eastAsia="Arial" w:hAnsi="Arial"/>
          <w:sz w:val="18"/>
          <w:szCs w:val="18"/>
          <w:color w:val="auto"/>
        </w:rPr>
        <w:t>, disclose any Confidential Information to the extent not prohibited by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294" w:name="page295"/>
    <w:bookmarkEnd w:id="294"/>
    <w:p>
      <w:pPr>
        <w:ind w:left="860" w:hanging="424"/>
        <w:spacing w:after="0" w:line="277" w:lineRule="auto"/>
        <w:tabs>
          <w:tab w:leader="none" w:pos="8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to Oaktree Capital Management, L.P., or any investment fund or account or entity managed by Oaktree Capital Management, L.P. that is a holder of Upstream Securities or</w:t>
      </w:r>
    </w:p>
    <w:p>
      <w:pPr>
        <w:spacing w:after="0" w:line="62" w:lineRule="exact"/>
        <w:rPr>
          <w:rFonts w:ascii="Arial" w:cs="Arial" w:eastAsia="Arial" w:hAnsi="Arial"/>
          <w:sz w:val="18"/>
          <w:szCs w:val="18"/>
          <w:color w:val="auto"/>
        </w:rPr>
      </w:pPr>
    </w:p>
    <w:p>
      <w:pPr>
        <w:ind w:left="880" w:right="80" w:firstLine="5"/>
        <w:spacing w:after="0" w:line="286" w:lineRule="auto"/>
        <w:tabs>
          <w:tab w:leader="none" w:pos="1145" w:val="left"/>
        </w:tabs>
        <w:numPr>
          <w:ilvl w:val="1"/>
          <w:numId w:val="375"/>
        </w:numPr>
        <w:rPr>
          <w:rFonts w:ascii="Arial" w:cs="Arial" w:eastAsia="Arial" w:hAnsi="Arial"/>
          <w:sz w:val="17"/>
          <w:szCs w:val="17"/>
          <w:color w:val="auto"/>
        </w:rPr>
      </w:pPr>
      <w:r>
        <w:rPr>
          <w:rFonts w:ascii="Arial" w:cs="Arial" w:eastAsia="Arial" w:hAnsi="Arial"/>
          <w:sz w:val="17"/>
          <w:szCs w:val="17"/>
          <w:color w:val="auto"/>
        </w:rPr>
        <w:t>to Silver Point Capital, L.P., or any investment fund or account or entity managed by Silver Point Capital, L.P. that is a holder of Upstream Securities, in the case of each of clauses (i) and (ii), so long as those persons own Effective Interests in Securities that correspond to a number of Securities equal to least 10% of the New Cotai Original Share Amount in aggregate; or</w:t>
      </w:r>
    </w:p>
    <w:p>
      <w:pPr>
        <w:spacing w:after="0" w:line="70" w:lineRule="exact"/>
        <w:rPr>
          <w:rFonts w:ascii="Arial" w:cs="Arial" w:eastAsia="Arial" w:hAnsi="Arial"/>
          <w:sz w:val="17"/>
          <w:szCs w:val="17"/>
          <w:color w:val="auto"/>
        </w:rPr>
      </w:pPr>
    </w:p>
    <w:p>
      <w:pPr>
        <w:ind w:left="860" w:right="740" w:hanging="424"/>
        <w:spacing w:after="0" w:line="342" w:lineRule="auto"/>
        <w:tabs>
          <w:tab w:leader="none" w:pos="86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to any officer, manager, employee, representative, director (or equivalent) or financial, legal or accounting adviser of or lender to a Shareholder or holder of Upstream Securities or any of the other persons specified in the applicable paragraphs of this </w:t>
      </w:r>
      <w:r>
        <w:rPr>
          <w:rFonts w:ascii="Arial" w:cs="Arial" w:eastAsia="Arial" w:hAnsi="Arial"/>
          <w:sz w:val="16"/>
          <w:szCs w:val="16"/>
          <w:b w:val="1"/>
          <w:bCs w:val="1"/>
          <w:color w:val="auto"/>
        </w:rPr>
        <w:t>clause 7.3</w:t>
      </w:r>
      <w:r>
        <w:rPr>
          <w:rFonts w:ascii="Arial" w:cs="Arial" w:eastAsia="Arial" w:hAnsi="Arial"/>
          <w:sz w:val="16"/>
          <w:szCs w:val="16"/>
          <w:color w:val="auto"/>
        </w:rPr>
        <w:t>.</w:t>
      </w:r>
    </w:p>
    <w:p>
      <w:pPr>
        <w:spacing w:after="0" w:line="26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Disclosure generally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person may disclose any Confidential Information received by it, to the extent not prohibited by Law:</w:t>
      </w:r>
    </w:p>
    <w:p>
      <w:pPr>
        <w:spacing w:after="0" w:line="131" w:lineRule="exact"/>
        <w:rPr>
          <w:sz w:val="20"/>
          <w:szCs w:val="20"/>
          <w:color w:val="auto"/>
        </w:rPr>
      </w:pPr>
    </w:p>
    <w:p>
      <w:pPr>
        <w:ind w:left="860" w:hanging="424"/>
        <w:spacing w:after="0"/>
        <w:tabs>
          <w:tab w:leader="none" w:pos="8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 the case of a person that is an investment fund, to any partner in that fund;</w:t>
      </w:r>
    </w:p>
    <w:p>
      <w:pPr>
        <w:spacing w:after="0" w:line="130" w:lineRule="exact"/>
        <w:rPr>
          <w:rFonts w:ascii="Arial" w:cs="Arial" w:eastAsia="Arial" w:hAnsi="Arial"/>
          <w:sz w:val="18"/>
          <w:szCs w:val="18"/>
          <w:color w:val="auto"/>
        </w:rPr>
      </w:pPr>
    </w:p>
    <w:p>
      <w:pPr>
        <w:ind w:left="860" w:right="160" w:hanging="424"/>
        <w:spacing w:after="0" w:line="277" w:lineRule="auto"/>
        <w:tabs>
          <w:tab w:leader="none" w:pos="8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to any officer, manager, employee, director (or equivalent) or financial, legal, valuation or accounting adviser of or lender to a Shareholder or holder of Upstream Securities or any of the other persons specified in this </w:t>
      </w:r>
      <w:r>
        <w:rPr>
          <w:rFonts w:ascii="Arial" w:cs="Arial" w:eastAsia="Arial" w:hAnsi="Arial"/>
          <w:sz w:val="18"/>
          <w:szCs w:val="18"/>
          <w:b w:val="1"/>
          <w:bCs w:val="1"/>
          <w:color w:val="auto"/>
        </w:rPr>
        <w:t>clause 7.4</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any Project Lender.</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Exceptions</w:t>
      </w:r>
    </w:p>
    <w:p>
      <w:pPr>
        <w:spacing w:after="0" w:line="131" w:lineRule="exact"/>
        <w:rPr>
          <w:sz w:val="20"/>
          <w:szCs w:val="20"/>
          <w:color w:val="auto"/>
        </w:rPr>
      </w:pPr>
    </w:p>
    <w:p>
      <w:pPr>
        <w:ind w:left="860" w:hanging="424"/>
        <w:spacing w:after="0"/>
        <w:tabs>
          <w:tab w:leader="none" w:pos="8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Despite any other provision of this clause to the contrary, but subject to </w:t>
      </w:r>
      <w:r>
        <w:rPr>
          <w:rFonts w:ascii="Arial" w:cs="Arial" w:eastAsia="Arial" w:hAnsi="Arial"/>
          <w:sz w:val="16"/>
          <w:szCs w:val="16"/>
          <w:b w:val="1"/>
          <w:bCs w:val="1"/>
          <w:color w:val="auto"/>
        </w:rPr>
        <w:t>clause 7.5(b)</w:t>
      </w:r>
      <w:r>
        <w:rPr>
          <w:rFonts w:ascii="Arial" w:cs="Arial" w:eastAsia="Arial" w:hAnsi="Arial"/>
          <w:sz w:val="16"/>
          <w:szCs w:val="16"/>
          <w:color w:val="auto"/>
        </w:rPr>
        <w:t>, a person may disclose Confidential Information to:</w:t>
      </w:r>
    </w:p>
    <w:p>
      <w:pPr>
        <w:spacing w:after="0" w:line="157" w:lineRule="exact"/>
        <w:rPr>
          <w:rFonts w:ascii="Arial" w:cs="Arial" w:eastAsia="Arial" w:hAnsi="Arial"/>
          <w:sz w:val="16"/>
          <w:szCs w:val="16"/>
          <w:color w:val="auto"/>
        </w:rPr>
      </w:pPr>
    </w:p>
    <w:p>
      <w:pPr>
        <w:ind w:left="1420" w:hanging="538"/>
        <w:spacing w:after="0"/>
        <w:tabs>
          <w:tab w:leader="none" w:pos="14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person to whom it is required to disclose the Confidential Information by Law;</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person to the extent necessary in connection with the exercise of any remedy hereunder;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Governmental Agency where required by that agency; or</w:t>
      </w:r>
    </w:p>
    <w:p>
      <w:pPr>
        <w:spacing w:after="0" w:line="130" w:lineRule="exact"/>
        <w:rPr>
          <w:rFonts w:ascii="Arial" w:cs="Arial" w:eastAsia="Arial" w:hAnsi="Arial"/>
          <w:sz w:val="18"/>
          <w:szCs w:val="18"/>
          <w:color w:val="auto"/>
        </w:rPr>
      </w:pPr>
    </w:p>
    <w:p>
      <w:pPr>
        <w:ind w:left="1420" w:right="220" w:hanging="538"/>
        <w:spacing w:after="0" w:line="277" w:lineRule="auto"/>
        <w:tabs>
          <w:tab w:leader="none" w:pos="14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any stock exchange on which its securities, or the securities of any of its Affiliates, are listed if required by the listing or exchange rules of such stock exchange.</w:t>
      </w:r>
    </w:p>
    <w:p>
      <w:pPr>
        <w:spacing w:after="0" w:line="71" w:lineRule="exact"/>
        <w:rPr>
          <w:rFonts w:ascii="Arial" w:cs="Arial" w:eastAsia="Arial" w:hAnsi="Arial"/>
          <w:sz w:val="18"/>
          <w:szCs w:val="18"/>
          <w:color w:val="auto"/>
        </w:rPr>
      </w:pPr>
    </w:p>
    <w:p>
      <w:pPr>
        <w:ind w:left="860" w:right="220" w:hanging="424"/>
        <w:spacing w:after="0" w:line="282" w:lineRule="auto"/>
        <w:tabs>
          <w:tab w:leader="none" w:pos="8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A party who is required to disclose Confidential Information under </w:t>
      </w:r>
      <w:r>
        <w:rPr>
          <w:rFonts w:ascii="Arial" w:cs="Arial" w:eastAsia="Arial" w:hAnsi="Arial"/>
          <w:sz w:val="18"/>
          <w:szCs w:val="18"/>
          <w:b w:val="1"/>
          <w:bCs w:val="1"/>
          <w:color w:val="auto"/>
        </w:rPr>
        <w:t>clause 7.5(a)</w:t>
      </w:r>
      <w:r>
        <w:rPr>
          <w:rFonts w:ascii="Arial" w:cs="Arial" w:eastAsia="Arial" w:hAnsi="Arial"/>
          <w:sz w:val="18"/>
          <w:szCs w:val="18"/>
          <w:color w:val="auto"/>
        </w:rPr>
        <w:t xml:space="preserve"> shall use commercially reasonable endeavours to, and to the maximum extent permitted by Law to, limit the form and content of that disclosure.</w:t>
      </w:r>
    </w:p>
    <w:p>
      <w:pPr>
        <w:spacing w:after="0" w:line="31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Conditions to disclosure</w:t>
      </w:r>
    </w:p>
    <w:p>
      <w:pPr>
        <w:spacing w:after="0" w:line="121" w:lineRule="exact"/>
        <w:rPr>
          <w:sz w:val="20"/>
          <w:szCs w:val="20"/>
          <w:color w:val="auto"/>
        </w:rPr>
      </w:pPr>
    </w:p>
    <w:p>
      <w:pPr>
        <w:ind w:left="440" w:right="20"/>
        <w:spacing w:after="0" w:line="286" w:lineRule="auto"/>
        <w:rPr>
          <w:sz w:val="20"/>
          <w:szCs w:val="20"/>
          <w:color w:val="auto"/>
        </w:rPr>
      </w:pPr>
      <w:r>
        <w:rPr>
          <w:rFonts w:ascii="Arial" w:cs="Arial" w:eastAsia="Arial" w:hAnsi="Arial"/>
          <w:sz w:val="17"/>
          <w:szCs w:val="17"/>
          <w:color w:val="auto"/>
        </w:rPr>
        <w:t xml:space="preserve">Each Shareholder shall be responsible for ensuring that each holder of its Upstream Securities does not disclose Confidential Information that is not permitted to be disclosed under </w:t>
      </w:r>
      <w:r>
        <w:rPr>
          <w:rFonts w:ascii="Arial" w:cs="Arial" w:eastAsia="Arial" w:hAnsi="Arial"/>
          <w:sz w:val="17"/>
          <w:szCs w:val="17"/>
          <w:b w:val="1"/>
          <w:bCs w:val="1"/>
          <w:color w:val="auto"/>
        </w:rPr>
        <w:t>clauses 7.3</w:t>
      </w:r>
      <w:r>
        <w:rPr>
          <w:rFonts w:ascii="Arial" w:cs="Arial" w:eastAsia="Arial" w:hAnsi="Arial"/>
          <w:sz w:val="17"/>
          <w:szCs w:val="17"/>
          <w:color w:val="auto"/>
        </w:rPr>
        <w:t xml:space="preserve">, </w:t>
      </w:r>
      <w:r>
        <w:rPr>
          <w:rFonts w:ascii="Arial" w:cs="Arial" w:eastAsia="Arial" w:hAnsi="Arial"/>
          <w:sz w:val="17"/>
          <w:szCs w:val="17"/>
          <w:b w:val="1"/>
          <w:bCs w:val="1"/>
          <w:color w:val="auto"/>
        </w:rPr>
        <w:t>7.4</w:t>
      </w:r>
      <w:r>
        <w:rPr>
          <w:rFonts w:ascii="Arial" w:cs="Arial" w:eastAsia="Arial" w:hAnsi="Arial"/>
          <w:sz w:val="17"/>
          <w:szCs w:val="17"/>
          <w:color w:val="auto"/>
        </w:rPr>
        <w:t xml:space="preserve"> and </w:t>
      </w:r>
      <w:r>
        <w:rPr>
          <w:rFonts w:ascii="Arial" w:cs="Arial" w:eastAsia="Arial" w:hAnsi="Arial"/>
          <w:sz w:val="17"/>
          <w:szCs w:val="17"/>
          <w:b w:val="1"/>
          <w:bCs w:val="1"/>
          <w:color w:val="auto"/>
        </w:rPr>
        <w:t>7.5</w:t>
      </w:r>
      <w:r>
        <w:rPr>
          <w:rFonts w:ascii="Arial" w:cs="Arial" w:eastAsia="Arial" w:hAnsi="Arial"/>
          <w:sz w:val="17"/>
          <w:szCs w:val="17"/>
          <w:color w:val="auto"/>
        </w:rPr>
        <w:t xml:space="preserve"> unless the Company, acting in its reasonable discretion at the request of a Shareholder, executes a Confidentiality Deed or other similar agreement with any particular holder of Upstream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95" w:name="page296"/>
    <w:bookmarkEnd w:id="295"/>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w:t>
      </w:r>
      <w:r>
        <w:rPr>
          <w:sz w:val="20"/>
          <w:szCs w:val="20"/>
          <w:color w:val="auto"/>
        </w:rPr>
        <w:tab/>
      </w:r>
      <w:r>
        <w:rPr>
          <w:rFonts w:ascii="Arial" w:cs="Arial" w:eastAsia="Arial" w:hAnsi="Arial"/>
          <w:sz w:val="15"/>
          <w:szCs w:val="15"/>
          <w:b w:val="1"/>
          <w:bCs w:val="1"/>
          <w:color w:val="auto"/>
        </w:rPr>
        <w:t>Prospective Purchaser</w:t>
      </w:r>
    </w:p>
    <w:p>
      <w:pPr>
        <w:spacing w:after="0" w:line="131" w:lineRule="exact"/>
        <w:rPr>
          <w:sz w:val="20"/>
          <w:szCs w:val="20"/>
          <w:color w:val="auto"/>
        </w:rPr>
      </w:pPr>
    </w:p>
    <w:p>
      <w:pPr>
        <w:ind w:left="860" w:right="200" w:hanging="424"/>
        <w:spacing w:after="0" w:line="303" w:lineRule="auto"/>
        <w:tabs>
          <w:tab w:leader="none" w:pos="86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 Shareholder (</w:t>
      </w:r>
      <w:r>
        <w:rPr>
          <w:rFonts w:ascii="Arial" w:cs="Arial" w:eastAsia="Arial" w:hAnsi="Arial"/>
          <w:sz w:val="16"/>
          <w:szCs w:val="16"/>
          <w:b w:val="1"/>
          <w:bCs w:val="1"/>
          <w:color w:val="auto"/>
        </w:rPr>
        <w:t>Disclosing Shareholder</w:t>
      </w:r>
      <w:r>
        <w:rPr>
          <w:rFonts w:ascii="Arial" w:cs="Arial" w:eastAsia="Arial" w:hAnsi="Arial"/>
          <w:sz w:val="16"/>
          <w:szCs w:val="16"/>
          <w:color w:val="auto"/>
        </w:rPr>
        <w:t>) shall not disclose, and shall procure that no holder of Upstream Securities discloses, any Confidential Information to a prospective purchaser of Securities or Upstream Securities (</w:t>
      </w:r>
      <w:r>
        <w:rPr>
          <w:rFonts w:ascii="Arial" w:cs="Arial" w:eastAsia="Arial" w:hAnsi="Arial"/>
          <w:sz w:val="16"/>
          <w:szCs w:val="16"/>
          <w:b w:val="1"/>
          <w:bCs w:val="1"/>
          <w:color w:val="auto"/>
        </w:rPr>
        <w:t>Prospective Purchaser</w:t>
      </w:r>
      <w:r>
        <w:rPr>
          <w:rFonts w:ascii="Arial" w:cs="Arial" w:eastAsia="Arial" w:hAnsi="Arial"/>
          <w:sz w:val="16"/>
          <w:szCs w:val="16"/>
          <w:color w:val="auto"/>
        </w:rPr>
        <w:t>) unless the Prospective Purchaser, prior to being provided with any such information, enters into a confidentiality agreement on terms no less onerous to the Prospective Purchaser than those set out in the Confidentiality Deed or otherwise reasonably acceptable to the Company.</w:t>
      </w:r>
    </w:p>
    <w:p>
      <w:pPr>
        <w:spacing w:after="0" w:line="60" w:lineRule="exact"/>
        <w:rPr>
          <w:rFonts w:ascii="Arial" w:cs="Arial" w:eastAsia="Arial" w:hAnsi="Arial"/>
          <w:sz w:val="16"/>
          <w:szCs w:val="16"/>
          <w:color w:val="auto"/>
        </w:rPr>
      </w:pPr>
    </w:p>
    <w:p>
      <w:pPr>
        <w:ind w:left="860" w:right="40" w:hanging="424"/>
        <w:spacing w:after="0" w:line="259" w:lineRule="auto"/>
        <w:tabs>
          <w:tab w:leader="none" w:pos="8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The Disclosing Shareholder shall require that a Prospective Purchaser return or destroy any information provided by the Disclosing Shareholder to the Prospective Purchaser under </w:t>
      </w:r>
      <w:r>
        <w:rPr>
          <w:rFonts w:ascii="Arial" w:cs="Arial" w:eastAsia="Arial" w:hAnsi="Arial"/>
          <w:sz w:val="18"/>
          <w:szCs w:val="18"/>
          <w:b w:val="1"/>
          <w:bCs w:val="1"/>
          <w:color w:val="auto"/>
        </w:rPr>
        <w:t>clause 7.2</w:t>
      </w:r>
      <w:r>
        <w:rPr>
          <w:rFonts w:ascii="Arial" w:cs="Arial" w:eastAsia="Arial" w:hAnsi="Arial"/>
          <w:sz w:val="18"/>
          <w:szCs w:val="18"/>
          <w:color w:val="auto"/>
        </w:rPr>
        <w:t xml:space="preserve"> (subject to customary exceptions) if the Prospective Purchaser has not purchased the Disclosing Shareholder’s Securities or the Upstream Securities on or before the date six (6) months after the date of entry into the confidentiality agreement referred to in </w:t>
      </w:r>
      <w:r>
        <w:rPr>
          <w:rFonts w:ascii="Arial" w:cs="Arial" w:eastAsia="Arial" w:hAnsi="Arial"/>
          <w:sz w:val="18"/>
          <w:szCs w:val="18"/>
          <w:b w:val="1"/>
          <w:bCs w:val="1"/>
          <w:color w:val="auto"/>
        </w:rPr>
        <w:t>clause 7.7(a)</w:t>
      </w:r>
      <w:r>
        <w:rPr>
          <w:rFonts w:ascii="Arial" w:cs="Arial" w:eastAsia="Arial" w:hAnsi="Arial"/>
          <w:sz w:val="18"/>
          <w:szCs w:val="18"/>
          <w:color w:val="auto"/>
        </w:rPr>
        <w:t>.</w:t>
      </w:r>
    </w:p>
    <w:p>
      <w:pPr>
        <w:spacing w:after="0" w:line="3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Information to be held confidential</w:t>
      </w:r>
    </w:p>
    <w:p>
      <w:pPr>
        <w:spacing w:after="0" w:line="121" w:lineRule="exact"/>
        <w:rPr>
          <w:sz w:val="20"/>
          <w:szCs w:val="20"/>
          <w:color w:val="auto"/>
        </w:rPr>
      </w:pPr>
    </w:p>
    <w:p>
      <w:pPr>
        <w:ind w:left="440" w:right="660"/>
        <w:spacing w:after="0" w:line="264" w:lineRule="auto"/>
        <w:rPr>
          <w:sz w:val="20"/>
          <w:szCs w:val="20"/>
          <w:color w:val="auto"/>
        </w:rPr>
      </w:pPr>
      <w:r>
        <w:rPr>
          <w:rFonts w:ascii="Arial" w:cs="Arial" w:eastAsia="Arial" w:hAnsi="Arial"/>
          <w:sz w:val="18"/>
          <w:szCs w:val="18"/>
          <w:color w:val="auto"/>
        </w:rPr>
        <w:t xml:space="preserve">Each Shareholder shall procure that any person to whom information is disclosed by that Shareholder or any Director appointed by that Shareholder under </w:t>
      </w:r>
      <w:r>
        <w:rPr>
          <w:rFonts w:ascii="Arial" w:cs="Arial" w:eastAsia="Arial" w:hAnsi="Arial"/>
          <w:sz w:val="18"/>
          <w:szCs w:val="18"/>
          <w:b w:val="1"/>
          <w:bCs w:val="1"/>
          <w:color w:val="auto"/>
        </w:rPr>
        <w:t>clauses 7.1</w:t>
      </w:r>
      <w:r>
        <w:rPr>
          <w:rFonts w:ascii="Arial" w:cs="Arial" w:eastAsia="Arial" w:hAnsi="Arial"/>
          <w:sz w:val="18"/>
          <w:szCs w:val="18"/>
          <w:color w:val="auto"/>
        </w:rPr>
        <w:t xml:space="preserve"> and </w:t>
      </w:r>
      <w:r>
        <w:rPr>
          <w:rFonts w:ascii="Arial" w:cs="Arial" w:eastAsia="Arial" w:hAnsi="Arial"/>
          <w:sz w:val="18"/>
          <w:szCs w:val="18"/>
          <w:b w:val="1"/>
          <w:bCs w:val="1"/>
          <w:color w:val="auto"/>
        </w:rPr>
        <w:t>7.2</w:t>
      </w:r>
      <w:r>
        <w:rPr>
          <w:rFonts w:ascii="Arial" w:cs="Arial" w:eastAsia="Arial" w:hAnsi="Arial"/>
          <w:sz w:val="18"/>
          <w:szCs w:val="18"/>
          <w:color w:val="auto"/>
        </w:rPr>
        <w:t xml:space="preserve"> keeps that information confidential and, except as permitted by this </w:t>
      </w:r>
      <w:r>
        <w:rPr>
          <w:rFonts w:ascii="Arial" w:cs="Arial" w:eastAsia="Arial" w:hAnsi="Arial"/>
          <w:sz w:val="18"/>
          <w:szCs w:val="18"/>
          <w:b w:val="1"/>
          <w:bCs w:val="1"/>
          <w:color w:val="auto"/>
        </w:rPr>
        <w:t>clause 7</w:t>
      </w:r>
      <w:r>
        <w:rPr>
          <w:rFonts w:ascii="Arial" w:cs="Arial" w:eastAsia="Arial" w:hAnsi="Arial"/>
          <w:sz w:val="18"/>
          <w:szCs w:val="18"/>
          <w:color w:val="auto"/>
        </w:rPr>
        <w:t>, does not disclose the information to any other person.</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Prohibition</w:t>
      </w:r>
    </w:p>
    <w:p>
      <w:pPr>
        <w:spacing w:after="0" w:line="117" w:lineRule="exact"/>
        <w:rPr>
          <w:sz w:val="20"/>
          <w:szCs w:val="20"/>
          <w:color w:val="auto"/>
        </w:rPr>
      </w:pPr>
    </w:p>
    <w:p>
      <w:pPr>
        <w:ind w:left="440" w:right="180"/>
        <w:spacing w:after="0" w:line="313" w:lineRule="auto"/>
        <w:rPr>
          <w:sz w:val="20"/>
          <w:szCs w:val="20"/>
          <w:color w:val="auto"/>
        </w:rPr>
      </w:pPr>
      <w:r>
        <w:rPr>
          <w:rFonts w:ascii="Arial" w:cs="Arial" w:eastAsia="Arial" w:hAnsi="Arial"/>
          <w:sz w:val="17"/>
          <w:szCs w:val="17"/>
          <w:color w:val="auto"/>
        </w:rPr>
        <w:t xml:space="preserve">A Shareholder shall not, and, subject to </w:t>
      </w:r>
      <w:r>
        <w:rPr>
          <w:rFonts w:ascii="Arial" w:cs="Arial" w:eastAsia="Arial" w:hAnsi="Arial"/>
          <w:sz w:val="17"/>
          <w:szCs w:val="17"/>
          <w:b w:val="1"/>
          <w:bCs w:val="1"/>
          <w:color w:val="auto"/>
        </w:rPr>
        <w:t>clause 7.6</w:t>
      </w:r>
      <w:r>
        <w:rPr>
          <w:rFonts w:ascii="Arial" w:cs="Arial" w:eastAsia="Arial" w:hAnsi="Arial"/>
          <w:sz w:val="17"/>
          <w:szCs w:val="17"/>
          <w:color w:val="auto"/>
        </w:rPr>
        <w:t>, shall procure that the holder of Upstream Securities in respect of such Shareholder does not, knowingly disclose any information to any Competitor or an Unsuitable Person, or any of their directors, officers or employees.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Disclosure document</w:t>
      </w:r>
    </w:p>
    <w:p>
      <w:pPr>
        <w:spacing w:after="0" w:line="117"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 xml:space="preserve">The obligations of confidentiality in this </w:t>
      </w:r>
      <w:r>
        <w:rPr>
          <w:rFonts w:ascii="Arial" w:cs="Arial" w:eastAsia="Arial" w:hAnsi="Arial"/>
          <w:sz w:val="18"/>
          <w:szCs w:val="18"/>
          <w:b w:val="1"/>
          <w:bCs w:val="1"/>
          <w:color w:val="auto"/>
        </w:rPr>
        <w:t>clause 7</w:t>
      </w:r>
      <w:r>
        <w:rPr>
          <w:rFonts w:ascii="Arial" w:cs="Arial" w:eastAsia="Arial" w:hAnsi="Arial"/>
          <w:sz w:val="18"/>
          <w:szCs w:val="18"/>
          <w:color w:val="auto"/>
        </w:rPr>
        <w:t xml:space="preserve"> do not apply to any information concerning the Group, its business or its assets in any document publicly available in connection with an underwritten public offering of the Company’s Equity Securities, or American depositary shares representing the Company’s Equity Securities.</w:t>
      </w:r>
    </w:p>
    <w:p>
      <w:pPr>
        <w:spacing w:after="0" w:line="325" w:lineRule="exact"/>
        <w:rPr>
          <w:sz w:val="20"/>
          <w:szCs w:val="20"/>
          <w:color w:val="auto"/>
        </w:rPr>
      </w:pPr>
    </w:p>
    <w:p>
      <w:pPr>
        <w:ind w:left="440" w:hanging="436"/>
        <w:spacing w:after="0"/>
        <w:tabs>
          <w:tab w:leader="none" w:pos="44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DISPUTE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Dispute</w:t>
      </w:r>
    </w:p>
    <w:p>
      <w:pPr>
        <w:spacing w:after="0" w:line="130" w:lineRule="exact"/>
        <w:rPr>
          <w:rFonts w:ascii="Arial" w:cs="Arial" w:eastAsia="Arial" w:hAnsi="Arial"/>
          <w:sz w:val="18"/>
          <w:szCs w:val="18"/>
          <w:b w:val="1"/>
          <w:bCs w:val="1"/>
          <w:color w:val="auto"/>
        </w:rPr>
      </w:pPr>
    </w:p>
    <w:p>
      <w:pPr>
        <w:ind w:left="860" w:right="520" w:hanging="424"/>
        <w:spacing w:after="0" w:line="289" w:lineRule="auto"/>
        <w:tabs>
          <w:tab w:leader="none" w:pos="86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If a dispute (</w:t>
      </w:r>
      <w:r>
        <w:rPr>
          <w:rFonts w:ascii="Arial" w:cs="Arial" w:eastAsia="Arial" w:hAnsi="Arial"/>
          <w:sz w:val="17"/>
          <w:szCs w:val="17"/>
          <w:b w:val="1"/>
          <w:bCs w:val="1"/>
          <w:color w:val="auto"/>
        </w:rPr>
        <w:t>Dispute</w:t>
      </w:r>
      <w:r>
        <w:rPr>
          <w:rFonts w:ascii="Arial" w:cs="Arial" w:eastAsia="Arial" w:hAnsi="Arial"/>
          <w:sz w:val="17"/>
          <w:szCs w:val="17"/>
          <w:color w:val="auto"/>
        </w:rPr>
        <w:t xml:space="preserve">) arises out of or relates to this document (including any dispute as to the existence, breach or termination of this document or as to any claim in tort, in equity or pursuant to any statute) a party to the document may only commence arbitration proceedings relating to the Dispute if the procedures set out in </w:t>
      </w:r>
      <w:r>
        <w:rPr>
          <w:rFonts w:ascii="Arial" w:cs="Arial" w:eastAsia="Arial" w:hAnsi="Arial"/>
          <w:sz w:val="17"/>
          <w:szCs w:val="17"/>
          <w:b w:val="1"/>
          <w:bCs w:val="1"/>
          <w:color w:val="auto"/>
        </w:rPr>
        <w:t>clauses 8.1(b)</w:t>
      </w:r>
      <w:r>
        <w:rPr>
          <w:rFonts w:ascii="Arial" w:cs="Arial" w:eastAsia="Arial" w:hAnsi="Arial"/>
          <w:sz w:val="17"/>
          <w:szCs w:val="17"/>
          <w:color w:val="auto"/>
        </w:rPr>
        <w:t xml:space="preserve"> to </w:t>
      </w:r>
      <w:r>
        <w:rPr>
          <w:rFonts w:ascii="Arial" w:cs="Arial" w:eastAsia="Arial" w:hAnsi="Arial"/>
          <w:sz w:val="17"/>
          <w:szCs w:val="17"/>
          <w:b w:val="1"/>
          <w:bCs w:val="1"/>
          <w:color w:val="auto"/>
        </w:rPr>
        <w:t>8.1(h)</w:t>
      </w:r>
      <w:r>
        <w:rPr>
          <w:rFonts w:ascii="Arial" w:cs="Arial" w:eastAsia="Arial" w:hAnsi="Arial"/>
          <w:sz w:val="17"/>
          <w:szCs w:val="17"/>
          <w:color w:val="auto"/>
        </w:rPr>
        <w:t xml:space="preserve"> have been fulfilled.</w:t>
      </w:r>
    </w:p>
    <w:p>
      <w:pPr>
        <w:spacing w:after="0" w:line="63" w:lineRule="exact"/>
        <w:rPr>
          <w:rFonts w:ascii="Arial" w:cs="Arial" w:eastAsia="Arial" w:hAnsi="Arial"/>
          <w:sz w:val="17"/>
          <w:szCs w:val="17"/>
          <w:color w:val="auto"/>
        </w:rPr>
      </w:pPr>
    </w:p>
    <w:p>
      <w:pPr>
        <w:ind w:left="860" w:right="80" w:hanging="424"/>
        <w:spacing w:after="0" w:line="282" w:lineRule="auto"/>
        <w:tabs>
          <w:tab w:leader="none" w:pos="8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 party to this document claiming the Dispute has arisen under or in relation to this document shall give written notice (</w:t>
      </w:r>
      <w:r>
        <w:rPr>
          <w:rFonts w:ascii="Arial" w:cs="Arial" w:eastAsia="Arial" w:hAnsi="Arial"/>
          <w:sz w:val="18"/>
          <w:szCs w:val="18"/>
          <w:b w:val="1"/>
          <w:bCs w:val="1"/>
          <w:color w:val="auto"/>
        </w:rPr>
        <w:t>Dispute Notice</w:t>
      </w:r>
      <w:r>
        <w:rPr>
          <w:rFonts w:ascii="Arial" w:cs="Arial" w:eastAsia="Arial" w:hAnsi="Arial"/>
          <w:sz w:val="18"/>
          <w:szCs w:val="18"/>
          <w:color w:val="auto"/>
        </w:rPr>
        <w:t>) to the other parties to the Dispute specifying the nature of the Dispute.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296" w:name="page297"/>
    <w:bookmarkEnd w:id="296"/>
    <w:p>
      <w:pPr>
        <w:jc w:val="both"/>
        <w:ind w:left="860" w:right="380" w:hanging="424"/>
        <w:spacing w:after="0" w:line="266" w:lineRule="auto"/>
        <w:tabs>
          <w:tab w:leader="none" w:pos="8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receipt of the Dispute Notice by the other parties, all the parties to the Dispute (</w:t>
      </w:r>
      <w:r>
        <w:rPr>
          <w:rFonts w:ascii="Arial" w:cs="Arial" w:eastAsia="Arial" w:hAnsi="Arial"/>
          <w:sz w:val="18"/>
          <w:szCs w:val="18"/>
          <w:b w:val="1"/>
          <w:bCs w:val="1"/>
          <w:color w:val="auto"/>
        </w:rPr>
        <w:t>Disputing Parties</w:t>
      </w:r>
      <w:r>
        <w:rPr>
          <w:rFonts w:ascii="Arial" w:cs="Arial" w:eastAsia="Arial" w:hAnsi="Arial"/>
          <w:sz w:val="18"/>
          <w:szCs w:val="18"/>
          <w:color w:val="auto"/>
        </w:rPr>
        <w:t>) shall endeavour in good faith to resolve the Dispute expeditiously using informal dispute resolution techniques such as mediation, expert evaluation or determination or similar techniques agreed by them.</w:t>
      </w:r>
    </w:p>
    <w:p>
      <w:pPr>
        <w:spacing w:after="0" w:line="85" w:lineRule="exact"/>
        <w:rPr>
          <w:rFonts w:ascii="Arial" w:cs="Arial" w:eastAsia="Arial" w:hAnsi="Arial"/>
          <w:sz w:val="18"/>
          <w:szCs w:val="18"/>
          <w:color w:val="auto"/>
        </w:rPr>
      </w:pPr>
    </w:p>
    <w:p>
      <w:pPr>
        <w:jc w:val="both"/>
        <w:ind w:left="860" w:right="120" w:hanging="424"/>
        <w:spacing w:after="0" w:line="264" w:lineRule="auto"/>
        <w:tabs>
          <w:tab w:leader="none" w:pos="8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the Disputing Parties do not resolve the Dispute within twenty (20) days of receipt of the Dispute Notice the Dispute shall be determined by way of arbitration in accordance with the Rules of Arbitration of the International Chamber of Commerce in force on the date when the notice of arbitration is submitted in accordance with these rules.</w:t>
      </w:r>
    </w:p>
    <w:p>
      <w:pPr>
        <w:spacing w:after="0" w:line="86" w:lineRule="exact"/>
        <w:rPr>
          <w:rFonts w:ascii="Arial" w:cs="Arial" w:eastAsia="Arial" w:hAnsi="Arial"/>
          <w:sz w:val="18"/>
          <w:szCs w:val="18"/>
          <w:color w:val="auto"/>
        </w:rPr>
      </w:pPr>
    </w:p>
    <w:p>
      <w:pPr>
        <w:ind w:left="860" w:right="500" w:hanging="424"/>
        <w:spacing w:after="0" w:line="277" w:lineRule="auto"/>
        <w:tabs>
          <w:tab w:leader="none" w:pos="8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number of arbitrators shall be three and the nationality or residence of the chairman of the arbitral tribunal shall not be the United States, Hong Kong or Macau.</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arbitral proceedings shall be conducted in the English language and the place of arbitration shall be Hong Kong.</w:t>
      </w:r>
    </w:p>
    <w:p>
      <w:pPr>
        <w:spacing w:after="0" w:line="126" w:lineRule="exact"/>
        <w:rPr>
          <w:rFonts w:ascii="Arial" w:cs="Arial" w:eastAsia="Arial" w:hAnsi="Arial"/>
          <w:sz w:val="18"/>
          <w:szCs w:val="18"/>
          <w:color w:val="auto"/>
        </w:rPr>
      </w:pPr>
    </w:p>
    <w:p>
      <w:pPr>
        <w:ind w:left="860" w:hanging="424"/>
        <w:spacing w:after="0" w:line="273" w:lineRule="auto"/>
        <w:tabs>
          <w:tab w:leader="none" w:pos="8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 xml:space="preserve">By agreeing to arbitration pursuant to </w:t>
      </w:r>
      <w:r>
        <w:rPr>
          <w:rFonts w:ascii="Arial" w:cs="Arial" w:eastAsia="Arial" w:hAnsi="Arial"/>
          <w:sz w:val="17"/>
          <w:szCs w:val="17"/>
          <w:b w:val="1"/>
          <w:bCs w:val="1"/>
          <w:color w:val="auto"/>
        </w:rPr>
        <w:t>clause 8.1(d)</w:t>
      </w:r>
      <w:r>
        <w:rPr>
          <w:rFonts w:ascii="Arial" w:cs="Arial" w:eastAsia="Arial" w:hAnsi="Arial"/>
          <w:sz w:val="17"/>
          <w:szCs w:val="17"/>
          <w:color w:val="auto"/>
        </w:rPr>
        <w:t xml:space="preserve">, the parties do not intend to deprive any court of its jurisdiction to issue an interim injunction or other interim relief in aid of the arbitration proceedings, provided that the parties agree that they may seek only such relief as is consistent with their agreement to resolve the Dispute by way of arbitration. Without prejudice to such relief that may be granted by a national court, the arbitral tribunal shall have full authority to grant interim or provisional remedies or to order a party to seek modification or vacation of the relief granted by a national court. For purposes of this </w:t>
      </w:r>
      <w:r>
        <w:rPr>
          <w:rFonts w:ascii="Arial" w:cs="Arial" w:eastAsia="Arial" w:hAnsi="Arial"/>
          <w:sz w:val="17"/>
          <w:szCs w:val="17"/>
          <w:b w:val="1"/>
          <w:bCs w:val="1"/>
          <w:color w:val="auto"/>
        </w:rPr>
        <w:t>clause 8.1(g)</w:t>
      </w:r>
      <w:r>
        <w:rPr>
          <w:rFonts w:ascii="Arial" w:cs="Arial" w:eastAsia="Arial" w:hAnsi="Arial"/>
          <w:sz w:val="17"/>
          <w:szCs w:val="17"/>
          <w:color w:val="auto"/>
        </w:rPr>
        <w:t>, the parties irrevocably and unconditionally submit to the exclusive jurisdiction of the courts of Hong Kong and any courts which have jurisdiction to hear appeals from those courts and waive any right to object to any proceedings being brought in those courts.</w:t>
      </w:r>
    </w:p>
    <w:p>
      <w:pPr>
        <w:spacing w:after="0" w:line="77" w:lineRule="exact"/>
        <w:rPr>
          <w:rFonts w:ascii="Arial" w:cs="Arial" w:eastAsia="Arial" w:hAnsi="Arial"/>
          <w:sz w:val="17"/>
          <w:szCs w:val="17"/>
          <w:color w:val="auto"/>
        </w:rPr>
      </w:pPr>
    </w:p>
    <w:p>
      <w:pPr>
        <w:ind w:left="860" w:hanging="424"/>
        <w:spacing w:after="0"/>
        <w:tabs>
          <w:tab w:leader="none" w:pos="8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Any dispute that arises under this document shall be resolved in accordance with this </w:t>
      </w:r>
      <w:r>
        <w:rPr>
          <w:rFonts w:ascii="Arial" w:cs="Arial" w:eastAsia="Arial" w:hAnsi="Arial"/>
          <w:sz w:val="18"/>
          <w:szCs w:val="18"/>
          <w:b w:val="1"/>
          <w:bCs w:val="1"/>
          <w:color w:val="auto"/>
        </w:rPr>
        <w:t>clause 8</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Proper exercise of rights not a Dispute</w:t>
      </w:r>
    </w:p>
    <w:p>
      <w:pPr>
        <w:spacing w:after="0" w:line="121" w:lineRule="exact"/>
        <w:rPr>
          <w:sz w:val="20"/>
          <w:szCs w:val="20"/>
          <w:color w:val="auto"/>
        </w:rPr>
      </w:pPr>
    </w:p>
    <w:p>
      <w:pPr>
        <w:ind w:left="440" w:right="520"/>
        <w:spacing w:after="0" w:line="308" w:lineRule="auto"/>
        <w:rPr>
          <w:sz w:val="20"/>
          <w:szCs w:val="20"/>
          <w:color w:val="auto"/>
        </w:rPr>
      </w:pPr>
      <w:r>
        <w:rPr>
          <w:rFonts w:ascii="Arial" w:cs="Arial" w:eastAsia="Arial" w:hAnsi="Arial"/>
          <w:sz w:val="17"/>
          <w:szCs w:val="17"/>
          <w:color w:val="auto"/>
        </w:rPr>
        <w:t>For the avoidance of doubt, the proper exercise by a Shareholder or Shareholder Group of its rights hereunder shall not constitute a Dispute merely because such exercise is contrary to the interests of the Company or another Shareholder or Shareholder Group.</w:t>
      </w:r>
    </w:p>
    <w:p>
      <w:pPr>
        <w:spacing w:after="0" w:line="291" w:lineRule="exact"/>
        <w:rPr>
          <w:sz w:val="20"/>
          <w:szCs w:val="20"/>
          <w:color w:val="auto"/>
        </w:rPr>
      </w:pPr>
    </w:p>
    <w:p>
      <w:pPr>
        <w:ind w:right="9240" w:firstLine="4"/>
        <w:spacing w:after="0" w:line="383" w:lineRule="auto"/>
        <w:tabs>
          <w:tab w:leader="none" w:pos="432"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9.1 Term</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9.2</w:t>
      </w:r>
      <w:r>
        <w:rPr>
          <w:rFonts w:ascii="Arial" w:cs="Arial" w:eastAsia="Arial" w:hAnsi="Arial"/>
          <w:sz w:val="18"/>
          <w:szCs w:val="18"/>
          <w:color w:val="auto"/>
        </w:rPr>
        <w:t>, this document continues in full force and effect until:</w:t>
      </w:r>
    </w:p>
    <w:p>
      <w:pPr>
        <w:spacing w:after="0" w:line="134" w:lineRule="exact"/>
        <w:rPr>
          <w:rFonts w:ascii="Arial" w:cs="Arial" w:eastAsia="Arial" w:hAnsi="Arial"/>
          <w:sz w:val="18"/>
          <w:szCs w:val="18"/>
          <w:b w:val="1"/>
          <w:bCs w:val="1"/>
          <w:color w:val="auto"/>
        </w:rPr>
      </w:pPr>
    </w:p>
    <w:p>
      <w:pPr>
        <w:ind w:left="860" w:hanging="424"/>
        <w:spacing w:after="0"/>
        <w:tabs>
          <w:tab w:leader="none" w:pos="8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terminated by written agreement between the parties;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in the case of a Shareholder, that Shareholder ceases to hold any Securities.</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Certain provisions continue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termination of this document with respect to a party does not affect:</w:t>
      </w:r>
    </w:p>
    <w:p>
      <w:pPr>
        <w:spacing w:after="0" w:line="131" w:lineRule="exact"/>
        <w:rPr>
          <w:sz w:val="20"/>
          <w:szCs w:val="20"/>
          <w:color w:val="auto"/>
        </w:rPr>
      </w:pPr>
    </w:p>
    <w:p>
      <w:pPr>
        <w:ind w:left="860" w:hanging="424"/>
        <w:spacing w:after="0"/>
        <w:tabs>
          <w:tab w:leader="none" w:pos="8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any obligation of that party which accrued prior to that termination and which remains unsatisfied or which has been breached; and</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97" w:name="page298"/>
    <w:bookmarkEnd w:id="297"/>
    <w:p>
      <w:pPr>
        <w:ind w:left="860" w:right="280" w:hanging="424"/>
        <w:spacing w:after="0" w:line="277" w:lineRule="auto"/>
        <w:tabs>
          <w:tab w:leader="none" w:pos="860" w:val="left"/>
        </w:tabs>
        <w:numPr>
          <w:ilvl w:val="1"/>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provision of this document which is expressed to come into effect on, or to continue in effect after, that termination, including those specified in </w:t>
      </w:r>
      <w:r>
        <w:rPr>
          <w:rFonts w:ascii="Arial" w:cs="Arial" w:eastAsia="Arial" w:hAnsi="Arial"/>
          <w:sz w:val="18"/>
          <w:szCs w:val="18"/>
          <w:b w:val="1"/>
          <w:bCs w:val="1"/>
          <w:color w:val="auto"/>
        </w:rPr>
        <w:t>clause 13.10</w:t>
      </w:r>
      <w:r>
        <w:rPr>
          <w:rFonts w:ascii="Arial" w:cs="Arial" w:eastAsia="Arial" w:hAnsi="Arial"/>
          <w:sz w:val="18"/>
          <w:szCs w:val="18"/>
          <w:color w:val="auto"/>
        </w:rPr>
        <w:t>.</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General</w:t>
      </w:r>
    </w:p>
    <w:p>
      <w:pPr>
        <w:spacing w:after="0" w:line="121"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shall be in writing in English and may be given by an agent of the sender.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How to give a communication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communication shall be given by being:</w:t>
      </w:r>
    </w:p>
    <w:p>
      <w:pPr>
        <w:spacing w:after="0" w:line="131" w:lineRule="exact"/>
        <w:rPr>
          <w:sz w:val="20"/>
          <w:szCs w:val="20"/>
          <w:color w:val="auto"/>
        </w:rPr>
      </w:pPr>
    </w:p>
    <w:p>
      <w:pPr>
        <w:ind w:left="860" w:hanging="424"/>
        <w:spacing w:after="0"/>
        <w:tabs>
          <w:tab w:leader="none" w:pos="8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personally delivered;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left at the party’s current delivery address for notices;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sent to the party’s current postal address for notices by reputable international delivery service for delivery within five days;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sent by fax to the party’s current fax number for notices,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provided that any communication hereunder may also be sent by e-mail (which shall not constitute notice).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Particulars for delivery of notices</w:t>
      </w:r>
    </w:p>
    <w:p>
      <w:pPr>
        <w:spacing w:after="0" w:line="135" w:lineRule="exact"/>
        <w:rPr>
          <w:sz w:val="20"/>
          <w:szCs w:val="20"/>
          <w:color w:val="auto"/>
        </w:rPr>
      </w:pPr>
    </w:p>
    <w:p>
      <w:pPr>
        <w:ind w:left="860" w:hanging="424"/>
        <w:spacing w:after="0" w:line="286" w:lineRule="auto"/>
        <w:tabs>
          <w:tab w:leader="none" w:pos="8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particulars for delivery of notices for each party, including such party’s (i) delivery address for notices, (ii) postal address for notices (if different than delivery address), (iii) facsimile number for notices, (iv) e- mail address for notices, and (v) designated person or office to whom notices are to be addressed, are as initially set out below and in the Deed of Accession (as the case may be):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36/F, The Centrium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 Central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number: +852-2537-3618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mco-comsec@melco-resorts.com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Latham &amp; Watkins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18th Floor, One Exchange Square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number: +852-2912-2600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Helena.Kim@lw.com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Ji-Hyun Helena Kim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MCE Cotai Investments Limited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 Melco Resorts &amp; Entertainment Limited at its address set out herein for delivery of notices facsimile number: +852-2537-3618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 mco-comsec@melco-resorts.com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18th Floor, One Exchange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+852-2912-2600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Helena.Kim@lw.com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Ji-Hyun Helena Kim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Cotai,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New Cotai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Greenwich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+1-203-542-4133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address: dreganato@silverpointcapital.com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Reganato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+1-203-542-4314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address: tlavelle@silverpointcapital.com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Timothy Lavelle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90071-3144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+ 1-213-621-5288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jeffrey.cohen@skadden.com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Jeffrey H. Cohen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36/F,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+852-2537-3618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comsec@sc-macau.com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579"/>
          </w:cols>
          <w:pgMar w:left="880" w:top="270" w:right="1440" w:bottom="1440" w:gutter="0" w:footer="0" w:header="0"/>
        </w:sectPr>
      </w:pPr>
    </w:p>
    <w:bookmarkStart w:id="299" w:name="page300"/>
    <w:bookmarkEnd w:id="29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Latham &amp; Watkins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18th Floor, One Exchange Square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number: +852-2912-2600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Helena.Kim@lw.com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Ji-Hyun Helena Kim</w:t>
      </w:r>
    </w:p>
    <w:p>
      <w:pPr>
        <w:spacing w:after="0" w:line="116" w:lineRule="exact"/>
        <w:rPr>
          <w:sz w:val="20"/>
          <w:szCs w:val="20"/>
          <w:color w:val="auto"/>
        </w:rPr>
      </w:pPr>
    </w:p>
    <w:p>
      <w:pPr>
        <w:ind w:left="860" w:hanging="424"/>
        <w:spacing w:after="0"/>
        <w:tabs>
          <w:tab w:leader="none" w:pos="8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Each party may change its particulars for delivery of notices by notice to each other party.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Communications by post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10.6</w:t>
      </w:r>
      <w:r>
        <w:rPr>
          <w:rFonts w:ascii="Arial" w:cs="Arial" w:eastAsia="Arial" w:hAnsi="Arial"/>
          <w:sz w:val="18"/>
          <w:szCs w:val="18"/>
          <w:color w:val="auto"/>
        </w:rPr>
        <w:t xml:space="preserve">, a communication is deemed given five days after being sent under </w:t>
      </w:r>
      <w:r>
        <w:rPr>
          <w:rFonts w:ascii="Arial" w:cs="Arial" w:eastAsia="Arial" w:hAnsi="Arial"/>
          <w:sz w:val="18"/>
          <w:szCs w:val="18"/>
          <w:b w:val="1"/>
          <w:bCs w:val="1"/>
          <w:color w:val="auto"/>
        </w:rPr>
        <w:t>clause 10.2(c)</w:t>
      </w: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Communications by fax</w:t>
      </w:r>
    </w:p>
    <w:p>
      <w:pPr>
        <w:spacing w:after="0" w:line="117" w:lineRule="exact"/>
        <w:rPr>
          <w:sz w:val="20"/>
          <w:szCs w:val="20"/>
          <w:color w:val="auto"/>
        </w:rPr>
      </w:pPr>
    </w:p>
    <w:p>
      <w:pPr>
        <w:ind w:left="440" w:right="100"/>
        <w:spacing w:after="0" w:line="347"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10.6</w:t>
      </w:r>
      <w:r>
        <w:rPr>
          <w:rFonts w:ascii="Arial" w:cs="Arial" w:eastAsia="Arial" w:hAnsi="Arial"/>
          <w:sz w:val="16"/>
          <w:szCs w:val="16"/>
          <w:color w:val="auto"/>
        </w:rPr>
        <w:t>, a communication is deemed given if sent by fax, when the sender’s fax machine produces a report that the fax was sent in full to the addressee. That report is conclusive evidence that the addressee received the fax in full at the time indicated on that report.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After hours communications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 communication is given:</w:t>
      </w:r>
    </w:p>
    <w:p>
      <w:pPr>
        <w:spacing w:after="0" w:line="131" w:lineRule="exact"/>
        <w:rPr>
          <w:sz w:val="20"/>
          <w:szCs w:val="20"/>
          <w:color w:val="auto"/>
        </w:rPr>
      </w:pPr>
    </w:p>
    <w:p>
      <w:pPr>
        <w:ind w:left="860" w:hanging="424"/>
        <w:spacing w:after="0"/>
        <w:tabs>
          <w:tab w:leader="none" w:pos="8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after 5.00pm in the place of receipt;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on a day which is a Saturday, Sunday or bank or public holiday in the place of receipt,</w:t>
      </w:r>
    </w:p>
    <w:p>
      <w:pPr>
        <w:spacing w:after="0" w:line="117" w:lineRule="exact"/>
        <w:rPr>
          <w:sz w:val="20"/>
          <w:szCs w:val="20"/>
          <w:color w:val="auto"/>
        </w:rPr>
      </w:pPr>
    </w:p>
    <w:p>
      <w:pPr>
        <w:ind w:left="440" w:right="480"/>
        <w:spacing w:after="0" w:line="277" w:lineRule="auto"/>
        <w:rPr>
          <w:sz w:val="20"/>
          <w:szCs w:val="20"/>
          <w:color w:val="auto"/>
        </w:rPr>
      </w:pPr>
      <w:r>
        <w:rPr>
          <w:rFonts w:ascii="Arial" w:cs="Arial" w:eastAsia="Arial" w:hAnsi="Arial"/>
          <w:sz w:val="18"/>
          <w:szCs w:val="18"/>
          <w:color w:val="auto"/>
        </w:rPr>
        <w:t>it is taken as having been given at 9.00am on the next day which is not a Saturday, Sunday or bank or public holiday or (in the case of Hong Kong) general holiday in that place.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 Receipt of notice</w:t>
      </w:r>
    </w:p>
    <w:p>
      <w:pPr>
        <w:spacing w:after="0" w:line="121"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shall be deemed received when it is deemed given hereunder.</w:t>
      </w:r>
    </w:p>
    <w:p>
      <w:pPr>
        <w:spacing w:after="0" w:line="315" w:lineRule="exact"/>
        <w:rPr>
          <w:sz w:val="20"/>
          <w:szCs w:val="20"/>
          <w:color w:val="auto"/>
        </w:rPr>
      </w:pPr>
    </w:p>
    <w:p>
      <w:pPr>
        <w:ind w:left="440" w:hanging="436"/>
        <w:spacing w:after="0" w:line="282" w:lineRule="auto"/>
        <w:tabs>
          <w:tab w:leader="none" w:pos="4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NOTICES UNDER NEWCO MEMORANDUM AND ARTICLES OF ASSOCIATION, COMPANY MEMORANDUM AND ARTICLES OF ASSOCIATION AND DEPOSIT AGREEMENT</w:t>
      </w:r>
    </w:p>
    <w:p>
      <w:pPr>
        <w:spacing w:after="0" w:line="67" w:lineRule="exact"/>
        <w:rPr>
          <w:sz w:val="20"/>
          <w:szCs w:val="20"/>
          <w:color w:val="auto"/>
        </w:rPr>
      </w:pPr>
    </w:p>
    <w:p>
      <w:pPr>
        <w:ind w:left="440" w:right="60" w:hanging="431"/>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The Company irrevocably covenants that it shall or shall cause Newco to, as applicable, promptly provide a person designated by New Cotai with</w:t>
      </w:r>
      <w:r>
        <w:rPr>
          <w:rFonts w:ascii="Arial" w:cs="Arial" w:eastAsia="Arial" w:hAnsi="Arial"/>
          <w:sz w:val="18"/>
          <w:szCs w:val="18"/>
          <w:b w:val="1"/>
          <w:bCs w:val="1"/>
          <w:color w:val="auto"/>
        </w:rPr>
        <w:t xml:space="preserve"> </w:t>
      </w:r>
      <w:r>
        <w:rPr>
          <w:rFonts w:ascii="Arial" w:cs="Arial" w:eastAsia="Arial" w:hAnsi="Arial"/>
          <w:sz w:val="18"/>
          <w:szCs w:val="18"/>
          <w:color w:val="auto"/>
        </w:rPr>
        <w:t>a copy of any notice or other communication or document that Newco is required to deliver to the Company under the Newco Memorandum and Articles of Association in its capacity as a Shareholder (as such term is defined in the Newco Memorandum and Articles of Association) of Newco.</w:t>
      </w:r>
    </w:p>
    <w:p>
      <w:pPr>
        <w:spacing w:after="0" w:line="207" w:lineRule="exact"/>
        <w:rPr>
          <w:sz w:val="20"/>
          <w:szCs w:val="20"/>
          <w:color w:val="auto"/>
        </w:rPr>
      </w:pPr>
    </w:p>
    <w:p>
      <w:pPr>
        <w:ind w:left="440" w:right="60" w:hanging="431"/>
        <w:spacing w:after="0" w:line="298"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The Company irrevocably covenants that it shall promptly provide a person designated by New Cotai with a copy of any notice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that a holder of Equity Securities of the Company (other than Class B Ordinary Shares) or ADSs is entitled to receive under the Memorandum and Articles of Association or the Deposit Agreement; provided that this clause 11.2 shall not require a separate or duplicate notice to be provided to the extent that (a) New Cotai or any person designated by New Cotai is already entitled to receive a substantially similar notice under another agreement to which the Company is a party or (b) the information set out in such notice is publicly available.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00" w:name="page301"/>
    <w:bookmarkEnd w:id="300"/>
    <w:p>
      <w:pPr>
        <w:ind w:right="7760" w:firstLine="4"/>
        <w:spacing w:after="0" w:line="393" w:lineRule="auto"/>
        <w:tabs>
          <w:tab w:leader="none" w:pos="432"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COSTS AND EXPENSES 12.1 Fees and costs</w:t>
      </w:r>
    </w:p>
    <w:p>
      <w:pPr>
        <w:spacing w:after="0" w:line="1" w:lineRule="exact"/>
        <w:rPr>
          <w:rFonts w:ascii="Arial" w:cs="Arial" w:eastAsia="Arial" w:hAnsi="Arial"/>
          <w:sz w:val="18"/>
          <w:szCs w:val="18"/>
          <w:b w:val="1"/>
          <w:bCs w:val="1"/>
          <w:color w:val="auto"/>
        </w:rPr>
      </w:pPr>
    </w:p>
    <w:p>
      <w:pPr>
        <w:jc w:val="both"/>
        <w:ind w:left="860" w:right="140" w:hanging="424"/>
        <w:spacing w:after="0" w:line="264" w:lineRule="auto"/>
        <w:tabs>
          <w:tab w:leader="none" w:pos="8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The Company shall pay the reasonable legal and other costs and expenses incurred by the parties in negotiating, preparing, executing, and registering this document and the other Transaction Documents and provided that receipts for such expenses are provided to the Company prior to such payment.</w:t>
      </w:r>
    </w:p>
    <w:p>
      <w:pPr>
        <w:spacing w:after="0" w:line="86"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If a party other than the Company pays the reasonable legal and other costs and expenses incurred by it of negotiating, preparing, executing, and registering this document or any of the other Transaction Documents then the Company shall reimburse that amount to the paying party on demand.</w:t>
      </w:r>
    </w:p>
    <w:p>
      <w:pPr>
        <w:spacing w:after="0" w:line="86" w:lineRule="exact"/>
        <w:rPr>
          <w:rFonts w:ascii="Arial" w:cs="Arial" w:eastAsia="Arial" w:hAnsi="Arial"/>
          <w:sz w:val="18"/>
          <w:szCs w:val="18"/>
          <w:color w:val="auto"/>
        </w:rPr>
      </w:pPr>
    </w:p>
    <w:p>
      <w:pPr>
        <w:ind w:left="860" w:right="340" w:hanging="424"/>
        <w:spacing w:after="0" w:line="342" w:lineRule="auto"/>
        <w:tabs>
          <w:tab w:leader="none" w:pos="86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Except as otherwise expressly stated in this document, each party shall pay its own legal and other costs and expenses of performing its obligations under this document and of any dispute that may arise in connection with any amendment to this document.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Duties</w:t>
      </w:r>
    </w:p>
    <w:p>
      <w:pPr>
        <w:spacing w:after="0" w:line="135" w:lineRule="exact"/>
        <w:rPr>
          <w:sz w:val="20"/>
          <w:szCs w:val="20"/>
          <w:color w:val="auto"/>
        </w:rPr>
      </w:pPr>
    </w:p>
    <w:p>
      <w:pPr>
        <w:ind w:left="860" w:right="140" w:hanging="424"/>
        <w:spacing w:after="0" w:line="259" w:lineRule="auto"/>
        <w:tabs>
          <w:tab w:leader="none" w:pos="8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Company, as between the parties, is liable for and shall pay all Duty (including any fine or penalty except where it arises from default by another party) on or relating to this document, any document executed under it or any dutiable transaction evidenced or effected by it except in respect of any Transfer of Securities, where unless otherwise agreed by the parties to such Transfer, Duty in respect of such Transfer will be borne by the transferee.</w:t>
      </w:r>
    </w:p>
    <w:p>
      <w:pPr>
        <w:spacing w:after="0" w:line="92" w:lineRule="exact"/>
        <w:rPr>
          <w:rFonts w:ascii="Arial" w:cs="Arial" w:eastAsia="Arial" w:hAnsi="Arial"/>
          <w:sz w:val="18"/>
          <w:szCs w:val="18"/>
          <w:color w:val="auto"/>
        </w:rPr>
      </w:pPr>
    </w:p>
    <w:p>
      <w:pPr>
        <w:jc w:val="both"/>
        <w:ind w:left="860" w:right="280" w:hanging="424"/>
        <w:spacing w:after="0" w:line="264" w:lineRule="auto"/>
        <w:tabs>
          <w:tab w:leader="none" w:pos="8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If a party other than the Company pays any Duty (including any fine or penalty) on or relating to this document, any document executed under it or any dutiable transaction evidenced or effected by it, the Company shall reimburse that amount to the paying party on demand provided that such costs and/or expenses are reasonable.</w:t>
      </w:r>
    </w:p>
    <w:p>
      <w:pPr>
        <w:spacing w:after="0" w:line="326" w:lineRule="exact"/>
        <w:rPr>
          <w:sz w:val="20"/>
          <w:szCs w:val="20"/>
          <w:color w:val="auto"/>
        </w:rPr>
      </w:pPr>
    </w:p>
    <w:p>
      <w:pPr>
        <w:jc w:val="both"/>
        <w:ind w:right="9580" w:firstLine="4"/>
        <w:spacing w:after="0" w:line="408" w:lineRule="auto"/>
        <w:tabs>
          <w:tab w:leader="none" w:pos="432"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color w:val="auto"/>
        </w:rPr>
        <w:t>GENERAL 13.1 Amendment</w:t>
      </w:r>
    </w:p>
    <w:p>
      <w:pPr>
        <w:spacing w:after="0" w:line="1"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No amendment to this document will be effective unless it is:</w:t>
      </w:r>
    </w:p>
    <w:p>
      <w:pPr>
        <w:spacing w:after="0" w:line="130" w:lineRule="exact"/>
        <w:rPr>
          <w:rFonts w:ascii="Arial" w:cs="Arial" w:eastAsia="Arial" w:hAnsi="Arial"/>
          <w:sz w:val="17"/>
          <w:szCs w:val="17"/>
          <w:b w:val="1"/>
          <w:bCs w:val="1"/>
          <w:color w:val="auto"/>
        </w:rPr>
      </w:pPr>
    </w:p>
    <w:p>
      <w:pPr>
        <w:ind w:left="860" w:hanging="424"/>
        <w:spacing w:after="0"/>
        <w:tabs>
          <w:tab w:leader="none" w:pos="8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in writing;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signed by each party;</w:t>
      </w:r>
    </w:p>
    <w:p>
      <w:pPr>
        <w:spacing w:after="0" w:line="113" w:lineRule="exact"/>
        <w:rPr>
          <w:sz w:val="20"/>
          <w:szCs w:val="20"/>
          <w:color w:val="auto"/>
        </w:rPr>
      </w:pPr>
    </w:p>
    <w:p>
      <w:pPr>
        <w:ind w:left="440" w:right="360"/>
        <w:spacing w:after="0" w:line="313" w:lineRule="auto"/>
        <w:rPr>
          <w:sz w:val="20"/>
          <w:szCs w:val="20"/>
          <w:color w:val="auto"/>
        </w:rPr>
      </w:pPr>
      <w:r>
        <w:rPr>
          <w:rFonts w:ascii="Arial" w:cs="Arial" w:eastAsia="Arial" w:hAnsi="Arial"/>
          <w:sz w:val="17"/>
          <w:szCs w:val="17"/>
          <w:color w:val="auto"/>
        </w:rPr>
        <w:t xml:space="preserve">provided that New Cotai may amend Schedule II, subject to the requirements of </w:t>
      </w:r>
      <w:r>
        <w:rPr>
          <w:rFonts w:ascii="Arial" w:cs="Arial" w:eastAsia="Arial" w:hAnsi="Arial"/>
          <w:sz w:val="17"/>
          <w:szCs w:val="17"/>
          <w:b w:val="1"/>
          <w:bCs w:val="1"/>
          <w:color w:val="auto"/>
        </w:rPr>
        <w:t>clauses 2.2(f)</w:t>
      </w:r>
      <w:r>
        <w:rPr>
          <w:rFonts w:ascii="Arial" w:cs="Arial" w:eastAsia="Arial" w:hAnsi="Arial"/>
          <w:sz w:val="17"/>
          <w:szCs w:val="17"/>
          <w:color w:val="auto"/>
        </w:rPr>
        <w:t xml:space="preserve"> and representations and warranties set forth in </w:t>
      </w:r>
      <w:r>
        <w:rPr>
          <w:rFonts w:ascii="Arial" w:cs="Arial" w:eastAsia="Arial" w:hAnsi="Arial"/>
          <w:sz w:val="17"/>
          <w:szCs w:val="17"/>
          <w:b w:val="1"/>
          <w:bCs w:val="1"/>
          <w:color w:val="auto"/>
        </w:rPr>
        <w:t>2.2(g)</w:t>
      </w:r>
      <w:r>
        <w:rPr>
          <w:rFonts w:ascii="Arial" w:cs="Arial" w:eastAsia="Arial" w:hAnsi="Arial"/>
          <w:sz w:val="17"/>
          <w:szCs w:val="17"/>
          <w:color w:val="auto"/>
        </w:rPr>
        <w:t>, in its sole discretion without the consent of any other party in accordance with the definition of Minority Shareholders.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Counterparts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document may consist of a number of counterparts and if so the counterparts taken together constitute one document.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0" w:right="49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 Assignment</w:t>
      </w:r>
    </w:p>
    <w:p>
      <w:pPr>
        <w:spacing w:after="0" w:line="135" w:lineRule="exact"/>
        <w:rPr>
          <w:sz w:val="20"/>
          <w:szCs w:val="20"/>
          <w:color w:val="auto"/>
        </w:rPr>
      </w:pPr>
    </w:p>
    <w:p>
      <w:pPr>
        <w:ind w:left="860" w:right="380" w:hanging="424"/>
        <w:spacing w:after="0" w:line="277" w:lineRule="auto"/>
        <w:tabs>
          <w:tab w:leader="none" w:pos="8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Except to the extent expressly permitted under this document, a party shall not Transfer any right under this document without the prior written consent of the other parties.</w:t>
      </w:r>
    </w:p>
    <w:p>
      <w:pPr>
        <w:spacing w:after="0" w:line="71" w:lineRule="exact"/>
        <w:rPr>
          <w:rFonts w:ascii="Arial" w:cs="Arial" w:eastAsia="Arial" w:hAnsi="Arial"/>
          <w:sz w:val="18"/>
          <w:szCs w:val="18"/>
          <w:color w:val="auto"/>
        </w:rPr>
      </w:pPr>
    </w:p>
    <w:p>
      <w:pPr>
        <w:ind w:left="860" w:hanging="424"/>
        <w:spacing w:after="0"/>
        <w:tabs>
          <w:tab w:leader="none" w:pos="8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Any purported Transfer in breach of this </w:t>
      </w:r>
      <w:r>
        <w:rPr>
          <w:rFonts w:ascii="Arial" w:cs="Arial" w:eastAsia="Arial" w:hAnsi="Arial"/>
          <w:sz w:val="18"/>
          <w:szCs w:val="18"/>
          <w:b w:val="1"/>
          <w:bCs w:val="1"/>
          <w:color w:val="auto"/>
        </w:rPr>
        <w:t>clause 13.3</w:t>
      </w:r>
      <w:r>
        <w:rPr>
          <w:rFonts w:ascii="Arial" w:cs="Arial" w:eastAsia="Arial" w:hAnsi="Arial"/>
          <w:sz w:val="18"/>
          <w:szCs w:val="18"/>
          <w:color w:val="auto"/>
        </w:rPr>
        <w:t xml:space="preserve"> is of no effect.</w:t>
      </w:r>
    </w:p>
    <w:p>
      <w:pPr>
        <w:spacing w:after="0" w:line="134" w:lineRule="exact"/>
        <w:rPr>
          <w:rFonts w:ascii="Arial" w:cs="Arial" w:eastAsia="Arial" w:hAnsi="Arial"/>
          <w:sz w:val="18"/>
          <w:szCs w:val="18"/>
          <w:color w:val="auto"/>
        </w:rPr>
      </w:pPr>
    </w:p>
    <w:p>
      <w:pPr>
        <w:ind w:left="860" w:right="120" w:hanging="424"/>
        <w:spacing w:after="0" w:line="277" w:lineRule="auto"/>
        <w:tabs>
          <w:tab w:leader="none" w:pos="8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Company may assign its rights, and the Shareholders may assign their rights, under this document to any Project Lender if required by that lender in connection with, providing any such financing.</w:t>
      </w:r>
    </w:p>
    <w:p>
      <w:pPr>
        <w:spacing w:after="0" w:line="75" w:lineRule="exact"/>
        <w:rPr>
          <w:rFonts w:ascii="Arial" w:cs="Arial" w:eastAsia="Arial" w:hAnsi="Arial"/>
          <w:sz w:val="18"/>
          <w:szCs w:val="18"/>
          <w:color w:val="auto"/>
        </w:rPr>
      </w:pPr>
    </w:p>
    <w:p>
      <w:pPr>
        <w:ind w:left="860" w:right="460" w:hanging="424"/>
        <w:spacing w:after="0" w:line="277" w:lineRule="auto"/>
        <w:tabs>
          <w:tab w:leader="none" w:pos="8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For the avoidance of doubt, without limitation of the provisions governing the requirements applicable to a transferee to be a Minority Shareholder, this document does not restrict the transfer of Class A Ordinary Shares to a transferee.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13.4 Entire understanding</w:t>
      </w:r>
    </w:p>
    <w:p>
      <w:pPr>
        <w:spacing w:after="0" w:line="135" w:lineRule="exact"/>
        <w:rPr>
          <w:sz w:val="20"/>
          <w:szCs w:val="20"/>
          <w:color w:val="auto"/>
        </w:rPr>
      </w:pPr>
    </w:p>
    <w:p>
      <w:pPr>
        <w:ind w:left="860" w:right="400" w:hanging="424"/>
        <w:spacing w:after="0" w:line="277" w:lineRule="auto"/>
        <w:tabs>
          <w:tab w:leader="none" w:pos="8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This document together with the other Transaction Documents constitutes the entire understanding between the parties as to the subject matter of this document.</w:t>
      </w:r>
    </w:p>
    <w:p>
      <w:pPr>
        <w:spacing w:after="0" w:line="75" w:lineRule="exact"/>
        <w:rPr>
          <w:rFonts w:ascii="Arial" w:cs="Arial" w:eastAsia="Arial" w:hAnsi="Arial"/>
          <w:sz w:val="18"/>
          <w:szCs w:val="18"/>
          <w:color w:val="auto"/>
        </w:rPr>
      </w:pPr>
    </w:p>
    <w:p>
      <w:pPr>
        <w:ind w:left="860" w:right="280" w:hanging="424"/>
        <w:spacing w:after="0" w:line="342" w:lineRule="auto"/>
        <w:tabs>
          <w:tab w:leader="none" w:pos="86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All previous negotiations, understandings, representations, warranties, memoranda or commitments concerning the subject matter of this document are superseded by this document and are of no effect. No party is liable to any other party in respect of those matters.</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 oral explanation or information provided by any party to another: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affects the meaning or interpretation of this document;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constitutes any collateral agreement, warranty or understanding between any of the parties.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13.5 Further steps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Each party shall promptly do whatever any other party reasonably requires of it to give effect to this document (including voting their Securities in favour of any resolution).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13.6 Attorneys</w:t>
      </w:r>
    </w:p>
    <w:p>
      <w:pPr>
        <w:spacing w:after="0" w:line="121"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Each of the attorneys executing this document declares that the attorney has no notice of the revocation of the power of attorney under which the attorney executes this document.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13.7 Inconsistency with Memorandum and Articles of Association</w:t>
      </w:r>
    </w:p>
    <w:p>
      <w:pPr>
        <w:spacing w:after="0" w:line="135" w:lineRule="exact"/>
        <w:rPr>
          <w:sz w:val="20"/>
          <w:szCs w:val="20"/>
          <w:color w:val="auto"/>
        </w:rPr>
      </w:pPr>
    </w:p>
    <w:p>
      <w:pPr>
        <w:ind w:left="860" w:right="60" w:hanging="424"/>
        <w:spacing w:after="0" w:line="276" w:lineRule="auto"/>
        <w:tabs>
          <w:tab w:leader="none" w:pos="86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If there is any inconsistency between this document and the Memorandum and Articles of Association, this document prevails as between the Shareholders only to the extent of that inconsistency. Each Shareholder and the Company (to the fullest extent permissible under applicable law) acknowledges and agrees that there is no inconsistency between </w:t>
      </w:r>
      <w:r>
        <w:rPr>
          <w:rFonts w:ascii="Arial" w:cs="Arial" w:eastAsia="Arial" w:hAnsi="Arial"/>
          <w:sz w:val="17"/>
          <w:szCs w:val="17"/>
          <w:b w:val="1"/>
          <w:bCs w:val="1"/>
          <w:color w:val="auto"/>
        </w:rPr>
        <w:t>clause 13.7(d)</w:t>
      </w:r>
      <w:r>
        <w:rPr>
          <w:rFonts w:ascii="Arial" w:cs="Arial" w:eastAsia="Arial" w:hAnsi="Arial"/>
          <w:sz w:val="17"/>
          <w:szCs w:val="17"/>
          <w:color w:val="auto"/>
        </w:rPr>
        <w:t xml:space="preserve"> and the Memorandum and Articles of Association as of the date of this document and for so long as none of the rights attached to the Class B Ordinary Shares under Article 29 or Article 56 of the Memorandum and Articles of Association are amended or removed.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02" w:name="page303"/>
    <w:bookmarkEnd w:id="302"/>
    <w:p>
      <w:pPr>
        <w:ind w:left="860" w:right="480" w:hanging="424"/>
        <w:spacing w:after="0" w:line="277" w:lineRule="auto"/>
        <w:tabs>
          <w:tab w:leader="none" w:pos="8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written request of any party, all parties shall take all necessary steps, including voting in favour of any resolution, to amend the Memorandum and Articles of Association to remove the inconsistency specified in </w:t>
      </w:r>
      <w:r>
        <w:rPr>
          <w:rFonts w:ascii="Arial" w:cs="Arial" w:eastAsia="Arial" w:hAnsi="Arial"/>
          <w:sz w:val="18"/>
          <w:szCs w:val="18"/>
          <w:b w:val="1"/>
          <w:bCs w:val="1"/>
          <w:color w:val="auto"/>
        </w:rPr>
        <w:t>clause 13.7(a)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60" w:right="120" w:hanging="424"/>
        <w:spacing w:after="0" w:line="264" w:lineRule="auto"/>
        <w:tabs>
          <w:tab w:leader="none" w:pos="8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Shareholder and the Company acknowledges and agrees that the terms of this document (i) are enforceable between the Shareholders and the Company (and between the Shareholders inter se) and (ii) are not rendered invalid solely due to any inconsistency between this document and the Memorandum and Articles of Association.</w:t>
      </w:r>
    </w:p>
    <w:p>
      <w:pPr>
        <w:spacing w:after="0" w:line="86" w:lineRule="exact"/>
        <w:rPr>
          <w:rFonts w:ascii="Arial" w:cs="Arial" w:eastAsia="Arial" w:hAnsi="Arial"/>
          <w:sz w:val="18"/>
          <w:szCs w:val="18"/>
          <w:color w:val="auto"/>
        </w:rPr>
      </w:pPr>
    </w:p>
    <w:p>
      <w:pPr>
        <w:ind w:left="860" w:hanging="424"/>
        <w:spacing w:after="0" w:line="254" w:lineRule="auto"/>
        <w:tabs>
          <w:tab w:leader="none" w:pos="8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So long as the Participation Agreement remains in effect and any Class B Ordinary Shares remain issued and outstanding, each of the Shareholders and the Company covenant (as separate independent covenants and in the case of the Company to the extent permissible under applicable law) not to amend or remove, including by passage of a Special Resolution (as defined in the Memorandum and Articles of Association), any of the rights attached to the Class B Ordinary Shares under Article 29 or Article 56 of the Memorandum and Articles of Association, unless the Company first obtains the approval of the holders of a majority of the issued Class B Ordinary Shares by way of the written consent of the holders of a majority of the issued Class B Ordinary Shares, or with the sanction of a resolution passed by at least a majority of the holders of issued Class B Ordinary Shares present in person or by proxy at a separate general meeting of the holders of the issued Class B Ordinary Shares.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13.8 Relationship of parties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document is not intended to create a partnership, joint venture, fiduciary or agency relationship between the parties.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13.9 Rights cumulative</w:t>
      </w:r>
    </w:p>
    <w:p>
      <w:pPr>
        <w:spacing w:after="0" w:line="12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Except as otherwise expressly stated in this document, the rights of a party under this document are cumulative and are in addition to any other rights of that party.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13.10 Survival of obligations after termination</w:t>
      </w:r>
    </w:p>
    <w:p>
      <w:pPr>
        <w:spacing w:after="0" w:line="117" w:lineRule="exact"/>
        <w:rPr>
          <w:sz w:val="20"/>
          <w:szCs w:val="20"/>
          <w:color w:val="auto"/>
        </w:rPr>
      </w:pPr>
    </w:p>
    <w:p>
      <w:pPr>
        <w:ind w:left="440" w:right="40"/>
        <w:spacing w:after="0" w:line="258" w:lineRule="auto"/>
        <w:rPr>
          <w:sz w:val="20"/>
          <w:szCs w:val="20"/>
          <w:color w:val="auto"/>
        </w:rPr>
      </w:pPr>
      <w:r>
        <w:rPr>
          <w:rFonts w:ascii="Arial" w:cs="Arial" w:eastAsia="Arial" w:hAnsi="Arial"/>
          <w:sz w:val="18"/>
          <w:szCs w:val="18"/>
          <w:b w:val="1"/>
          <w:bCs w:val="1"/>
          <w:color w:val="auto"/>
        </w:rPr>
        <w:t xml:space="preserve">Clauses 1 </w:t>
      </w:r>
      <w:r>
        <w:rPr>
          <w:rFonts w:ascii="Arial" w:cs="Arial" w:eastAsia="Arial" w:hAnsi="Arial"/>
          <w:sz w:val="18"/>
          <w:szCs w:val="18"/>
          <w:color w:val="auto"/>
        </w:rPr>
        <w:t>(Interpretation),</w:t>
      </w:r>
      <w:r>
        <w:rPr>
          <w:rFonts w:ascii="Arial" w:cs="Arial" w:eastAsia="Arial" w:hAnsi="Arial"/>
          <w:sz w:val="18"/>
          <w:szCs w:val="18"/>
          <w:b w:val="1"/>
          <w:bCs w:val="1"/>
          <w:color w:val="auto"/>
        </w:rPr>
        <w:t xml:space="preserve"> 2.8 </w:t>
      </w:r>
      <w:r>
        <w:rPr>
          <w:rFonts w:ascii="Arial" w:cs="Arial" w:eastAsia="Arial" w:hAnsi="Arial"/>
          <w:sz w:val="18"/>
          <w:szCs w:val="18"/>
          <w:color w:val="auto"/>
        </w:rPr>
        <w:t>(Fees and expenses of Directors),</w:t>
      </w:r>
      <w:r>
        <w:rPr>
          <w:rFonts w:ascii="Arial" w:cs="Arial" w:eastAsia="Arial" w:hAnsi="Arial"/>
          <w:sz w:val="18"/>
          <w:szCs w:val="18"/>
          <w:b w:val="1"/>
          <w:bCs w:val="1"/>
          <w:color w:val="auto"/>
        </w:rPr>
        <w:t xml:space="preserve"> 2.9 </w:t>
      </w:r>
      <w:r>
        <w:rPr>
          <w:rFonts w:ascii="Arial" w:cs="Arial" w:eastAsia="Arial" w:hAnsi="Arial"/>
          <w:sz w:val="18"/>
          <w:szCs w:val="18"/>
          <w:color w:val="auto"/>
        </w:rPr>
        <w:t>(D&amp;O Policy),</w:t>
      </w:r>
      <w:r>
        <w:rPr>
          <w:rFonts w:ascii="Arial" w:cs="Arial" w:eastAsia="Arial" w:hAnsi="Arial"/>
          <w:sz w:val="18"/>
          <w:szCs w:val="18"/>
          <w:b w:val="1"/>
          <w:bCs w:val="1"/>
          <w:color w:val="auto"/>
        </w:rPr>
        <w:t xml:space="preserve"> 2.10 </w:t>
      </w:r>
      <w:r>
        <w:rPr>
          <w:rFonts w:ascii="Arial" w:cs="Arial" w:eastAsia="Arial" w:hAnsi="Arial"/>
          <w:sz w:val="18"/>
          <w:szCs w:val="18"/>
          <w:color w:val="auto"/>
        </w:rPr>
        <w:t>(Indemnity deed),</w:t>
      </w:r>
      <w:r>
        <w:rPr>
          <w:rFonts w:ascii="Arial" w:cs="Arial" w:eastAsia="Arial" w:hAnsi="Arial"/>
          <w:sz w:val="18"/>
          <w:szCs w:val="18"/>
          <w:b w:val="1"/>
          <w:bCs w:val="1"/>
          <w:color w:val="auto"/>
        </w:rPr>
        <w:t xml:space="preserve"> 5.2 </w:t>
      </w:r>
      <w:r>
        <w:rPr>
          <w:rFonts w:ascii="Arial" w:cs="Arial" w:eastAsia="Arial" w:hAnsi="Arial"/>
          <w:sz w:val="18"/>
          <w:szCs w:val="18"/>
          <w:color w:val="auto"/>
        </w:rPr>
        <w:t>(Other Administrative Matters),</w:t>
      </w:r>
      <w:r>
        <w:rPr>
          <w:rFonts w:ascii="Arial" w:cs="Arial" w:eastAsia="Arial" w:hAnsi="Arial"/>
          <w:sz w:val="18"/>
          <w:szCs w:val="18"/>
          <w:b w:val="1"/>
          <w:bCs w:val="1"/>
          <w:color w:val="auto"/>
        </w:rPr>
        <w:t xml:space="preserve"> 8 </w:t>
      </w:r>
      <w:r>
        <w:rPr>
          <w:rFonts w:ascii="Arial" w:cs="Arial" w:eastAsia="Arial" w:hAnsi="Arial"/>
          <w:sz w:val="18"/>
          <w:szCs w:val="18"/>
          <w:color w:val="auto"/>
        </w:rPr>
        <w:t xml:space="preserve">(Dispute), </w:t>
      </w:r>
      <w:r>
        <w:rPr>
          <w:rFonts w:ascii="Arial" w:cs="Arial" w:eastAsia="Arial" w:hAnsi="Arial"/>
          <w:sz w:val="18"/>
          <w:szCs w:val="18"/>
          <w:b w:val="1"/>
          <w:bCs w:val="1"/>
          <w:color w:val="auto"/>
        </w:rPr>
        <w:t>9.2</w:t>
      </w:r>
      <w:r>
        <w:rPr>
          <w:rFonts w:ascii="Arial" w:cs="Arial" w:eastAsia="Arial" w:hAnsi="Arial"/>
          <w:sz w:val="18"/>
          <w:szCs w:val="18"/>
          <w:color w:val="auto"/>
        </w:rPr>
        <w:t xml:space="preserve"> (Certain provisions continue), </w:t>
      </w:r>
      <w:r>
        <w:rPr>
          <w:rFonts w:ascii="Arial" w:cs="Arial" w:eastAsia="Arial" w:hAnsi="Arial"/>
          <w:sz w:val="18"/>
          <w:szCs w:val="18"/>
          <w:b w:val="1"/>
          <w:bCs w:val="1"/>
          <w:color w:val="auto"/>
        </w:rPr>
        <w:t>10</w:t>
      </w:r>
      <w:r>
        <w:rPr>
          <w:rFonts w:ascii="Arial" w:cs="Arial" w:eastAsia="Arial" w:hAnsi="Arial"/>
          <w:sz w:val="18"/>
          <w:szCs w:val="18"/>
          <w:color w:val="auto"/>
        </w:rPr>
        <w:t xml:space="preserve"> (Notices), </w:t>
      </w:r>
      <w:r>
        <w:rPr>
          <w:rFonts w:ascii="Arial" w:cs="Arial" w:eastAsia="Arial" w:hAnsi="Arial"/>
          <w:sz w:val="18"/>
          <w:szCs w:val="18"/>
          <w:b w:val="1"/>
          <w:bCs w:val="1"/>
          <w:color w:val="auto"/>
        </w:rPr>
        <w:t>13.3</w:t>
      </w:r>
      <w:r>
        <w:rPr>
          <w:rFonts w:ascii="Arial" w:cs="Arial" w:eastAsia="Arial" w:hAnsi="Arial"/>
          <w:sz w:val="18"/>
          <w:szCs w:val="18"/>
          <w:color w:val="auto"/>
        </w:rPr>
        <w:t xml:space="preserve"> (Assignment), </w:t>
      </w:r>
      <w:r>
        <w:rPr>
          <w:rFonts w:ascii="Arial" w:cs="Arial" w:eastAsia="Arial" w:hAnsi="Arial"/>
          <w:sz w:val="18"/>
          <w:szCs w:val="18"/>
          <w:b w:val="1"/>
          <w:bCs w:val="1"/>
          <w:color w:val="auto"/>
        </w:rPr>
        <w:t>13.7(a)</w:t>
      </w:r>
      <w:r>
        <w:rPr>
          <w:rFonts w:ascii="Arial" w:cs="Arial" w:eastAsia="Arial" w:hAnsi="Arial"/>
          <w:sz w:val="18"/>
          <w:szCs w:val="18"/>
          <w:color w:val="auto"/>
        </w:rPr>
        <w:t xml:space="preserve">, </w:t>
      </w:r>
      <w:r>
        <w:rPr>
          <w:rFonts w:ascii="Arial" w:cs="Arial" w:eastAsia="Arial" w:hAnsi="Arial"/>
          <w:sz w:val="18"/>
          <w:szCs w:val="18"/>
          <w:b w:val="1"/>
          <w:bCs w:val="1"/>
          <w:color w:val="auto"/>
        </w:rPr>
        <w:t>13.7(b)</w:t>
      </w:r>
      <w:r>
        <w:rPr>
          <w:rFonts w:ascii="Arial" w:cs="Arial" w:eastAsia="Arial" w:hAnsi="Arial"/>
          <w:sz w:val="18"/>
          <w:szCs w:val="18"/>
          <w:color w:val="auto"/>
        </w:rPr>
        <w:t xml:space="preserve">, </w:t>
      </w:r>
      <w:r>
        <w:rPr>
          <w:rFonts w:ascii="Arial" w:cs="Arial" w:eastAsia="Arial" w:hAnsi="Arial"/>
          <w:sz w:val="18"/>
          <w:szCs w:val="18"/>
          <w:b w:val="1"/>
          <w:bCs w:val="1"/>
          <w:color w:val="auto"/>
        </w:rPr>
        <w:t>13.7(c)</w:t>
      </w:r>
      <w:r>
        <w:rPr>
          <w:rFonts w:ascii="Arial" w:cs="Arial" w:eastAsia="Arial" w:hAnsi="Arial"/>
          <w:sz w:val="18"/>
          <w:szCs w:val="18"/>
          <w:color w:val="auto"/>
        </w:rPr>
        <w:t xml:space="preserve">, </w:t>
      </w:r>
      <w:r>
        <w:rPr>
          <w:rFonts w:ascii="Arial" w:cs="Arial" w:eastAsia="Arial" w:hAnsi="Arial"/>
          <w:sz w:val="18"/>
          <w:szCs w:val="18"/>
          <w:b w:val="1"/>
          <w:bCs w:val="1"/>
          <w:color w:val="auto"/>
        </w:rPr>
        <w:t>13.9</w:t>
      </w:r>
      <w:r>
        <w:rPr>
          <w:rFonts w:ascii="Arial" w:cs="Arial" w:eastAsia="Arial" w:hAnsi="Arial"/>
          <w:sz w:val="18"/>
          <w:szCs w:val="18"/>
          <w:color w:val="auto"/>
        </w:rPr>
        <w:t xml:space="preserve"> (Rights cumulative), </w:t>
      </w:r>
      <w:r>
        <w:rPr>
          <w:rFonts w:ascii="Arial" w:cs="Arial" w:eastAsia="Arial" w:hAnsi="Arial"/>
          <w:sz w:val="18"/>
          <w:szCs w:val="18"/>
          <w:b w:val="1"/>
          <w:bCs w:val="1"/>
          <w:color w:val="auto"/>
        </w:rPr>
        <w:t>13.10</w:t>
      </w:r>
      <w:r>
        <w:rPr>
          <w:rFonts w:ascii="Arial" w:cs="Arial" w:eastAsia="Arial" w:hAnsi="Arial"/>
          <w:sz w:val="18"/>
          <w:szCs w:val="18"/>
          <w:color w:val="auto"/>
        </w:rPr>
        <w:t xml:space="preserve"> (Survival of obligations after termination), </w:t>
      </w:r>
      <w:r>
        <w:rPr>
          <w:rFonts w:ascii="Arial" w:cs="Arial" w:eastAsia="Arial" w:hAnsi="Arial"/>
          <w:sz w:val="18"/>
          <w:szCs w:val="18"/>
          <w:b w:val="1"/>
          <w:bCs w:val="1"/>
          <w:color w:val="auto"/>
        </w:rPr>
        <w:t>13.11</w:t>
      </w:r>
      <w:r>
        <w:rPr>
          <w:rFonts w:ascii="Arial" w:cs="Arial" w:eastAsia="Arial" w:hAnsi="Arial"/>
          <w:sz w:val="18"/>
          <w:szCs w:val="18"/>
          <w:color w:val="auto"/>
        </w:rPr>
        <w:t xml:space="preserve"> (Waiver and exercise of rights), </w:t>
      </w:r>
      <w:r>
        <w:rPr>
          <w:rFonts w:ascii="Arial" w:cs="Arial" w:eastAsia="Arial" w:hAnsi="Arial"/>
          <w:sz w:val="18"/>
          <w:szCs w:val="18"/>
          <w:b w:val="1"/>
          <w:bCs w:val="1"/>
          <w:color w:val="auto"/>
        </w:rPr>
        <w:t>13.12</w:t>
      </w:r>
      <w:r>
        <w:rPr>
          <w:rFonts w:ascii="Arial" w:cs="Arial" w:eastAsia="Arial" w:hAnsi="Arial"/>
          <w:sz w:val="18"/>
          <w:szCs w:val="18"/>
          <w:color w:val="auto"/>
        </w:rPr>
        <w:t xml:space="preserve"> (Consent), </w:t>
      </w:r>
      <w:r>
        <w:rPr>
          <w:rFonts w:ascii="Arial" w:cs="Arial" w:eastAsia="Arial" w:hAnsi="Arial"/>
          <w:sz w:val="18"/>
          <w:szCs w:val="18"/>
          <w:b w:val="1"/>
          <w:bCs w:val="1"/>
          <w:color w:val="auto"/>
        </w:rPr>
        <w:t>13.13(b)</w:t>
      </w:r>
      <w:r>
        <w:rPr>
          <w:rFonts w:ascii="Arial" w:cs="Arial" w:eastAsia="Arial" w:hAnsi="Arial"/>
          <w:sz w:val="18"/>
          <w:szCs w:val="18"/>
          <w:color w:val="auto"/>
        </w:rPr>
        <w:t xml:space="preserve"> (Equitable relief), </w:t>
      </w:r>
      <w:r>
        <w:rPr>
          <w:rFonts w:ascii="Arial" w:cs="Arial" w:eastAsia="Arial" w:hAnsi="Arial"/>
          <w:sz w:val="18"/>
          <w:szCs w:val="18"/>
          <w:b w:val="1"/>
          <w:bCs w:val="1"/>
          <w:color w:val="auto"/>
        </w:rPr>
        <w:t>13.14</w:t>
      </w:r>
      <w:r>
        <w:rPr>
          <w:rFonts w:ascii="Arial" w:cs="Arial" w:eastAsia="Arial" w:hAnsi="Arial"/>
          <w:sz w:val="18"/>
          <w:szCs w:val="18"/>
          <w:color w:val="auto"/>
        </w:rPr>
        <w:t xml:space="preserve"> (Governing law and jurisdiction) and </w:t>
      </w:r>
      <w:r>
        <w:rPr>
          <w:rFonts w:ascii="Arial" w:cs="Arial" w:eastAsia="Arial" w:hAnsi="Arial"/>
          <w:sz w:val="18"/>
          <w:szCs w:val="18"/>
          <w:b w:val="1"/>
          <w:bCs w:val="1"/>
          <w:color w:val="auto"/>
        </w:rPr>
        <w:t>13.15</w:t>
      </w:r>
      <w:r>
        <w:rPr>
          <w:rFonts w:ascii="Arial" w:cs="Arial" w:eastAsia="Arial" w:hAnsi="Arial"/>
          <w:sz w:val="18"/>
          <w:szCs w:val="18"/>
          <w:color w:val="auto"/>
        </w:rPr>
        <w:t xml:space="preserve"> (No Third Party Rights) of this document will remain in full force and effect and survive the expiry or termination of this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13.11 Waiver and exercise of rights</w:t>
      </w:r>
    </w:p>
    <w:p>
      <w:pPr>
        <w:spacing w:after="0" w:line="135" w:lineRule="exact"/>
        <w:rPr>
          <w:sz w:val="20"/>
          <w:szCs w:val="20"/>
          <w:color w:val="auto"/>
        </w:rPr>
      </w:pPr>
    </w:p>
    <w:p>
      <w:pPr>
        <w:ind w:left="860" w:right="180" w:hanging="424"/>
        <w:spacing w:after="0" w:line="277" w:lineRule="auto"/>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 single or partial exercise or waiver by a party of a right relating to this document does not prevent any other exercise of that right or the exercise of any other right.</w:t>
      </w:r>
    </w:p>
    <w:p>
      <w:pPr>
        <w:spacing w:after="0" w:line="75" w:lineRule="exact"/>
        <w:rPr>
          <w:rFonts w:ascii="Arial" w:cs="Arial" w:eastAsia="Arial" w:hAnsi="Arial"/>
          <w:sz w:val="18"/>
          <w:szCs w:val="18"/>
          <w:color w:val="auto"/>
        </w:rPr>
      </w:pPr>
    </w:p>
    <w:p>
      <w:pPr>
        <w:ind w:left="860" w:right="320" w:hanging="424"/>
        <w:spacing w:after="0" w:line="277" w:lineRule="auto"/>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 party is not liable for any loss, cost or expense of any other party caused or contributed to by the waiver, exercise, attempted exercise, failure to exercise or delay in the exercise of a right.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03" w:name="page304"/>
    <w:bookmarkEnd w:id="303"/>
    <w:p>
      <w:pPr>
        <w:ind w:left="860" w:hanging="424"/>
        <w:spacing w:after="0"/>
        <w:tabs>
          <w:tab w:leader="none" w:pos="8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right relating to this document may only be waived in writing signed by the party or parties waiving the right.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13.12 Consent</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Unless this document expressly provides otherwise, a party may give conditionally or unconditionally or withhold its approval or consent in its absolute discretion.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13.13 Equitable relief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acknowledge that:</w:t>
      </w:r>
    </w:p>
    <w:p>
      <w:pPr>
        <w:spacing w:after="0" w:line="131" w:lineRule="exact"/>
        <w:rPr>
          <w:sz w:val="20"/>
          <w:szCs w:val="20"/>
          <w:color w:val="auto"/>
        </w:rPr>
      </w:pPr>
    </w:p>
    <w:p>
      <w:pPr>
        <w:ind w:left="860" w:hanging="424"/>
        <w:spacing w:after="0"/>
        <w:tabs>
          <w:tab w:leader="none" w:pos="86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damages or an account of profits may be an inadequate remedy to compensate a Shareholder for a breach of this document; and</w:t>
      </w:r>
    </w:p>
    <w:p>
      <w:pPr>
        <w:spacing w:after="0" w:line="142" w:lineRule="exact"/>
        <w:rPr>
          <w:rFonts w:ascii="Arial" w:cs="Arial" w:eastAsia="Arial" w:hAnsi="Arial"/>
          <w:sz w:val="17"/>
          <w:szCs w:val="17"/>
          <w:color w:val="auto"/>
        </w:rPr>
      </w:pPr>
    </w:p>
    <w:p>
      <w:pPr>
        <w:ind w:left="860" w:right="120" w:hanging="424"/>
        <w:spacing w:after="0" w:line="277" w:lineRule="auto"/>
        <w:tabs>
          <w:tab w:leader="none" w:pos="8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party is entitled to specific performance or injunctive relief (as appropriate) as a remedy for any breach or threatened breach by a party of this document, in addition to any other remedies available to them at law or in equity.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13.14 Governing law and jurisdiction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document is governed by and is to be construed in accordance with the laws applicable in Hong Kong.</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13.15 No Third Party Rights</w:t>
      </w:r>
    </w:p>
    <w:p>
      <w:pPr>
        <w:spacing w:after="0" w:line="121"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A person who is not a party to this document shall have no right under the Contracts (Rights of Third Parties) Ordinance (Cap. 623 of the Laws of Hong Kong) to enforce any of its terms.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13.16 New Cotai Ownership Determination</w:t>
      </w:r>
    </w:p>
    <w:p>
      <w:pPr>
        <w:spacing w:after="0" w:line="121"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In determining the number of Securities held by New Cotai at the relevant time for purposes of any threshold in this document, including for purposes of the New Cotai Original Share Amount, the Securities held by the Minority Shareholders as set out in Schedule II at such relevant time shall be deemed to be held by New Cotai.</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13.17 Effectiveness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This document and the rights and obligations herein are not binding and effective until the consummation of an underwritten public offering of the Company’s Equity Securities, or American depositary shares representing the Company’s Equity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04" w:name="page305"/>
    <w:bookmarkEnd w:id="3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document to be duly executed as a deed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MCE Cotai Investments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Stephanie Cheung</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/s/ Rachel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17145</wp:posOffset>
            </wp:positionV>
            <wp:extent cx="224663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Rachel Mak</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37 / F, The Centrium, 60 Wyndham Street,</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Central, Hong Kong</w:t>
      </w:r>
    </w:p>
    <w:p>
      <w:pPr>
        <w:spacing w:after="0" w:line="143"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73" w:right="1440"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Cotai, LLC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154940</wp:posOffset>
            </wp:positionV>
            <wp:extent cx="737235" cy="7289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37235" cy="72898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Reganato</w:t>
            </w:r>
          </w:p>
        </w:tc>
      </w:tr>
      <w:tr>
        <w:trPr>
          <w:trHeight w:val="224"/>
        </w:trPr>
        <w:tc>
          <w:tcPr>
            <w:tcW w:w="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tcPr>
          <w:p>
            <w:pPr>
              <w:spacing w:after="0"/>
              <w:rPr>
                <w:sz w:val="20"/>
                <w:szCs w:val="20"/>
                <w:color w:val="auto"/>
              </w:rPr>
            </w:pPr>
            <w:r>
              <w:rPr>
                <w:rFonts w:ascii="Arial" w:cs="Arial" w:eastAsia="Arial" w:hAnsi="Arial"/>
                <w:sz w:val="18"/>
                <w:szCs w:val="18"/>
                <w:color w:val="auto"/>
              </w:rPr>
              <w:t>David Reganato</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Authorized Signatory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color w:val="auto"/>
        </w:rPr>
        <w:t>/s/ Brett Kulhawik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17145</wp:posOffset>
            </wp:positionV>
            <wp:extent cx="215265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Brett Kulhawik</w:t>
      </w:r>
    </w:p>
    <w:p>
      <w:pPr>
        <w:spacing w:after="0" w:line="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Two Greenwich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69" w:right="1440"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Resorts &amp; Entertainment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5641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Evan Andrew Winkler</w:t>
      </w:r>
    </w:p>
    <w:p>
      <w:pPr>
        <w:spacing w:after="0" w:line="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color w:val="auto"/>
        </w:rPr>
        <w:t>/s/ Rachel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17145</wp:posOffset>
            </wp:positionV>
            <wp:extent cx="215265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Rachel Mak</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37/F, The Centrium, 60 Wyndham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Central, Hong Kong</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70" w:right="1440"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International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56413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Evan Andrew Winkler</w:t>
      </w:r>
    </w:p>
    <w:p>
      <w:pPr>
        <w:spacing w:after="0" w:line="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color w:val="auto"/>
        </w:rPr>
        <w:t>/s/ Rachel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17145</wp:posOffset>
            </wp:positionV>
            <wp:extent cx="215265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Rachel Mak</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37/F, The Centrium, 60 Wyndham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Central, Hong Kong</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70" w:right="1440" w:bottom="1440" w:gutter="0" w:footer="0" w:header="0"/>
        </w:sectPr>
      </w:pPr>
    </w:p>
    <w:bookmarkStart w:id="308" w:name="page309"/>
    <w:bookmarkEnd w:id="308"/>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ectPr>
          <w:pgSz w:w="11900" w:h="16838" w:orient="portrait"/>
          <w:cols w:equalWidth="0" w:num="1">
            <w:col w:w="10019"/>
          </w:cols>
          <w:pgMar w:left="44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Melco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108,767,640 Class A Ordinary Shares</w:t>
      </w:r>
    </w:p>
    <w:p>
      <w:pPr>
        <w:spacing w:after="0" w:line="140" w:lineRule="exact"/>
        <w:rPr>
          <w:sz w:val="20"/>
          <w:szCs w:val="20"/>
          <w:color w:val="auto"/>
        </w:rPr>
      </w:pPr>
    </w:p>
    <w:p>
      <w:pPr>
        <w:sectPr>
          <w:pgSz w:w="11900" w:h="16838" w:orient="portrait"/>
          <w:cols w:equalWidth="0" w:num="2">
            <w:col w:w="1940" w:space="720"/>
            <w:col w:w="7359"/>
          </w:cols>
          <w:pgMar w:left="4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New Cotai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72,511,760 Class B Ordinary Shares</w:t>
      </w:r>
    </w:p>
    <w:p>
      <w:pPr>
        <w:sectPr>
          <w:pgSz w:w="11900" w:h="16838" w:orient="portrait"/>
          <w:cols w:equalWidth="0" w:num="2">
            <w:col w:w="1940" w:space="720"/>
            <w:col w:w="7359"/>
          </w:cols>
          <w:pgMar w:left="440" w:top="270" w:right="1440" w:bottom="1440" w:gutter="0" w:footer="0" w:header="0"/>
          <w:type w:val="continuous"/>
        </w:sectPr>
      </w:pPr>
    </w:p>
    <w:bookmarkStart w:id="309" w:name="page310"/>
    <w:bookmarkEnd w:id="30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Minority Shareholders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Name of Minority Shareholder</w:t>
            </w:r>
          </w:p>
        </w:tc>
        <w:tc>
          <w:tcPr>
            <w:tcW w:w="2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Class B Ordinary Shares</w:t>
            </w:r>
          </w:p>
        </w:tc>
        <w:tc>
          <w:tcPr>
            <w:tcW w:w="100" w:type="dxa"/>
            <w:vAlign w:val="bottom"/>
          </w:tcPr>
          <w:p>
            <w:pPr>
              <w:spacing w:after="0"/>
              <w:rPr>
                <w:sz w:val="16"/>
                <w:szCs w:val="16"/>
                <w:color w:val="auto"/>
              </w:rPr>
            </w:pP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Exchange Shares</w:t>
            </w: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New Cotai LLC</w:t>
            </w:r>
          </w:p>
        </w:tc>
        <w:tc>
          <w:tcPr>
            <w:tcW w:w="2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86"/>
              </w:rPr>
              <w:t>72,511,760</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Nil</w:t>
            </w:r>
          </w:p>
        </w:tc>
      </w:tr>
    </w:tbl>
    <w:p>
      <w:pPr>
        <w:sectPr>
          <w:pgSz w:w="11900" w:h="16838" w:orient="portrait"/>
          <w:cols w:equalWidth="0" w:num="1">
            <w:col w:w="11040"/>
          </w:cols>
          <w:pgMar w:left="440" w:top="269" w:right="41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6997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[Discloser]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Deed</w:t>
      </w:r>
    </w:p>
    <w:p>
      <w:pPr>
        <w:sectPr>
          <w:pgSz w:w="11900" w:h="16838" w:orient="portrait"/>
          <w:cols w:equalWidth="0" w:num="1">
            <w:col w:w="10019"/>
          </w:cols>
          <w:pgMar w:left="440" w:top="273" w:right="1440"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34"/>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Contents</w:t>
            </w:r>
          </w:p>
        </w:tc>
        <w:tc>
          <w:tcPr>
            <w:tcW w:w="708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59"/>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1</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Interpretation</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1</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Definitions</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1.2</w:t>
            </w:r>
          </w:p>
        </w:tc>
        <w:tc>
          <w:tcPr>
            <w:tcW w:w="708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3</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Confidential Information</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4</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Duty of confidentiality</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2.2</w:t>
            </w:r>
          </w:p>
        </w:tc>
        <w:tc>
          <w:tcPr>
            <w:tcW w:w="7080" w:type="dxa"/>
            <w:vAlign w:val="bottom"/>
          </w:tcPr>
          <w:p>
            <w:pPr>
              <w:ind w:left="120"/>
              <w:spacing w:after="0"/>
              <w:rPr>
                <w:sz w:val="20"/>
                <w:szCs w:val="20"/>
                <w:color w:val="auto"/>
              </w:rPr>
            </w:pPr>
            <w:r>
              <w:rPr>
                <w:rFonts w:ascii="Arial" w:cs="Arial" w:eastAsia="Arial" w:hAnsi="Arial"/>
                <w:sz w:val="18"/>
                <w:szCs w:val="18"/>
                <w:color w:val="auto"/>
              </w:rPr>
              <w:t>Disclosure by holders of Upstream Securities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2.3</w:t>
            </w:r>
          </w:p>
        </w:tc>
        <w:tc>
          <w:tcPr>
            <w:tcW w:w="7080" w:type="dxa"/>
            <w:vAlign w:val="bottom"/>
          </w:tcPr>
          <w:p>
            <w:pPr>
              <w:ind w:left="120"/>
              <w:spacing w:after="0"/>
              <w:rPr>
                <w:sz w:val="20"/>
                <w:szCs w:val="20"/>
                <w:color w:val="auto"/>
              </w:rPr>
            </w:pPr>
            <w:r>
              <w:rPr>
                <w:rFonts w:ascii="Arial" w:cs="Arial" w:eastAsia="Arial" w:hAnsi="Arial"/>
                <w:sz w:val="18"/>
                <w:szCs w:val="18"/>
                <w:color w:val="auto"/>
              </w:rPr>
              <w:t>Disclosure generally</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2.4</w:t>
            </w:r>
          </w:p>
        </w:tc>
        <w:tc>
          <w:tcPr>
            <w:tcW w:w="7080" w:type="dxa"/>
            <w:vAlign w:val="bottom"/>
          </w:tcPr>
          <w:p>
            <w:pPr>
              <w:ind w:left="120"/>
              <w:spacing w:after="0"/>
              <w:rPr>
                <w:sz w:val="20"/>
                <w:szCs w:val="20"/>
                <w:color w:val="auto"/>
              </w:rPr>
            </w:pPr>
            <w:r>
              <w:rPr>
                <w:rFonts w:ascii="Arial" w:cs="Arial" w:eastAsia="Arial" w:hAnsi="Arial"/>
                <w:sz w:val="18"/>
                <w:szCs w:val="18"/>
                <w:color w:val="auto"/>
              </w:rPr>
              <w:t>Exceptions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2.5</w:t>
            </w:r>
          </w:p>
        </w:tc>
        <w:tc>
          <w:tcPr>
            <w:tcW w:w="7080" w:type="dxa"/>
            <w:vAlign w:val="bottom"/>
          </w:tcPr>
          <w:p>
            <w:pPr>
              <w:ind w:left="120"/>
              <w:spacing w:after="0"/>
              <w:rPr>
                <w:sz w:val="20"/>
                <w:szCs w:val="20"/>
                <w:color w:val="auto"/>
              </w:rPr>
            </w:pPr>
            <w:r>
              <w:rPr>
                <w:rFonts w:ascii="Arial" w:cs="Arial" w:eastAsia="Arial" w:hAnsi="Arial"/>
                <w:sz w:val="18"/>
                <w:szCs w:val="18"/>
                <w:color w:val="auto"/>
              </w:rPr>
              <w:t>Copies and extracts of Confidential Information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Return or destruction of Confidential Information</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5</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3.1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Return or destruction</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3.2</w:t>
            </w:r>
          </w:p>
        </w:tc>
        <w:tc>
          <w:tcPr>
            <w:tcW w:w="7080" w:type="dxa"/>
            <w:vAlign w:val="bottom"/>
          </w:tcPr>
          <w:p>
            <w:pPr>
              <w:ind w:left="120"/>
              <w:spacing w:after="0"/>
              <w:rPr>
                <w:sz w:val="20"/>
                <w:szCs w:val="20"/>
                <w:color w:val="auto"/>
              </w:rPr>
            </w:pPr>
            <w:r>
              <w:rPr>
                <w:rFonts w:ascii="Arial" w:cs="Arial" w:eastAsia="Arial" w:hAnsi="Arial"/>
                <w:sz w:val="18"/>
                <w:szCs w:val="18"/>
                <w:color w:val="auto"/>
              </w:rPr>
              <w:t>Retained papers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3.3</w:t>
            </w:r>
          </w:p>
        </w:tc>
        <w:tc>
          <w:tcPr>
            <w:tcW w:w="7080" w:type="dxa"/>
            <w:vAlign w:val="bottom"/>
          </w:tcPr>
          <w:p>
            <w:pPr>
              <w:ind w:left="120"/>
              <w:spacing w:after="0"/>
              <w:rPr>
                <w:sz w:val="20"/>
                <w:szCs w:val="20"/>
                <w:color w:val="auto"/>
              </w:rPr>
            </w:pPr>
            <w:r>
              <w:rPr>
                <w:rFonts w:ascii="Arial" w:cs="Arial" w:eastAsia="Arial" w:hAnsi="Arial"/>
                <w:sz w:val="18"/>
                <w:szCs w:val="18"/>
                <w:color w:val="auto"/>
              </w:rPr>
              <w:t>Obligations to continue after materials returned</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3.4</w:t>
            </w:r>
          </w:p>
        </w:tc>
        <w:tc>
          <w:tcPr>
            <w:tcW w:w="7080" w:type="dxa"/>
            <w:vAlign w:val="bottom"/>
          </w:tcPr>
          <w:p>
            <w:pPr>
              <w:ind w:left="120"/>
              <w:spacing w:after="0"/>
              <w:rPr>
                <w:sz w:val="20"/>
                <w:szCs w:val="20"/>
                <w:color w:val="auto"/>
              </w:rPr>
            </w:pPr>
            <w:r>
              <w:rPr>
                <w:rFonts w:ascii="Arial" w:cs="Arial" w:eastAsia="Arial" w:hAnsi="Arial"/>
                <w:sz w:val="18"/>
                <w:szCs w:val="18"/>
                <w:color w:val="auto"/>
              </w:rPr>
              <w:t>The Recipient must certify destruction of materials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Indemnity</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6</w:t>
            </w:r>
          </w:p>
        </w:tc>
      </w:tr>
      <w:tr>
        <w:trPr>
          <w:trHeight w:val="304"/>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4.1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Indemnity</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Liability</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6</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5.1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Discloser does not warrant Confidential Information is accurate</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5.2</w:t>
            </w:r>
          </w:p>
        </w:tc>
        <w:tc>
          <w:tcPr>
            <w:tcW w:w="7080" w:type="dxa"/>
            <w:vAlign w:val="bottom"/>
          </w:tcPr>
          <w:p>
            <w:pPr>
              <w:ind w:left="120"/>
              <w:spacing w:after="0"/>
              <w:rPr>
                <w:sz w:val="20"/>
                <w:szCs w:val="20"/>
                <w:color w:val="auto"/>
              </w:rPr>
            </w:pPr>
            <w:r>
              <w:rPr>
                <w:rFonts w:ascii="Arial" w:cs="Arial" w:eastAsia="Arial" w:hAnsi="Arial"/>
                <w:sz w:val="18"/>
                <w:szCs w:val="18"/>
                <w:color w:val="auto"/>
              </w:rPr>
              <w:t>Liability</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5.3</w:t>
            </w:r>
          </w:p>
        </w:tc>
        <w:tc>
          <w:tcPr>
            <w:tcW w:w="7080" w:type="dxa"/>
            <w:vAlign w:val="bottom"/>
          </w:tcPr>
          <w:p>
            <w:pPr>
              <w:ind w:left="120"/>
              <w:spacing w:after="0"/>
              <w:rPr>
                <w:sz w:val="20"/>
                <w:szCs w:val="20"/>
                <w:color w:val="auto"/>
              </w:rPr>
            </w:pPr>
            <w:r>
              <w:rPr>
                <w:rFonts w:ascii="Arial" w:cs="Arial" w:eastAsia="Arial" w:hAnsi="Arial"/>
                <w:sz w:val="18"/>
                <w:szCs w:val="18"/>
                <w:color w:val="auto"/>
              </w:rPr>
              <w:t>Release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324"/>
        </w:trPr>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6</w:t>
            </w:r>
          </w:p>
        </w:tc>
        <w:tc>
          <w:tcPr>
            <w:tcW w:w="77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Injunctive relief</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7</w:t>
            </w:r>
          </w:p>
        </w:tc>
      </w:tr>
      <w:tr>
        <w:trPr>
          <w:trHeight w:val="304"/>
        </w:trPr>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7</w:t>
            </w:r>
          </w:p>
        </w:tc>
        <w:tc>
          <w:tcPr>
            <w:tcW w:w="77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[Termination</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7</w:t>
            </w:r>
          </w:p>
        </w:tc>
      </w:tr>
      <w:tr>
        <w:trPr>
          <w:trHeight w:val="30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General</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7</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Severance</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8.2</w:t>
            </w:r>
          </w:p>
        </w:tc>
        <w:tc>
          <w:tcPr>
            <w:tcW w:w="708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8.3</w:t>
            </w:r>
          </w:p>
        </w:tc>
        <w:tc>
          <w:tcPr>
            <w:tcW w:w="7080" w:type="dxa"/>
            <w:vAlign w:val="bottom"/>
          </w:tcPr>
          <w:p>
            <w:pPr>
              <w:ind w:left="120"/>
              <w:spacing w:after="0"/>
              <w:rPr>
                <w:sz w:val="20"/>
                <w:szCs w:val="20"/>
                <w:color w:val="auto"/>
              </w:rPr>
            </w:pPr>
            <w:r>
              <w:rPr>
                <w:rFonts w:ascii="Arial" w:cs="Arial" w:eastAsia="Arial" w:hAnsi="Arial"/>
                <w:sz w:val="18"/>
                <w:szCs w:val="18"/>
                <w:color w:val="auto"/>
              </w:rPr>
              <w:t>Waiver and exercise of rights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8.4</w:t>
            </w:r>
          </w:p>
        </w:tc>
        <w:tc>
          <w:tcPr>
            <w:tcW w:w="70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8.5</w:t>
            </w:r>
          </w:p>
        </w:tc>
        <w:tc>
          <w:tcPr>
            <w:tcW w:w="70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8.6</w:t>
            </w:r>
          </w:p>
        </w:tc>
        <w:tc>
          <w:tcPr>
            <w:tcW w:w="7080" w:type="dxa"/>
            <w:vAlign w:val="bottom"/>
          </w:tcPr>
          <w:p>
            <w:pPr>
              <w:ind w:left="120"/>
              <w:spacing w:after="0"/>
              <w:rPr>
                <w:sz w:val="20"/>
                <w:szCs w:val="20"/>
                <w:color w:val="auto"/>
              </w:rPr>
            </w:pPr>
            <w:r>
              <w:rPr>
                <w:rFonts w:ascii="Arial" w:cs="Arial" w:eastAsia="Arial" w:hAnsi="Arial"/>
                <w:sz w:val="18"/>
                <w:szCs w:val="18"/>
                <w:color w:val="auto"/>
              </w:rPr>
              <w:t>Entire understanding</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8.7</w:t>
            </w:r>
          </w:p>
        </w:tc>
        <w:tc>
          <w:tcPr>
            <w:tcW w:w="7080" w:type="dxa"/>
            <w:vAlign w:val="bottom"/>
          </w:tcPr>
          <w:p>
            <w:pPr>
              <w:ind w:left="120"/>
              <w:spacing w:after="0"/>
              <w:rPr>
                <w:sz w:val="20"/>
                <w:szCs w:val="20"/>
                <w:color w:val="auto"/>
              </w:rPr>
            </w:pPr>
            <w:r>
              <w:rPr>
                <w:rFonts w:ascii="Arial" w:cs="Arial" w:eastAsia="Arial" w:hAnsi="Arial"/>
                <w:sz w:val="18"/>
                <w:szCs w:val="18"/>
                <w:color w:val="auto"/>
              </w:rPr>
              <w:t>Legal costs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8.8</w:t>
            </w:r>
          </w:p>
        </w:tc>
        <w:tc>
          <w:tcPr>
            <w:tcW w:w="7080" w:type="dxa"/>
            <w:vAlign w:val="bottom"/>
          </w:tcPr>
          <w:p>
            <w:pPr>
              <w:ind w:left="120"/>
              <w:spacing w:after="0"/>
              <w:rPr>
                <w:sz w:val="20"/>
                <w:szCs w:val="20"/>
                <w:color w:val="auto"/>
              </w:rPr>
            </w:pPr>
            <w:r>
              <w:rPr>
                <w:rFonts w:ascii="Arial" w:cs="Arial" w:eastAsia="Arial" w:hAnsi="Arial"/>
                <w:sz w:val="18"/>
                <w:szCs w:val="18"/>
                <w:color w:val="auto"/>
              </w:rPr>
              <w:t>Rights cumulative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8.9</w:t>
            </w:r>
          </w:p>
        </w:tc>
        <w:tc>
          <w:tcPr>
            <w:tcW w:w="7080" w:type="dxa"/>
            <w:vAlign w:val="bottom"/>
          </w:tcPr>
          <w:p>
            <w:pPr>
              <w:ind w:left="120"/>
              <w:spacing w:after="0"/>
              <w:rPr>
                <w:sz w:val="20"/>
                <w:szCs w:val="20"/>
                <w:color w:val="auto"/>
              </w:rPr>
            </w:pPr>
            <w:r>
              <w:rPr>
                <w:rFonts w:ascii="Arial" w:cs="Arial" w:eastAsia="Arial" w:hAnsi="Arial"/>
                <w:sz w:val="18"/>
                <w:szCs w:val="18"/>
                <w:color w:val="auto"/>
              </w:rPr>
              <w:t>Further steps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8.10</w:t>
            </w:r>
          </w:p>
        </w:tc>
        <w:tc>
          <w:tcPr>
            <w:tcW w:w="7080" w:type="dxa"/>
            <w:vAlign w:val="bottom"/>
          </w:tcPr>
          <w:p>
            <w:pPr>
              <w:ind w:left="120"/>
              <w:spacing w:after="0"/>
              <w:rPr>
                <w:sz w:val="20"/>
                <w:szCs w:val="20"/>
                <w:color w:val="auto"/>
              </w:rPr>
            </w:pPr>
            <w:r>
              <w:rPr>
                <w:rFonts w:ascii="Arial" w:cs="Arial" w:eastAsia="Arial" w:hAnsi="Arial"/>
                <w:sz w:val="18"/>
                <w:szCs w:val="18"/>
                <w:color w:val="auto"/>
              </w:rPr>
              <w:t>Counterparts and facsimile copies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8.11</w:t>
            </w:r>
          </w:p>
        </w:tc>
        <w:tc>
          <w:tcPr>
            <w:tcW w:w="7080" w:type="dxa"/>
            <w:vAlign w:val="bottom"/>
          </w:tcPr>
          <w:p>
            <w:pPr>
              <w:ind w:left="120"/>
              <w:spacing w:after="0"/>
              <w:rPr>
                <w:sz w:val="20"/>
                <w:szCs w:val="20"/>
                <w:color w:val="auto"/>
              </w:rPr>
            </w:pPr>
            <w:r>
              <w:rPr>
                <w:rFonts w:ascii="Arial" w:cs="Arial" w:eastAsia="Arial" w:hAnsi="Arial"/>
                <w:sz w:val="18"/>
                <w:szCs w:val="18"/>
                <w:color w:val="auto"/>
              </w:rPr>
              <w:t>Relationship of parties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8.12</w:t>
            </w:r>
          </w:p>
        </w:tc>
        <w:tc>
          <w:tcPr>
            <w:tcW w:w="7080" w:type="dxa"/>
            <w:vAlign w:val="bottom"/>
          </w:tcPr>
          <w:p>
            <w:pPr>
              <w:ind w:left="120"/>
              <w:spacing w:after="0"/>
              <w:rPr>
                <w:sz w:val="20"/>
                <w:szCs w:val="20"/>
                <w:color w:val="auto"/>
              </w:rPr>
            </w:pPr>
            <w:r>
              <w:rPr>
                <w:rFonts w:ascii="Arial" w:cs="Arial" w:eastAsia="Arial" w:hAnsi="Arial"/>
                <w:sz w:val="18"/>
                <w:szCs w:val="18"/>
                <w:color w:val="auto"/>
              </w:rPr>
              <w:t>Ownership thresholds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Notices</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9</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9.1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General</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9.2</w:t>
            </w:r>
          </w:p>
        </w:tc>
        <w:tc>
          <w:tcPr>
            <w:tcW w:w="7080" w:type="dxa"/>
            <w:vAlign w:val="bottom"/>
          </w:tcPr>
          <w:p>
            <w:pPr>
              <w:ind w:left="120"/>
              <w:spacing w:after="0"/>
              <w:rPr>
                <w:sz w:val="20"/>
                <w:szCs w:val="20"/>
                <w:color w:val="auto"/>
              </w:rPr>
            </w:pPr>
            <w:r>
              <w:rPr>
                <w:rFonts w:ascii="Arial" w:cs="Arial" w:eastAsia="Arial" w:hAnsi="Arial"/>
                <w:sz w:val="18"/>
                <w:szCs w:val="18"/>
                <w:color w:val="auto"/>
              </w:rPr>
              <w:t>How to give a communication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9.3</w:t>
            </w:r>
          </w:p>
        </w:tc>
        <w:tc>
          <w:tcPr>
            <w:tcW w:w="7080" w:type="dxa"/>
            <w:vAlign w:val="bottom"/>
          </w:tcPr>
          <w:p>
            <w:pPr>
              <w:ind w:left="120"/>
              <w:spacing w:after="0"/>
              <w:rPr>
                <w:sz w:val="20"/>
                <w:szCs w:val="20"/>
                <w:color w:val="auto"/>
              </w:rPr>
            </w:pPr>
            <w:r>
              <w:rPr>
                <w:rFonts w:ascii="Arial" w:cs="Arial" w:eastAsia="Arial" w:hAnsi="Arial"/>
                <w:sz w:val="18"/>
                <w:szCs w:val="18"/>
                <w:color w:val="auto"/>
              </w:rPr>
              <w:t>Particulars for delivery of notices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9.4</w:t>
            </w:r>
          </w:p>
        </w:tc>
        <w:tc>
          <w:tcPr>
            <w:tcW w:w="7080" w:type="dxa"/>
            <w:vAlign w:val="bottom"/>
          </w:tcPr>
          <w:p>
            <w:pPr>
              <w:ind w:left="120"/>
              <w:spacing w:after="0"/>
              <w:rPr>
                <w:sz w:val="20"/>
                <w:szCs w:val="20"/>
                <w:color w:val="auto"/>
              </w:rPr>
            </w:pPr>
            <w:r>
              <w:rPr>
                <w:rFonts w:ascii="Arial" w:cs="Arial" w:eastAsia="Arial" w:hAnsi="Arial"/>
                <w:sz w:val="18"/>
                <w:szCs w:val="18"/>
                <w:color w:val="auto"/>
              </w:rPr>
              <w:t>Communications by post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9.5</w:t>
            </w:r>
          </w:p>
        </w:tc>
        <w:tc>
          <w:tcPr>
            <w:tcW w:w="7080" w:type="dxa"/>
            <w:vAlign w:val="bottom"/>
          </w:tcPr>
          <w:p>
            <w:pPr>
              <w:ind w:left="120"/>
              <w:spacing w:after="0"/>
              <w:rPr>
                <w:sz w:val="20"/>
                <w:szCs w:val="20"/>
                <w:color w:val="auto"/>
              </w:rPr>
            </w:pPr>
            <w:r>
              <w:rPr>
                <w:rFonts w:ascii="Arial" w:cs="Arial" w:eastAsia="Arial" w:hAnsi="Arial"/>
                <w:sz w:val="18"/>
                <w:szCs w:val="18"/>
                <w:color w:val="auto"/>
              </w:rPr>
              <w:t>Communications by fax</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9.6</w:t>
            </w:r>
          </w:p>
        </w:tc>
        <w:tc>
          <w:tcPr>
            <w:tcW w:w="7080" w:type="dxa"/>
            <w:vAlign w:val="bottom"/>
          </w:tcPr>
          <w:p>
            <w:pPr>
              <w:ind w:left="120"/>
              <w:spacing w:after="0"/>
              <w:rPr>
                <w:sz w:val="20"/>
                <w:szCs w:val="20"/>
                <w:color w:val="auto"/>
              </w:rPr>
            </w:pPr>
            <w:r>
              <w:rPr>
                <w:rFonts w:ascii="Arial" w:cs="Arial" w:eastAsia="Arial" w:hAnsi="Arial"/>
                <w:sz w:val="18"/>
                <w:szCs w:val="18"/>
                <w:color w:val="auto"/>
              </w:rPr>
              <w:t>After hours communications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9.7</w:t>
            </w:r>
          </w:p>
        </w:tc>
        <w:tc>
          <w:tcPr>
            <w:tcW w:w="7080" w:type="dxa"/>
            <w:vAlign w:val="bottom"/>
          </w:tcPr>
          <w:p>
            <w:pPr>
              <w:ind w:left="120"/>
              <w:spacing w:after="0"/>
              <w:rPr>
                <w:sz w:val="20"/>
                <w:szCs w:val="20"/>
                <w:color w:val="auto"/>
              </w:rPr>
            </w:pPr>
            <w:r>
              <w:rPr>
                <w:rFonts w:ascii="Arial" w:cs="Arial" w:eastAsia="Arial" w:hAnsi="Arial"/>
                <w:sz w:val="18"/>
                <w:szCs w:val="18"/>
                <w:color w:val="auto"/>
              </w:rPr>
              <w:t>Receipt of notice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1040"/>
          </w:cols>
          <w:pgMar w:left="440" w:top="270" w:right="419" w:bottom="1440" w:gutter="0" w:footer="0" w:header="0"/>
        </w:sectPr>
      </w:pPr>
    </w:p>
    <w:bookmarkStart w:id="312" w:name="page313"/>
    <w:bookmarkEnd w:id="312"/>
    <w:p>
      <w:pPr>
        <w:ind w:left="43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Parties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of [</w:t>
      </w:r>
      <w:r>
        <w:rPr>
          <w:rFonts w:ascii="Arial" w:cs="Arial" w:eastAsia="Arial" w:hAnsi="Arial"/>
          <w:sz w:val="18"/>
          <w:szCs w:val="18"/>
          <w:i w:val="1"/>
          <w:iCs w:val="1"/>
          <w:color w:val="auto"/>
        </w:rPr>
        <w:t>•</w:t>
      </w:r>
      <w:r>
        <w:rPr>
          <w:rFonts w:ascii="Arial" w:cs="Arial" w:eastAsia="Arial" w:hAnsi="Arial"/>
          <w:sz w:val="18"/>
          <w:szCs w:val="18"/>
          <w:color w:val="auto"/>
        </w:rPr>
        <w:t>]; facsimile number: [</w:t>
      </w:r>
      <w:r>
        <w:rPr>
          <w:rFonts w:ascii="Arial" w:cs="Arial" w:eastAsia="Arial" w:hAnsi="Arial"/>
          <w:sz w:val="18"/>
          <w:szCs w:val="18"/>
          <w:i w:val="1"/>
          <w:iCs w:val="1"/>
          <w:color w:val="auto"/>
        </w:rPr>
        <w:t>•</w:t>
      </w:r>
      <w:r>
        <w:rPr>
          <w:rFonts w:ascii="Arial" w:cs="Arial" w:eastAsia="Arial" w:hAnsi="Arial"/>
          <w:sz w:val="18"/>
          <w:szCs w:val="18"/>
          <w:color w:val="auto"/>
        </w:rPr>
        <w:t>]; e-mail address: [</w:t>
      </w:r>
      <w:r>
        <w:rPr>
          <w:rFonts w:ascii="Arial" w:cs="Arial" w:eastAsia="Arial" w:hAnsi="Arial"/>
          <w:sz w:val="18"/>
          <w:szCs w:val="18"/>
          <w:i w:val="1"/>
          <w:iCs w:val="1"/>
          <w:color w:val="auto"/>
        </w:rPr>
        <w:t>•</w:t>
      </w:r>
      <w:r>
        <w:rPr>
          <w:rFonts w:ascii="Arial" w:cs="Arial" w:eastAsia="Arial" w:hAnsi="Arial"/>
          <w:sz w:val="18"/>
          <w:szCs w:val="18"/>
          <w:color w:val="auto"/>
        </w:rPr>
        <w:t>]; attention: [</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Discloser</w:t>
      </w:r>
      <w:r>
        <w:rPr>
          <w:rFonts w:ascii="Arial" w:cs="Arial" w:eastAsia="Arial" w:hAnsi="Arial"/>
          <w:sz w:val="18"/>
          <w:szCs w:val="18"/>
          <w:color w:val="auto"/>
        </w:rPr>
        <w:t>)</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of [</w:t>
      </w:r>
      <w:r>
        <w:rPr>
          <w:rFonts w:ascii="Arial" w:cs="Arial" w:eastAsia="Arial" w:hAnsi="Arial"/>
          <w:sz w:val="18"/>
          <w:szCs w:val="18"/>
          <w:i w:val="1"/>
          <w:iCs w:val="1"/>
          <w:color w:val="auto"/>
        </w:rPr>
        <w:t>•</w:t>
      </w:r>
      <w:r>
        <w:rPr>
          <w:rFonts w:ascii="Arial" w:cs="Arial" w:eastAsia="Arial" w:hAnsi="Arial"/>
          <w:sz w:val="18"/>
          <w:szCs w:val="18"/>
          <w:color w:val="auto"/>
        </w:rPr>
        <w:t>]; facsimile number: [</w:t>
      </w:r>
      <w:r>
        <w:rPr>
          <w:rFonts w:ascii="Arial" w:cs="Arial" w:eastAsia="Arial" w:hAnsi="Arial"/>
          <w:sz w:val="18"/>
          <w:szCs w:val="18"/>
          <w:i w:val="1"/>
          <w:iCs w:val="1"/>
          <w:color w:val="auto"/>
        </w:rPr>
        <w:t>•</w:t>
      </w:r>
      <w:r>
        <w:rPr>
          <w:rFonts w:ascii="Arial" w:cs="Arial" w:eastAsia="Arial" w:hAnsi="Arial"/>
          <w:sz w:val="18"/>
          <w:szCs w:val="18"/>
          <w:color w:val="auto"/>
        </w:rPr>
        <w:t>]; e-mail address: [</w:t>
      </w:r>
      <w:r>
        <w:rPr>
          <w:rFonts w:ascii="Arial" w:cs="Arial" w:eastAsia="Arial" w:hAnsi="Arial"/>
          <w:sz w:val="18"/>
          <w:szCs w:val="18"/>
          <w:i w:val="1"/>
          <w:iCs w:val="1"/>
          <w:color w:val="auto"/>
        </w:rPr>
        <w:t>•</w:t>
      </w:r>
      <w:r>
        <w:rPr>
          <w:rFonts w:ascii="Arial" w:cs="Arial" w:eastAsia="Arial" w:hAnsi="Arial"/>
          <w:sz w:val="18"/>
          <w:szCs w:val="18"/>
          <w:color w:val="auto"/>
        </w:rPr>
        <w:t>]; attention: [</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6997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36" w:hanging="436"/>
        <w:spacing w:after="0"/>
        <w:tabs>
          <w:tab w:leader="none" w:pos="43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Discloser possesses Confidential Information.</w:t>
      </w:r>
    </w:p>
    <w:p>
      <w:pPr>
        <w:spacing w:after="0" w:line="131" w:lineRule="exact"/>
        <w:rPr>
          <w:sz w:val="20"/>
          <w:szCs w:val="20"/>
          <w:color w:val="auto"/>
        </w:rPr>
      </w:pPr>
    </w:p>
    <w:p>
      <w:pPr>
        <w:ind w:left="436" w:hanging="436"/>
        <w:spacing w:after="0"/>
        <w:tabs>
          <w:tab w:leader="none" w:pos="43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Discloser proposes to disclose Confidential Information to the Recipient.</w:t>
      </w:r>
    </w:p>
    <w:p>
      <w:pPr>
        <w:spacing w:after="0" w:line="131" w:lineRule="exact"/>
        <w:rPr>
          <w:sz w:val="20"/>
          <w:szCs w:val="20"/>
          <w:color w:val="auto"/>
        </w:rPr>
      </w:pPr>
    </w:p>
    <w:p>
      <w:pPr>
        <w:ind w:left="436" w:hanging="436"/>
        <w:spacing w:after="0"/>
        <w:tabs>
          <w:tab w:leader="none" w:pos="43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The Recipient agrees to maintain the confidentiality of the Confidential Information that is disclosed to it, on the terms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6997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Agreed terms</w:t>
      </w:r>
    </w:p>
    <w:p>
      <w:pPr>
        <w:spacing w:after="0" w:line="131" w:lineRule="exact"/>
        <w:rPr>
          <w:sz w:val="20"/>
          <w:szCs w:val="20"/>
          <w:color w:val="auto"/>
        </w:rPr>
      </w:pPr>
    </w:p>
    <w:p>
      <w:pPr>
        <w:ind w:left="436" w:hanging="436"/>
        <w:spacing w:after="0"/>
        <w:tabs>
          <w:tab w:leader="none" w:pos="436"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ind w:left="876"/>
        <w:spacing w:after="0"/>
        <w:tabs>
          <w:tab w:leader="none" w:pos="1396"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In this document, the following terms have the following meanings:</w:t>
      </w:r>
    </w:p>
    <w:p>
      <w:pPr>
        <w:spacing w:after="0" w:line="113"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36"/>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which is not a Saturday, Sunday or bank or public holiday in Hong Kong or New York, nor a day on which a tropical</w:t>
      </w:r>
      <w:r>
        <w:rPr>
          <w:rFonts w:ascii="Arial" w:cs="Arial" w:eastAsia="Arial" w:hAnsi="Arial"/>
          <w:sz w:val="18"/>
          <w:szCs w:val="18"/>
          <w:b w:val="1"/>
          <w:bCs w:val="1"/>
          <w:color w:val="auto"/>
        </w:rPr>
        <w:t xml:space="preserve"> </w:t>
      </w:r>
      <w:r>
        <w:rPr>
          <w:rFonts w:ascii="Arial" w:cs="Arial" w:eastAsia="Arial" w:hAnsi="Arial"/>
          <w:sz w:val="18"/>
          <w:szCs w:val="18"/>
          <w:color w:val="auto"/>
        </w:rPr>
        <w:t>cyclone warning No. 8 or above or a “black rainstorm warning signal” is hoisted or remains hoisted in Hong Kong at any time between 9.00am and 5.00pm.</w:t>
      </w:r>
    </w:p>
    <w:p>
      <w:pPr>
        <w:spacing w:after="0" w:line="68"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Studio City International Holdings Limited, a company incorporated in the Cayman Islands.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Competitor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36" w:right="40"/>
        <w:spacing w:after="0" w:line="282"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any confidential, non-public or proprietary information relating to the business, assets or affairs of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Confidential Information shall not include information that:</w:t>
      </w:r>
    </w:p>
    <w:p>
      <w:pPr>
        <w:spacing w:after="0" w:line="71" w:lineRule="exact"/>
        <w:rPr>
          <w:sz w:val="20"/>
          <w:szCs w:val="20"/>
          <w:color w:val="auto"/>
        </w:rPr>
      </w:pPr>
    </w:p>
    <w:p>
      <w:pPr>
        <w:ind w:left="856" w:hanging="424"/>
        <w:spacing w:after="0"/>
        <w:tabs>
          <w:tab w:leader="none" w:pos="85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is or becomes generally available to the public other than as a result of disclosure in violation of this document;</w:t>
      </w:r>
    </w:p>
    <w:p>
      <w:pPr>
        <w:spacing w:after="0" w:line="130" w:lineRule="exact"/>
        <w:rPr>
          <w:rFonts w:ascii="Arial" w:cs="Arial" w:eastAsia="Arial" w:hAnsi="Arial"/>
          <w:sz w:val="18"/>
          <w:szCs w:val="18"/>
          <w:color w:val="auto"/>
        </w:rPr>
      </w:pPr>
    </w:p>
    <w:p>
      <w:pPr>
        <w:ind w:left="5276" w:right="1920" w:hanging="4844"/>
        <w:spacing w:after="0" w:line="449" w:lineRule="auto"/>
        <w:tabs>
          <w:tab w:leader="none" w:pos="868"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is or becomes available to the receiving person on a non-confidential basis prior to its disclosure to such person; page 1</w:t>
      </w:r>
    </w:p>
    <w:p>
      <w:pPr>
        <w:sectPr>
          <w:pgSz w:w="11900" w:h="16838" w:orient="portrait"/>
          <w:cols w:equalWidth="0" w:num="1">
            <w:col w:w="10856"/>
          </w:cols>
          <w:pgMar w:left="444" w:top="269" w:right="599" w:bottom="1440" w:gutter="0" w:footer="0" w:header="0"/>
        </w:sectPr>
      </w:pPr>
    </w:p>
    <w:bookmarkStart w:id="313" w:name="page314"/>
    <w:bookmarkEnd w:id="313"/>
    <w:p>
      <w:pPr>
        <w:ind w:left="424" w:hanging="424"/>
        <w:spacing w:after="0"/>
        <w:tabs>
          <w:tab w:leader="none" w:pos="424"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or has been independently developed or conceived by the receiving person without use of Confidential Information; or</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becomes available to the receiving person on a non-confidential basis from a source other than the Discloser; provided that such source is not known by such person to be bound by a confidentiality agreement with the Discloser.</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Effective Interest in Securities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Governmental Agency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government, whether foreign, federal, state, territorial or local;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department, office, or minister of a government acting in that capacity; or</w:t>
      </w:r>
    </w:p>
    <w:p>
      <w:pPr>
        <w:spacing w:after="0" w:line="130"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commission, delegate, instrumentality, agency, board or other governmental or semi-governmental, judicial, administrative, monetary, regulatory, fiscal or tax authority, whether statutory or not.</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any law or legal requirement, including at common law, in equity, under any statute, regulation or by-law and any decision, directive,</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guideline or requirement of any Governmental Agency or the relevant stock exchange.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MRE </w:t>
      </w:r>
      <w:r>
        <w:rPr>
          <w:rFonts w:ascii="Arial" w:cs="Arial" w:eastAsia="Arial" w:hAnsi="Arial"/>
          <w:sz w:val="18"/>
          <w:szCs w:val="18"/>
          <w:color w:val="auto"/>
        </w:rPr>
        <w:t>means Melco Resorts &amp; Entertainment Limited, a company incorporated in the Cayman Islands.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New Cotai Original Share Amount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Permitted Transferee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Project Lender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means the Amended and Restated Shareholders’ Agreement by and among MCE Cotai Investments Limited, New</w:t>
      </w:r>
      <w:r>
        <w:rPr>
          <w:rFonts w:ascii="Arial" w:cs="Arial" w:eastAsia="Arial" w:hAnsi="Arial"/>
          <w:sz w:val="18"/>
          <w:szCs w:val="18"/>
          <w:b w:val="1"/>
          <w:bCs w:val="1"/>
          <w:color w:val="auto"/>
        </w:rPr>
        <w:t xml:space="preserve"> </w:t>
      </w:r>
      <w:r>
        <w:rPr>
          <w:rFonts w:ascii="Arial" w:cs="Arial" w:eastAsia="Arial" w:hAnsi="Arial"/>
          <w:sz w:val="18"/>
          <w:szCs w:val="18"/>
          <w:color w:val="auto"/>
        </w:rPr>
        <w:t>Cotai, LLC, MRE, and the Company dated October 16, 2018, as may be amended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Unsuitable Person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Upstream Securities </w:t>
      </w:r>
      <w:r>
        <w:rPr>
          <w:rFonts w:ascii="Arial" w:cs="Arial" w:eastAsia="Arial" w:hAnsi="Arial"/>
          <w:sz w:val="18"/>
          <w:szCs w:val="18"/>
          <w:color w:val="auto"/>
        </w:rPr>
        <w:t>has the meaning given to that term in the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120650</wp:posOffset>
            </wp:positionV>
            <wp:extent cx="6997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484"/>
          </w:cols>
          <w:pgMar w:left="876" w:top="274" w:right="539" w:bottom="1440" w:gutter="0" w:footer="0" w:header="0"/>
        </w:sectPr>
      </w:pPr>
    </w:p>
    <w:bookmarkStart w:id="314" w:name="page315"/>
    <w:bookmarkEnd w:id="3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Construction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expressed to the contrary, in this document:</w:t>
      </w:r>
    </w:p>
    <w:p>
      <w:pPr>
        <w:spacing w:after="0" w:line="131" w:lineRule="exact"/>
        <w:rPr>
          <w:sz w:val="20"/>
          <w:szCs w:val="20"/>
          <w:color w:val="auto"/>
        </w:rPr>
      </w:pPr>
    </w:p>
    <w:p>
      <w:pPr>
        <w:ind w:left="424" w:hanging="424"/>
        <w:spacing w:after="0"/>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gender includes the other genders;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corresponding meanings;</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party may give or withhold any consent to be given under this document in its absolute discretion and may impose any conditions on that consent;</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“includes” means includes without limitation;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no rule of construction will apply to a clause to the disadvantage of a party merely because that party put forward the clause;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reference to:</w:t>
      </w:r>
    </w:p>
    <w:p>
      <w:pPr>
        <w:spacing w:after="0" w:line="130" w:lineRule="exact"/>
        <w:rPr>
          <w:rFonts w:ascii="Arial" w:cs="Arial" w:eastAsia="Arial" w:hAnsi="Arial"/>
          <w:sz w:val="18"/>
          <w:szCs w:val="18"/>
          <w:color w:val="auto"/>
        </w:rPr>
      </w:pPr>
    </w:p>
    <w:p>
      <w:pPr>
        <w:ind w:left="984" w:right="180" w:hanging="538"/>
        <w:spacing w:after="0" w:line="277" w:lineRule="auto"/>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person includes a partnership, individual, limited liability company, trust, joint venture, unincorporated association, corporation and a Governmental Agency;</w:t>
      </w:r>
    </w:p>
    <w:p>
      <w:pPr>
        <w:spacing w:after="0" w:line="75" w:lineRule="exact"/>
        <w:rPr>
          <w:rFonts w:ascii="Arial" w:cs="Arial" w:eastAsia="Arial" w:hAnsi="Arial"/>
          <w:sz w:val="18"/>
          <w:szCs w:val="18"/>
          <w:color w:val="auto"/>
        </w:rPr>
      </w:pPr>
    </w:p>
    <w:p>
      <w:pPr>
        <w:ind w:left="984" w:right="360" w:hanging="538"/>
        <w:spacing w:after="0" w:line="277" w:lineRule="auto"/>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any legislation includes subordinate legislation under it and includes that legislation and subordinate legislation as modified or replaced;</w:t>
      </w:r>
    </w:p>
    <w:p>
      <w:pPr>
        <w:spacing w:after="0" w:line="75" w:lineRule="exact"/>
        <w:rPr>
          <w:rFonts w:ascii="Arial" w:cs="Arial" w:eastAsia="Arial" w:hAnsi="Arial"/>
          <w:sz w:val="18"/>
          <w:szCs w:val="18"/>
          <w:color w:val="auto"/>
        </w:rPr>
      </w:pPr>
    </w:p>
    <w:p>
      <w:pPr>
        <w:ind w:left="984" w:right="240" w:hanging="538"/>
        <w:spacing w:after="0" w:line="277" w:lineRule="auto"/>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an obligation includes a warranty or representation and a reference to a failure to comply with an obligation includes a breach of warranty or representation;</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 right includes a benefit, remedy, discretion or power;</w:t>
      </w:r>
    </w:p>
    <w:p>
      <w:pPr>
        <w:spacing w:after="0" w:line="130" w:lineRule="exact"/>
        <w:rPr>
          <w:rFonts w:ascii="Arial" w:cs="Arial" w:eastAsia="Arial" w:hAnsi="Arial"/>
          <w:sz w:val="18"/>
          <w:szCs w:val="18"/>
          <w:color w:val="auto"/>
        </w:rPr>
      </w:pPr>
    </w:p>
    <w:p>
      <w:pPr>
        <w:ind w:left="984" w:right="120" w:hanging="538"/>
        <w:spacing w:after="0" w:line="277" w:lineRule="auto"/>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this or any other document includes the document as novated, varied or replaced in accordance with the terms of this document or the other document and despite any change in the identity of the parties;</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407"/>
        </w:numPr>
        <w:rPr>
          <w:rFonts w:ascii="Arial" w:cs="Arial" w:eastAsia="Arial" w:hAnsi="Arial"/>
          <w:sz w:val="17"/>
          <w:szCs w:val="17"/>
          <w:color w:val="auto"/>
        </w:rPr>
      </w:pPr>
      <w:r>
        <w:rPr>
          <w:rFonts w:ascii="Arial" w:cs="Arial" w:eastAsia="Arial" w:hAnsi="Arial"/>
          <w:sz w:val="17"/>
          <w:szCs w:val="17"/>
          <w:color w:val="auto"/>
        </w:rPr>
        <w:t>a clause, schedule or annexure is a reference to a clause, schedule or annexure, as the case may be, of this document;</w:t>
      </w:r>
    </w:p>
    <w:p>
      <w:pPr>
        <w:spacing w:after="0" w:line="142" w:lineRule="exact"/>
        <w:rPr>
          <w:rFonts w:ascii="Arial" w:cs="Arial" w:eastAsia="Arial" w:hAnsi="Arial"/>
          <w:sz w:val="17"/>
          <w:szCs w:val="17"/>
          <w:color w:val="auto"/>
        </w:rPr>
      </w:pPr>
    </w:p>
    <w:p>
      <w:pPr>
        <w:ind w:left="984" w:right="600" w:hanging="538"/>
        <w:spacing w:after="0" w:line="277" w:lineRule="auto"/>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writing includes any mode of representing or reproducing words in tangible and permanently visible form, and includes fax transmissions; and</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this document includes all schedules and annexures to it;</w:t>
      </w:r>
    </w:p>
    <w:p>
      <w:pPr>
        <w:spacing w:after="0" w:line="130" w:lineRule="exact"/>
        <w:rPr>
          <w:rFonts w:ascii="Arial" w:cs="Arial" w:eastAsia="Arial" w:hAnsi="Arial"/>
          <w:sz w:val="18"/>
          <w:szCs w:val="18"/>
          <w:color w:val="auto"/>
        </w:rPr>
      </w:pPr>
    </w:p>
    <w:p>
      <w:pPr>
        <w:ind w:left="984" w:right="200" w:hanging="538"/>
        <w:spacing w:after="0" w:line="277" w:lineRule="auto"/>
        <w:tabs>
          <w:tab w:leader="none" w:pos="984"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if the number of Securities the Effective Interest in Securities represents is required to be calculated, if the number is not a whole number, that number will be rounded up or down, as appropriate, with .5 or greater rounded up;</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the date on or by which any act must be done under this document is not a Business Day, the act must be done on or by the next Business Day;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83185</wp:posOffset>
            </wp:positionV>
            <wp:extent cx="6997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jc w:val="center"/>
        <w:ind w:right="296"/>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464"/>
          </w:cols>
          <w:pgMar w:left="876" w:top="269" w:right="559" w:bottom="1440" w:gutter="0" w:footer="0" w:header="0"/>
        </w:sectPr>
      </w:pPr>
    </w:p>
    <w:bookmarkStart w:id="315" w:name="page316"/>
    <w:bookmarkEnd w:id="315"/>
    <w:p>
      <w:pPr>
        <w:ind w:left="856" w:hanging="424"/>
        <w:spacing w:after="0"/>
        <w:tabs>
          <w:tab w:leader="none" w:pos="856"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time is to be calculated by reference to a day or event, that day or the day of that event is excluded.</w:t>
      </w:r>
    </w:p>
    <w:p>
      <w:pPr>
        <w:spacing w:after="0" w:line="370" w:lineRule="exact"/>
        <w:rPr>
          <w:sz w:val="20"/>
          <w:szCs w:val="20"/>
          <w:color w:val="auto"/>
        </w:rPr>
      </w:pPr>
    </w:p>
    <w:p>
      <w:pPr>
        <w:ind w:left="436" w:hanging="436"/>
        <w:spacing w:after="0"/>
        <w:tabs>
          <w:tab w:leader="none" w:pos="436"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17"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2.1 Duty of confidentiality</w:t>
      </w:r>
    </w:p>
    <w:p>
      <w:pPr>
        <w:spacing w:after="0" w:line="135" w:lineRule="exact"/>
        <w:rPr>
          <w:sz w:val="20"/>
          <w:szCs w:val="20"/>
          <w:color w:val="auto"/>
        </w:rPr>
      </w:pPr>
    </w:p>
    <w:p>
      <w:pPr>
        <w:ind w:left="1416" w:right="40" w:hanging="538"/>
        <w:spacing w:after="0" w:line="277" w:lineRule="auto"/>
        <w:tabs>
          <w:tab w:leader="none" w:pos="141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Recipient must keep the Confidential Information disclosed by the Discloser to the Recipient confidential and must not disclose any Confidential Information except:</w:t>
      </w:r>
    </w:p>
    <w:p>
      <w:pPr>
        <w:spacing w:after="0" w:line="71" w:lineRule="exact"/>
        <w:rPr>
          <w:rFonts w:ascii="Arial" w:cs="Arial" w:eastAsia="Arial" w:hAnsi="Arial"/>
          <w:sz w:val="18"/>
          <w:szCs w:val="18"/>
          <w:color w:val="auto"/>
        </w:rPr>
      </w:pPr>
    </w:p>
    <w:p>
      <w:pPr>
        <w:ind w:left="1856" w:hanging="425"/>
        <w:spacing w:after="0"/>
        <w:tabs>
          <w:tab w:leader="none" w:pos="1856" w:val="left"/>
        </w:tabs>
        <w:numPr>
          <w:ilvl w:val="1"/>
          <w:numId w:val="410"/>
        </w:numPr>
        <w:rPr>
          <w:rFonts w:ascii="Arial" w:cs="Arial" w:eastAsia="Arial" w:hAnsi="Arial"/>
          <w:sz w:val="17"/>
          <w:szCs w:val="17"/>
          <w:color w:val="auto"/>
        </w:rPr>
      </w:pPr>
      <w:r>
        <w:rPr>
          <w:rFonts w:ascii="Arial" w:cs="Arial" w:eastAsia="Arial" w:hAnsi="Arial"/>
          <w:sz w:val="17"/>
          <w:szCs w:val="17"/>
          <w:color w:val="auto"/>
        </w:rPr>
        <w:t xml:space="preserve">in the case where the Recipient is a holder of Upstream Securities, where permitted under </w:t>
      </w:r>
      <w:r>
        <w:rPr>
          <w:rFonts w:ascii="Arial" w:cs="Arial" w:eastAsia="Arial" w:hAnsi="Arial"/>
          <w:sz w:val="17"/>
          <w:szCs w:val="17"/>
          <w:b w:val="1"/>
          <w:bCs w:val="1"/>
          <w:color w:val="auto"/>
        </w:rPr>
        <w:t>clause 2.2</w:t>
      </w:r>
      <w:r>
        <w:rPr>
          <w:rFonts w:ascii="Arial" w:cs="Arial" w:eastAsia="Arial" w:hAnsi="Arial"/>
          <w:sz w:val="17"/>
          <w:szCs w:val="17"/>
          <w:color w:val="auto"/>
        </w:rPr>
        <w:t xml:space="preserve">, </w:t>
      </w:r>
      <w:r>
        <w:rPr>
          <w:rFonts w:ascii="Arial" w:cs="Arial" w:eastAsia="Arial" w:hAnsi="Arial"/>
          <w:sz w:val="17"/>
          <w:szCs w:val="17"/>
          <w:b w:val="1"/>
          <w:bCs w:val="1"/>
          <w:color w:val="auto"/>
        </w:rPr>
        <w:t>2.3</w:t>
      </w:r>
      <w:r>
        <w:rPr>
          <w:rFonts w:ascii="Arial" w:cs="Arial" w:eastAsia="Arial" w:hAnsi="Arial"/>
          <w:sz w:val="17"/>
          <w:szCs w:val="17"/>
          <w:color w:val="auto"/>
        </w:rPr>
        <w:t xml:space="preserve">, or </w:t>
      </w:r>
      <w:r>
        <w:rPr>
          <w:rFonts w:ascii="Arial" w:cs="Arial" w:eastAsia="Arial" w:hAnsi="Arial"/>
          <w:sz w:val="17"/>
          <w:szCs w:val="17"/>
          <w:b w:val="1"/>
          <w:bCs w:val="1"/>
          <w:color w:val="auto"/>
        </w:rPr>
        <w:t>2.4</w:t>
      </w:r>
      <w:r>
        <w:rPr>
          <w:rFonts w:ascii="Arial" w:cs="Arial" w:eastAsia="Arial" w:hAnsi="Arial"/>
          <w:sz w:val="17"/>
          <w:szCs w:val="17"/>
          <w:color w:val="auto"/>
        </w:rPr>
        <w:t>; or</w:t>
      </w:r>
    </w:p>
    <w:p>
      <w:pPr>
        <w:spacing w:after="0" w:line="142" w:lineRule="exact"/>
        <w:rPr>
          <w:rFonts w:ascii="Arial" w:cs="Arial" w:eastAsia="Arial" w:hAnsi="Arial"/>
          <w:sz w:val="17"/>
          <w:szCs w:val="17"/>
          <w:color w:val="auto"/>
        </w:rPr>
      </w:pPr>
    </w:p>
    <w:p>
      <w:pPr>
        <w:ind w:left="1856" w:hanging="425"/>
        <w:spacing w:after="0"/>
        <w:tabs>
          <w:tab w:leader="none" w:pos="1856" w:val="left"/>
        </w:tabs>
        <w:numPr>
          <w:ilvl w:val="1"/>
          <w:numId w:val="410"/>
        </w:numPr>
        <w:rPr>
          <w:rFonts w:ascii="Arial" w:cs="Arial" w:eastAsia="Arial" w:hAnsi="Arial"/>
          <w:sz w:val="18"/>
          <w:szCs w:val="18"/>
          <w:color w:val="auto"/>
        </w:rPr>
      </w:pPr>
      <w:r>
        <w:rPr>
          <w:rFonts w:ascii="Arial" w:cs="Arial" w:eastAsia="Arial" w:hAnsi="Arial"/>
          <w:sz w:val="18"/>
          <w:szCs w:val="18"/>
          <w:color w:val="auto"/>
        </w:rPr>
        <w:t xml:space="preserve">in any other case, where permitted under </w:t>
      </w:r>
      <w:r>
        <w:rPr>
          <w:rFonts w:ascii="Arial" w:cs="Arial" w:eastAsia="Arial" w:hAnsi="Arial"/>
          <w:sz w:val="18"/>
          <w:szCs w:val="18"/>
          <w:b w:val="1"/>
          <w:bCs w:val="1"/>
          <w:color w:val="auto"/>
        </w:rPr>
        <w:t>clause 2.3</w:t>
      </w:r>
      <w:r>
        <w:rPr>
          <w:rFonts w:ascii="Arial" w:cs="Arial" w:eastAsia="Arial" w:hAnsi="Arial"/>
          <w:sz w:val="18"/>
          <w:szCs w:val="18"/>
          <w:color w:val="auto"/>
        </w:rPr>
        <w:t xml:space="preserve"> or </w:t>
      </w:r>
      <w:r>
        <w:rPr>
          <w:rFonts w:ascii="Arial" w:cs="Arial" w:eastAsia="Arial" w:hAnsi="Arial"/>
          <w:sz w:val="18"/>
          <w:szCs w:val="18"/>
          <w:b w:val="1"/>
          <w:bCs w:val="1"/>
          <w:color w:val="auto"/>
        </w:rPr>
        <w:t>2.4</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16" w:right="220" w:hanging="538"/>
        <w:spacing w:after="0" w:line="277" w:lineRule="auto"/>
        <w:tabs>
          <w:tab w:leader="none" w:pos="141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Recipient must not knowingly disclose any information to any Competitor or an Unsuitable Person, or any of their respective directors, officers, or employees.</w:t>
      </w:r>
    </w:p>
    <w:p>
      <w:pPr>
        <w:spacing w:after="0" w:line="275"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2.2 Disclosure by holders of Upstream Securities</w:t>
      </w:r>
    </w:p>
    <w:p>
      <w:pPr>
        <w:spacing w:after="0" w:line="121" w:lineRule="exact"/>
        <w:rPr>
          <w:sz w:val="20"/>
          <w:szCs w:val="20"/>
          <w:color w:val="auto"/>
        </w:rPr>
      </w:pPr>
    </w:p>
    <w:p>
      <w:pPr>
        <w:ind w:left="876"/>
        <w:spacing w:after="0"/>
        <w:rPr>
          <w:sz w:val="20"/>
          <w:szCs w:val="20"/>
          <w:color w:val="auto"/>
        </w:rPr>
      </w:pPr>
      <w:r>
        <w:rPr>
          <w:rFonts w:ascii="Arial" w:cs="Arial" w:eastAsia="Arial" w:hAnsi="Arial"/>
          <w:sz w:val="16"/>
          <w:szCs w:val="16"/>
          <w:color w:val="auto"/>
        </w:rPr>
        <w:t>If the Recipient is a holder of Upstream Securities, the Recipient may disclose any Confidential Information to the extent not prohibited by</w:t>
      </w:r>
    </w:p>
    <w:p>
      <w:pPr>
        <w:spacing w:after="0" w:line="46" w:lineRule="exact"/>
        <w:rPr>
          <w:sz w:val="20"/>
          <w:szCs w:val="20"/>
          <w:color w:val="auto"/>
        </w:rPr>
      </w:pPr>
    </w:p>
    <w:p>
      <w:pPr>
        <w:ind w:left="876"/>
        <w:spacing w:after="0"/>
        <w:rPr>
          <w:sz w:val="20"/>
          <w:szCs w:val="20"/>
          <w:color w:val="auto"/>
        </w:rPr>
      </w:pPr>
      <w:r>
        <w:rPr>
          <w:rFonts w:ascii="Arial" w:cs="Arial" w:eastAsia="Arial" w:hAnsi="Arial"/>
          <w:sz w:val="18"/>
          <w:szCs w:val="18"/>
          <w:color w:val="auto"/>
        </w:rPr>
        <w:t>Law:</w:t>
      </w:r>
    </w:p>
    <w:p>
      <w:pPr>
        <w:spacing w:after="0" w:line="116" w:lineRule="exact"/>
        <w:rPr>
          <w:sz w:val="20"/>
          <w:szCs w:val="20"/>
          <w:color w:val="auto"/>
        </w:rPr>
      </w:pPr>
    </w:p>
    <w:p>
      <w:pPr>
        <w:ind w:left="1416" w:right="20" w:hanging="538"/>
        <w:spacing w:after="0" w:line="257" w:lineRule="auto"/>
        <w:tabs>
          <w:tab w:leader="none" w:pos="141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 to Oaktree Capital Management, L.P., or any investment fund or account or entity managed by Oaktree Capital Management, L.P. that is a holder of Upstream Securities or (ii) to Silver Point Capital, L.P., or any investment fund or account or entity managed by Silver Point Capital, L.P. that is a holder of Upstream Securities, in the case of each of clauses (i) and (ii), so long as those persons own Effective Interests in Securities that correspond to a number of Securities equal to at least 10% of the New Cotai Original Share Amount in aggregate; or</w:t>
      </w:r>
    </w:p>
    <w:p>
      <w:pPr>
        <w:spacing w:after="0" w:line="93" w:lineRule="exact"/>
        <w:rPr>
          <w:rFonts w:ascii="Arial" w:cs="Arial" w:eastAsia="Arial" w:hAnsi="Arial"/>
          <w:sz w:val="18"/>
          <w:szCs w:val="18"/>
          <w:color w:val="auto"/>
        </w:rPr>
      </w:pPr>
    </w:p>
    <w:p>
      <w:pPr>
        <w:ind w:left="1416" w:hanging="538"/>
        <w:spacing w:after="0" w:line="277" w:lineRule="auto"/>
        <w:tabs>
          <w:tab w:leader="none" w:pos="141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to any officer, manager, employee, representative, director (or equivalent) or financial, legal or accounting adviser of or lender to the Recipient or any of the other persons specified in the applicable paragraphs of this </w:t>
      </w:r>
      <w:r>
        <w:rPr>
          <w:rFonts w:ascii="Arial" w:cs="Arial" w:eastAsia="Arial" w:hAnsi="Arial"/>
          <w:sz w:val="18"/>
          <w:szCs w:val="18"/>
          <w:b w:val="1"/>
          <w:bCs w:val="1"/>
          <w:color w:val="auto"/>
        </w:rPr>
        <w:t>clause 2.2</w:t>
      </w:r>
      <w:r>
        <w:rPr>
          <w:rFonts w:ascii="Arial" w:cs="Arial" w:eastAsia="Arial" w:hAnsi="Arial"/>
          <w:sz w:val="18"/>
          <w:szCs w:val="18"/>
          <w:color w:val="auto"/>
        </w:rPr>
        <w:t>.</w:t>
      </w:r>
    </w:p>
    <w:p>
      <w:pPr>
        <w:spacing w:after="0" w:line="275"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2.3 Disclosure generally</w:t>
      </w:r>
    </w:p>
    <w:p>
      <w:pPr>
        <w:spacing w:after="0" w:line="121" w:lineRule="exact"/>
        <w:rPr>
          <w:sz w:val="20"/>
          <w:szCs w:val="20"/>
          <w:color w:val="auto"/>
        </w:rPr>
      </w:pPr>
    </w:p>
    <w:p>
      <w:pPr>
        <w:ind w:left="876"/>
        <w:spacing w:after="0"/>
        <w:rPr>
          <w:sz w:val="20"/>
          <w:szCs w:val="20"/>
          <w:color w:val="auto"/>
        </w:rPr>
      </w:pPr>
      <w:r>
        <w:rPr>
          <w:rFonts w:ascii="Arial" w:cs="Arial" w:eastAsia="Arial" w:hAnsi="Arial"/>
          <w:sz w:val="18"/>
          <w:szCs w:val="18"/>
          <w:color w:val="auto"/>
        </w:rPr>
        <w:t>The Recipient may disclose any Confidential Information received by it:</w:t>
      </w:r>
    </w:p>
    <w:p>
      <w:pPr>
        <w:spacing w:after="0" w:line="131" w:lineRule="exact"/>
        <w:rPr>
          <w:sz w:val="20"/>
          <w:szCs w:val="20"/>
          <w:color w:val="auto"/>
        </w:rPr>
      </w:pPr>
    </w:p>
    <w:p>
      <w:pPr>
        <w:ind w:left="1416" w:hanging="538"/>
        <w:spacing w:after="0"/>
        <w:tabs>
          <w:tab w:leader="none" w:pos="141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the Recipient is an investment fund, to any partner in that fund;</w:t>
      </w:r>
    </w:p>
    <w:p>
      <w:pPr>
        <w:spacing w:after="0" w:line="130" w:lineRule="exact"/>
        <w:rPr>
          <w:rFonts w:ascii="Arial" w:cs="Arial" w:eastAsia="Arial" w:hAnsi="Arial"/>
          <w:sz w:val="18"/>
          <w:szCs w:val="18"/>
          <w:color w:val="auto"/>
        </w:rPr>
      </w:pPr>
    </w:p>
    <w:p>
      <w:pPr>
        <w:ind w:left="1416" w:right="340" w:hanging="538"/>
        <w:spacing w:after="0" w:line="277" w:lineRule="auto"/>
        <w:tabs>
          <w:tab w:leader="none" w:pos="141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to any officer, manager, employee, director (or equivalent) or financial, legal, valuation or accounting adviser of or lender to the Recipient or any of the other persons specified in this </w:t>
      </w:r>
      <w:r>
        <w:rPr>
          <w:rFonts w:ascii="Arial" w:cs="Arial" w:eastAsia="Arial" w:hAnsi="Arial"/>
          <w:sz w:val="18"/>
          <w:szCs w:val="18"/>
          <w:b w:val="1"/>
          <w:bCs w:val="1"/>
          <w:color w:val="auto"/>
        </w:rPr>
        <w:t>clause 2.3</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to any Project Lender.</w:t>
      </w:r>
    </w:p>
    <w:p>
      <w:pPr>
        <w:spacing w:after="0" w:line="329"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2.4 Exceptions</w:t>
      </w:r>
    </w:p>
    <w:p>
      <w:pPr>
        <w:spacing w:after="0" w:line="131" w:lineRule="exact"/>
        <w:rPr>
          <w:sz w:val="20"/>
          <w:szCs w:val="20"/>
          <w:color w:val="auto"/>
        </w:rPr>
      </w:pPr>
    </w:p>
    <w:p>
      <w:pPr>
        <w:ind w:left="1416" w:right="460" w:hanging="538"/>
        <w:spacing w:after="0" w:line="282" w:lineRule="auto"/>
        <w:tabs>
          <w:tab w:leader="none" w:pos="141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Despite any other provision of this clause to the contrary, but subject to </w:t>
      </w:r>
      <w:r>
        <w:rPr>
          <w:rFonts w:ascii="Arial" w:cs="Arial" w:eastAsia="Arial" w:hAnsi="Arial"/>
          <w:sz w:val="18"/>
          <w:szCs w:val="18"/>
          <w:b w:val="1"/>
          <w:bCs w:val="1"/>
          <w:color w:val="auto"/>
        </w:rPr>
        <w:t>clause 2.4(b)</w:t>
      </w:r>
      <w:r>
        <w:rPr>
          <w:rFonts w:ascii="Arial" w:cs="Arial" w:eastAsia="Arial" w:hAnsi="Arial"/>
          <w:sz w:val="18"/>
          <w:szCs w:val="18"/>
          <w:color w:val="auto"/>
        </w:rPr>
        <w:t>, the Recipient may disclose Confidential Information to:</w:t>
      </w:r>
    </w:p>
    <w:p>
      <w:pPr>
        <w:spacing w:after="0" w:line="71" w:lineRule="exact"/>
        <w:rPr>
          <w:rFonts w:ascii="Arial" w:cs="Arial" w:eastAsia="Arial" w:hAnsi="Arial"/>
          <w:sz w:val="18"/>
          <w:szCs w:val="18"/>
          <w:color w:val="auto"/>
        </w:rPr>
      </w:pPr>
    </w:p>
    <w:p>
      <w:pPr>
        <w:ind w:left="1856" w:hanging="425"/>
        <w:spacing w:after="0"/>
        <w:tabs>
          <w:tab w:leader="none" w:pos="1856"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any person to whom it is required to disclose the information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997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76"/>
          </w:cols>
          <w:pgMar w:left="444" w:top="273" w:right="479" w:bottom="1440" w:gutter="0" w:footer="0" w:header="0"/>
        </w:sectPr>
      </w:pPr>
    </w:p>
    <w:bookmarkStart w:id="316" w:name="page317"/>
    <w:bookmarkEnd w:id="316"/>
    <w:p>
      <w:pPr>
        <w:ind w:left="1856" w:hanging="425"/>
        <w:spacing w:after="0"/>
        <w:tabs>
          <w:tab w:leader="none" w:pos="1856" w:val="left"/>
        </w:tabs>
        <w:numPr>
          <w:ilvl w:val="1"/>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to the extent necessary in connection with the exercise of any remedy hereunder;</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any Governmental Agency where required by that agency; or</w:t>
      </w:r>
    </w:p>
    <w:p>
      <w:pPr>
        <w:spacing w:after="0" w:line="130" w:lineRule="exact"/>
        <w:rPr>
          <w:rFonts w:ascii="Arial" w:cs="Arial" w:eastAsia="Arial" w:hAnsi="Arial"/>
          <w:sz w:val="18"/>
          <w:szCs w:val="18"/>
          <w:color w:val="auto"/>
        </w:rPr>
      </w:pPr>
    </w:p>
    <w:p>
      <w:pPr>
        <w:ind w:left="1856" w:right="440" w:hanging="425"/>
        <w:spacing w:after="0" w:line="277" w:lineRule="auto"/>
        <w:tabs>
          <w:tab w:leader="none" w:pos="1856"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any stock exchange on which its securities, or the securities of any of its Affiliates, are listed if required by the listing or exchange rules of such stock exchange.</w:t>
      </w:r>
    </w:p>
    <w:p>
      <w:pPr>
        <w:spacing w:after="0" w:line="71" w:lineRule="exact"/>
        <w:rPr>
          <w:rFonts w:ascii="Arial" w:cs="Arial" w:eastAsia="Arial" w:hAnsi="Arial"/>
          <w:sz w:val="18"/>
          <w:szCs w:val="18"/>
          <w:color w:val="auto"/>
        </w:rPr>
      </w:pPr>
    </w:p>
    <w:p>
      <w:pPr>
        <w:ind w:left="856" w:right="40" w:hanging="424"/>
        <w:spacing w:after="0" w:line="282" w:lineRule="auto"/>
        <w:tabs>
          <w:tab w:leader="none" w:pos="85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If the Recipient is required to disclose information under </w:t>
      </w:r>
      <w:r>
        <w:rPr>
          <w:rFonts w:ascii="Arial" w:cs="Arial" w:eastAsia="Arial" w:hAnsi="Arial"/>
          <w:sz w:val="18"/>
          <w:szCs w:val="18"/>
          <w:b w:val="1"/>
          <w:bCs w:val="1"/>
          <w:color w:val="auto"/>
        </w:rPr>
        <w:t>clause 2.4(a)</w:t>
      </w:r>
      <w:r>
        <w:rPr>
          <w:rFonts w:ascii="Arial" w:cs="Arial" w:eastAsia="Arial" w:hAnsi="Arial"/>
          <w:sz w:val="18"/>
          <w:szCs w:val="18"/>
          <w:color w:val="auto"/>
        </w:rPr>
        <w:t>, the Recipient must use commercially reasonable endeavours to, and to the maximum extent permitted by Law to, limit the form and content of that disclosure.</w:t>
      </w:r>
    </w:p>
    <w:p>
      <w:pPr>
        <w:spacing w:after="0" w:line="270"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2.5 Copies and extracts of Confidential Information</w:t>
      </w:r>
    </w:p>
    <w:p>
      <w:pPr>
        <w:spacing w:after="0" w:line="135" w:lineRule="exact"/>
        <w:rPr>
          <w:sz w:val="20"/>
          <w:szCs w:val="20"/>
          <w:color w:val="auto"/>
        </w:rPr>
      </w:pPr>
    </w:p>
    <w:p>
      <w:pPr>
        <w:ind w:left="856" w:hanging="424"/>
        <w:spacing w:after="0"/>
        <w:tabs>
          <w:tab w:leader="none" w:pos="85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Recipient may only copy or extract any Confidential Information to the extent reasonably required by the Recipient.</w:t>
      </w:r>
    </w:p>
    <w:p>
      <w:pPr>
        <w:spacing w:after="0" w:line="126" w:lineRule="exact"/>
        <w:rPr>
          <w:rFonts w:ascii="Arial" w:cs="Arial" w:eastAsia="Arial" w:hAnsi="Arial"/>
          <w:sz w:val="18"/>
          <w:szCs w:val="18"/>
          <w:color w:val="auto"/>
        </w:rPr>
      </w:pPr>
    </w:p>
    <w:p>
      <w:pPr>
        <w:ind w:left="856" w:hanging="424"/>
        <w:spacing w:after="0"/>
        <w:tabs>
          <w:tab w:leader="none" w:pos="856"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Where the Recipient copies or extracts Confidential Information, the Recipient must comply with </w:t>
      </w:r>
      <w:r>
        <w:rPr>
          <w:rFonts w:ascii="Arial" w:cs="Arial" w:eastAsia="Arial" w:hAnsi="Arial"/>
          <w:sz w:val="16"/>
          <w:szCs w:val="16"/>
          <w:b w:val="1"/>
          <w:bCs w:val="1"/>
          <w:color w:val="auto"/>
        </w:rPr>
        <w:t>clause 3</w:t>
      </w:r>
      <w:r>
        <w:rPr>
          <w:rFonts w:ascii="Arial" w:cs="Arial" w:eastAsia="Arial" w:hAnsi="Arial"/>
          <w:sz w:val="16"/>
          <w:szCs w:val="16"/>
          <w:color w:val="auto"/>
        </w:rPr>
        <w:t xml:space="preserve"> in respect of any copy or extract.</w:t>
      </w:r>
    </w:p>
    <w:p>
      <w:pPr>
        <w:spacing w:after="0" w:line="275" w:lineRule="exact"/>
        <w:rPr>
          <w:sz w:val="20"/>
          <w:szCs w:val="20"/>
          <w:color w:val="auto"/>
        </w:rPr>
      </w:pPr>
    </w:p>
    <w:p>
      <w:pPr>
        <w:ind w:left="656" w:right="6660" w:hanging="656"/>
        <w:spacing w:after="0" w:line="375" w:lineRule="auto"/>
        <w:tabs>
          <w:tab w:leader="none" w:pos="427"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Return or destruction of Confidential Information 3.1 Return or destruction</w:t>
      </w:r>
    </w:p>
    <w:p>
      <w:pPr>
        <w:spacing w:after="0" w:line="1" w:lineRule="exact"/>
        <w:rPr>
          <w:sz w:val="20"/>
          <w:szCs w:val="20"/>
          <w:color w:val="auto"/>
        </w:rPr>
      </w:pPr>
    </w:p>
    <w:p>
      <w:pPr>
        <w:ind w:left="436"/>
        <w:spacing w:after="0" w:line="258"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3.2</w:t>
      </w:r>
      <w:r>
        <w:rPr>
          <w:rFonts w:ascii="Arial" w:cs="Arial" w:eastAsia="Arial" w:hAnsi="Arial"/>
          <w:sz w:val="18"/>
          <w:szCs w:val="18"/>
          <w:color w:val="auto"/>
        </w:rPr>
        <w:t xml:space="preserve"> and except as required by Law, the Recipient must within three Business Days of [</w:t>
      </w:r>
      <w:r>
        <w:rPr>
          <w:rFonts w:ascii="Arial" w:cs="Arial" w:eastAsia="Arial" w:hAnsi="Arial"/>
          <w:sz w:val="18"/>
          <w:szCs w:val="18"/>
          <w:b w:val="1"/>
          <w:bCs w:val="1"/>
          <w:color w:val="auto"/>
        </w:rPr>
        <w:t>the Discloser requesting in writing1/the</w:t>
      </w:r>
      <w:r>
        <w:rPr>
          <w:rFonts w:ascii="Arial" w:cs="Arial" w:eastAsia="Arial" w:hAnsi="Arial"/>
          <w:sz w:val="18"/>
          <w:szCs w:val="18"/>
          <w:color w:val="auto"/>
        </w:rPr>
        <w:t xml:space="preserve"> </w:t>
      </w:r>
      <w:r>
        <w:rPr>
          <w:rFonts w:ascii="Arial" w:cs="Arial" w:eastAsia="Arial" w:hAnsi="Arial"/>
          <w:sz w:val="18"/>
          <w:szCs w:val="18"/>
          <w:b w:val="1"/>
          <w:bCs w:val="1"/>
          <w:color w:val="auto"/>
        </w:rPr>
        <w:t>Recipient ceasing to be a holder of Upstream Securities2</w:t>
      </w:r>
      <w:r>
        <w:rPr>
          <w:rFonts w:ascii="Arial" w:cs="Arial" w:eastAsia="Arial" w:hAnsi="Arial"/>
          <w:sz w:val="18"/>
          <w:szCs w:val="18"/>
          <w:color w:val="auto"/>
        </w:rPr>
        <w:t>] return to the Discloser (or if the Discloser requests, destroy) all material containing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Confidential Information that is in the possession or control of the Recipient (including any Confidential Information disclosed by that person under </w:t>
      </w:r>
      <w:r>
        <w:rPr>
          <w:rFonts w:ascii="Arial" w:cs="Arial" w:eastAsia="Arial" w:hAnsi="Arial"/>
          <w:sz w:val="18"/>
          <w:szCs w:val="18"/>
          <w:b w:val="1"/>
          <w:bCs w:val="1"/>
          <w:color w:val="auto"/>
        </w:rPr>
        <w:t>clause 2.2</w:t>
      </w:r>
      <w:r>
        <w:rPr>
          <w:rFonts w:ascii="Arial" w:cs="Arial" w:eastAsia="Arial" w:hAnsi="Arial"/>
          <w:sz w:val="18"/>
          <w:szCs w:val="18"/>
          <w:color w:val="auto"/>
        </w:rPr>
        <w:t xml:space="preserve"> or </w:t>
      </w:r>
      <w:r>
        <w:rPr>
          <w:rFonts w:ascii="Arial" w:cs="Arial" w:eastAsia="Arial" w:hAnsi="Arial"/>
          <w:sz w:val="18"/>
          <w:szCs w:val="18"/>
          <w:b w:val="1"/>
          <w:bCs w:val="1"/>
          <w:color w:val="auto"/>
        </w:rPr>
        <w:t>2.3</w:t>
      </w:r>
      <w:r>
        <w:rPr>
          <w:rFonts w:ascii="Arial" w:cs="Arial" w:eastAsia="Arial" w:hAnsi="Arial"/>
          <w:sz w:val="18"/>
          <w:szCs w:val="18"/>
          <w:color w:val="auto"/>
        </w:rPr>
        <w:t>, as applicable) unless such Confidential Information is in electronic form, in which case the Recipient must use all reasonable endeavours to destroy such Confidential Information.</w:t>
      </w:r>
    </w:p>
    <w:p>
      <w:pPr>
        <w:spacing w:after="0" w:line="292"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3.2 Retained papers</w:t>
      </w:r>
    </w:p>
    <w:p>
      <w:pPr>
        <w:spacing w:after="0" w:line="121" w:lineRule="exact"/>
        <w:rPr>
          <w:sz w:val="20"/>
          <w:szCs w:val="20"/>
          <w:color w:val="auto"/>
        </w:rPr>
      </w:pPr>
    </w:p>
    <w:p>
      <w:pPr>
        <w:ind w:left="436" w:right="80"/>
        <w:spacing w:after="0" w:line="277" w:lineRule="auto"/>
        <w:rPr>
          <w:sz w:val="20"/>
          <w:szCs w:val="20"/>
          <w:color w:val="auto"/>
        </w:rPr>
      </w:pPr>
      <w:r>
        <w:rPr>
          <w:rFonts w:ascii="Arial" w:cs="Arial" w:eastAsia="Arial" w:hAnsi="Arial"/>
          <w:sz w:val="18"/>
          <w:szCs w:val="18"/>
          <w:color w:val="auto"/>
        </w:rPr>
        <w:t>The Recipient may retain board papers, board presentations, board minutes, and any reports containing Confidential Information but must ensure that such information is kept confidential and used only to the extent required by the Recipient.</w:t>
      </w:r>
    </w:p>
    <w:p>
      <w:pPr>
        <w:spacing w:after="0" w:line="275"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3.3 Obligations to continue after materials returned</w:t>
      </w:r>
    </w:p>
    <w:p>
      <w:pPr>
        <w:spacing w:after="0" w:line="121" w:lineRule="exact"/>
        <w:rPr>
          <w:sz w:val="20"/>
          <w:szCs w:val="20"/>
          <w:color w:val="auto"/>
        </w:rPr>
      </w:pPr>
    </w:p>
    <w:p>
      <w:pPr>
        <w:ind w:left="436" w:right="200"/>
        <w:spacing w:after="0" w:line="264" w:lineRule="auto"/>
        <w:rPr>
          <w:sz w:val="20"/>
          <w:szCs w:val="20"/>
          <w:color w:val="auto"/>
        </w:rPr>
      </w:pPr>
      <w:r>
        <w:rPr>
          <w:rFonts w:ascii="Arial" w:cs="Arial" w:eastAsia="Arial" w:hAnsi="Arial"/>
          <w:sz w:val="18"/>
          <w:szCs w:val="18"/>
          <w:color w:val="auto"/>
        </w:rPr>
        <w:t xml:space="preserve">The obligations of the Recipient under this document will, from the date of this document, continue and be enforceable at any time by the Discloser and its Affiliates, even if the materials containing the Confidential Information are returned to the Discloser or destroyed, pursuant to </w:t>
      </w:r>
      <w:r>
        <w:rPr>
          <w:rFonts w:ascii="Arial" w:cs="Arial" w:eastAsia="Arial" w:hAnsi="Arial"/>
          <w:sz w:val="18"/>
          <w:szCs w:val="18"/>
          <w:b w:val="1"/>
          <w:bCs w:val="1"/>
          <w:color w:val="auto"/>
        </w:rPr>
        <w:t>clause 3.1</w:t>
      </w:r>
      <w:r>
        <w:rPr>
          <w:rFonts w:ascii="Arial" w:cs="Arial" w:eastAsia="Arial" w:hAnsi="Arial"/>
          <w:sz w:val="18"/>
          <w:szCs w:val="18"/>
          <w:color w:val="auto"/>
        </w:rPr>
        <w:t>.</w:t>
      </w:r>
    </w:p>
    <w:p>
      <w:pPr>
        <w:spacing w:after="0" w:line="285"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3.4 The Recipient must certify destruction of materials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If the Discloser requests the Recipient to destroy any materials containing Confidential Information pursuant to </w:t>
      </w:r>
      <w:r>
        <w:rPr>
          <w:rFonts w:ascii="Arial" w:cs="Arial" w:eastAsia="Arial" w:hAnsi="Arial"/>
          <w:sz w:val="18"/>
          <w:szCs w:val="18"/>
          <w:b w:val="1"/>
          <w:bCs w:val="1"/>
          <w:color w:val="auto"/>
        </w:rPr>
        <w:t>clause 3.1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10464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36" w:hanging="436"/>
        <w:spacing w:after="0"/>
        <w:tabs>
          <w:tab w:leader="none" w:pos="436" w:val="left"/>
        </w:tabs>
        <w:numPr>
          <w:ilvl w:val="0"/>
          <w:numId w:val="418"/>
        </w:numPr>
        <w:rPr>
          <w:rFonts w:ascii="Arial" w:cs="Arial" w:eastAsia="Arial" w:hAnsi="Arial"/>
          <w:sz w:val="15"/>
          <w:szCs w:val="15"/>
          <w:color w:val="auto"/>
        </w:rPr>
      </w:pPr>
      <w:r>
        <w:rPr>
          <w:rFonts w:ascii="Arial" w:cs="Arial" w:eastAsia="Arial" w:hAnsi="Arial"/>
          <w:sz w:val="18"/>
          <w:szCs w:val="18"/>
          <w:color w:val="auto"/>
        </w:rPr>
        <w:t>This will apply in the case where the Recipient is a Prospective Purchaser.</w:t>
      </w:r>
    </w:p>
    <w:p>
      <w:pPr>
        <w:spacing w:after="0" w:line="22" w:lineRule="exact"/>
        <w:rPr>
          <w:sz w:val="20"/>
          <w:szCs w:val="20"/>
          <w:color w:val="auto"/>
        </w:rPr>
      </w:pPr>
    </w:p>
    <w:p>
      <w:pPr>
        <w:ind w:left="5276" w:right="4380" w:hanging="5276"/>
        <w:spacing w:after="0" w:line="695" w:lineRule="auto"/>
        <w:tabs>
          <w:tab w:leader="none" w:pos="436" w:val="left"/>
        </w:tabs>
        <w:numPr>
          <w:ilvl w:val="0"/>
          <w:numId w:val="419"/>
        </w:numPr>
        <w:rPr>
          <w:rFonts w:ascii="Arial" w:cs="Arial" w:eastAsia="Arial" w:hAnsi="Arial"/>
          <w:sz w:val="14"/>
          <w:szCs w:val="14"/>
          <w:color w:val="auto"/>
        </w:rPr>
      </w:pPr>
      <w:r>
        <w:rPr>
          <w:rFonts w:ascii="Arial" w:cs="Arial" w:eastAsia="Arial" w:hAnsi="Arial"/>
          <w:sz w:val="16"/>
          <w:szCs w:val="16"/>
          <w:color w:val="auto"/>
        </w:rPr>
        <w:t>This will apply in all cases other than where the Recipient is a Prospective Purchaser.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97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56"/>
          </w:cols>
          <w:pgMar w:left="444" w:top="274" w:right="499" w:bottom="1440" w:gutter="0" w:footer="0" w:header="0"/>
        </w:sectPr>
      </w:pPr>
    </w:p>
    <w:bookmarkStart w:id="317" w:name="page318"/>
    <w:bookmarkEnd w:id="317"/>
    <w:p>
      <w:pPr>
        <w:ind w:left="860" w:right="140" w:hanging="424"/>
        <w:spacing w:after="0" w:line="347" w:lineRule="auto"/>
        <w:tabs>
          <w:tab w:leader="none" w:pos="860" w:val="left"/>
        </w:tabs>
        <w:numPr>
          <w:ilvl w:val="0"/>
          <w:numId w:val="4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w:t>
      </w:r>
      <w:r>
        <w:rPr>
          <w:rFonts w:ascii="Arial" w:cs="Arial" w:eastAsia="Arial" w:hAnsi="Arial"/>
          <w:sz w:val="16"/>
          <w:szCs w:val="16"/>
          <w:b w:val="1"/>
          <w:bCs w:val="1"/>
          <w:color w:val="auto"/>
        </w:rPr>
        <w:t>clause 3.1</w:t>
      </w:r>
      <w:r>
        <w:rPr>
          <w:rFonts w:ascii="Arial" w:cs="Arial" w:eastAsia="Arial" w:hAnsi="Arial"/>
          <w:sz w:val="16"/>
          <w:szCs w:val="16"/>
          <w:color w:val="auto"/>
        </w:rPr>
        <w:t>, all electronic or computer data or programs containing Confidential Information must be permanently deleted from the magnetic or other storage media on which it is stored so that it cannot be recovered or reconstructed in any way; and</w:t>
      </w:r>
    </w:p>
    <w:p>
      <w:pPr>
        <w:spacing w:after="0" w:line="25" w:lineRule="exact"/>
        <w:rPr>
          <w:rFonts w:ascii="Arial" w:cs="Arial" w:eastAsia="Arial" w:hAnsi="Arial"/>
          <w:sz w:val="16"/>
          <w:szCs w:val="16"/>
          <w:color w:val="auto"/>
        </w:rPr>
      </w:pPr>
    </w:p>
    <w:p>
      <w:pPr>
        <w:ind w:left="860" w:hanging="424"/>
        <w:spacing w:after="0" w:line="277" w:lineRule="auto"/>
        <w:tabs>
          <w:tab w:leader="none" w:pos="8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Recipient must certify in writing to the Discloser within five Business Days that the Confidential Information has been permanently and irretrievably deleted.</w:t>
      </w:r>
    </w:p>
    <w:p>
      <w:pPr>
        <w:spacing w:after="0" w:line="315" w:lineRule="exact"/>
        <w:rPr>
          <w:sz w:val="20"/>
          <w:szCs w:val="20"/>
          <w:color w:val="auto"/>
        </w:rPr>
      </w:pPr>
    </w:p>
    <w:p>
      <w:pPr>
        <w:ind w:left="440" w:hanging="436"/>
        <w:spacing w:after="0"/>
        <w:tabs>
          <w:tab w:leader="none" w:pos="44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Indemnity</w:t>
      </w:r>
    </w:p>
    <w:p>
      <w:pPr>
        <w:spacing w:after="0" w:line="135" w:lineRule="exact"/>
        <w:rPr>
          <w:sz w:val="20"/>
          <w:szCs w:val="20"/>
          <w:color w:val="auto"/>
        </w:rPr>
      </w:pPr>
    </w:p>
    <w:p>
      <w:pPr>
        <w:ind w:left="860" w:hanging="424"/>
        <w:spacing w:after="0"/>
        <w:tabs>
          <w:tab w:leader="none" w:pos="8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Recipient must indemnify and keep indemnified the Discloser from and against: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any cost, expense, loss, liability or damage; and</w:t>
      </w:r>
    </w:p>
    <w:p>
      <w:pPr>
        <w:spacing w:after="0" w:line="130" w:lineRule="exact"/>
        <w:rPr>
          <w:rFonts w:ascii="Arial" w:cs="Arial" w:eastAsia="Arial" w:hAnsi="Arial"/>
          <w:sz w:val="18"/>
          <w:szCs w:val="18"/>
          <w:color w:val="auto"/>
        </w:rPr>
      </w:pPr>
    </w:p>
    <w:p>
      <w:pPr>
        <w:ind w:left="1420" w:right="220" w:hanging="538"/>
        <w:spacing w:after="0" w:line="277" w:lineRule="auto"/>
        <w:tabs>
          <w:tab w:leader="none" w:pos="142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any liability whatsoever in respect of any action, claim or proceeding brought or threatened to be brought (including all costs and expenses which the Discloser may suffer or incur in disputing any such action, claim or proceeding),</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respect of or in connection with any breach of this document.</w:t>
      </w:r>
    </w:p>
    <w:p>
      <w:pPr>
        <w:spacing w:after="0" w:line="131" w:lineRule="exact"/>
        <w:rPr>
          <w:sz w:val="20"/>
          <w:szCs w:val="20"/>
          <w:color w:val="auto"/>
        </w:rPr>
      </w:pPr>
    </w:p>
    <w:p>
      <w:pPr>
        <w:ind w:left="860" w:hanging="424"/>
        <w:spacing w:after="0"/>
        <w:tabs>
          <w:tab w:leader="none" w:pos="8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This indemnity survives termination of this document.</w:t>
      </w:r>
    </w:p>
    <w:p>
      <w:pPr>
        <w:spacing w:after="0" w:line="370" w:lineRule="exact"/>
        <w:rPr>
          <w:sz w:val="20"/>
          <w:szCs w:val="20"/>
          <w:color w:val="auto"/>
        </w:rPr>
      </w:pPr>
    </w:p>
    <w:p>
      <w:pPr>
        <w:ind w:left="440" w:hanging="436"/>
        <w:spacing w:after="0"/>
        <w:tabs>
          <w:tab w:leader="none" w:pos="4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 Discloser does not warrant Confidential Information is accurate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Recipient acknowledges that:</w:t>
      </w:r>
    </w:p>
    <w:p>
      <w:pPr>
        <w:spacing w:after="0" w:line="131" w:lineRule="exact"/>
        <w:rPr>
          <w:sz w:val="20"/>
          <w:szCs w:val="20"/>
          <w:color w:val="auto"/>
        </w:rPr>
      </w:pPr>
    </w:p>
    <w:p>
      <w:pPr>
        <w:ind w:left="860" w:hanging="424"/>
        <w:spacing w:after="0"/>
        <w:tabs>
          <w:tab w:leader="none" w:pos="8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Discloser does not represent that the Confidential Information is accurate or complete;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Confidential Information may: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have been prepared without any particular standard of care;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be speculative;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be forward looking and relatively uncertain;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be based on assumptions (stated or unstated) which may not be realised;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contain material which has not been audited or verified.</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 Liability</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Subject to any written agreement between the parties to the contrary, the Discloser is not liable to the Recipient or any other person in relation to the use of the Confidential Information by the Recipient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940"/>
          </w:cols>
          <w:pgMar w:left="440" w:top="269" w:right="519" w:bottom="1440" w:gutter="0" w:footer="0" w:header="0"/>
        </w:sectPr>
      </w:pPr>
    </w:p>
    <w:bookmarkStart w:id="318" w:name="page319"/>
    <w:bookmarkEnd w:id="318"/>
    <w:p>
      <w:pPr>
        <w:ind w:left="6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 Release</w:t>
      </w:r>
    </w:p>
    <w:p>
      <w:pPr>
        <w:spacing w:after="0" w:line="121" w:lineRule="exact"/>
        <w:rPr>
          <w:sz w:val="20"/>
          <w:szCs w:val="20"/>
          <w:color w:val="auto"/>
        </w:rPr>
      </w:pPr>
    </w:p>
    <w:p>
      <w:pPr>
        <w:ind w:left="436" w:right="280"/>
        <w:spacing w:after="0" w:line="277" w:lineRule="auto"/>
        <w:rPr>
          <w:sz w:val="20"/>
          <w:szCs w:val="20"/>
          <w:color w:val="auto"/>
        </w:rPr>
      </w:pPr>
      <w:r>
        <w:rPr>
          <w:rFonts w:ascii="Arial" w:cs="Arial" w:eastAsia="Arial" w:hAnsi="Arial"/>
          <w:sz w:val="18"/>
          <w:szCs w:val="18"/>
          <w:color w:val="auto"/>
        </w:rPr>
        <w:t>Subject to any written agreement between the parties to the contrary, the Recipient releases the Discloser to the fullest extent permitted by law from any claim regarding any person’s reliance on the Confidential Information.</w:t>
      </w:r>
    </w:p>
    <w:p>
      <w:pPr>
        <w:spacing w:after="0" w:line="315" w:lineRule="exact"/>
        <w:rPr>
          <w:sz w:val="20"/>
          <w:szCs w:val="20"/>
          <w:color w:val="auto"/>
        </w:rPr>
      </w:pPr>
    </w:p>
    <w:p>
      <w:pPr>
        <w:ind w:left="436" w:hanging="436"/>
        <w:spacing w:after="0"/>
        <w:tabs>
          <w:tab w:leader="none" w:pos="436"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The Recipient acknowledges that:</w:t>
      </w:r>
    </w:p>
    <w:p>
      <w:pPr>
        <w:spacing w:after="0" w:line="130" w:lineRule="exact"/>
        <w:rPr>
          <w:rFonts w:ascii="Arial" w:cs="Arial" w:eastAsia="Arial" w:hAnsi="Arial"/>
          <w:sz w:val="18"/>
          <w:szCs w:val="18"/>
          <w:b w:val="1"/>
          <w:bCs w:val="1"/>
          <w:color w:val="auto"/>
        </w:rPr>
      </w:pPr>
    </w:p>
    <w:p>
      <w:pPr>
        <w:ind w:left="856" w:hanging="424"/>
        <w:spacing w:after="0" w:line="277" w:lineRule="auto"/>
        <w:tabs>
          <w:tab w:leader="none" w:pos="85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because of the nature of the Confidential Information, damages or an account of profit may be an inadequate remedy for the Discloser in the event of an unauthorised use or disclosure of the Confidential Information; and</w:t>
      </w:r>
    </w:p>
    <w:p>
      <w:pPr>
        <w:spacing w:after="0" w:line="75" w:lineRule="exact"/>
        <w:rPr>
          <w:rFonts w:ascii="Arial" w:cs="Arial" w:eastAsia="Arial" w:hAnsi="Arial"/>
          <w:sz w:val="18"/>
          <w:szCs w:val="18"/>
          <w:color w:val="auto"/>
        </w:rPr>
      </w:pPr>
    </w:p>
    <w:p>
      <w:pPr>
        <w:ind w:left="856" w:right="700" w:hanging="424"/>
        <w:spacing w:after="0" w:line="277" w:lineRule="auto"/>
        <w:tabs>
          <w:tab w:leader="none" w:pos="85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Discloser is entitled to seek an ex parte interlocutory or final injunction to restrain any actual or threatened unauthorised use or disclosure of the Confidential Information by the Recipient.</w:t>
      </w:r>
    </w:p>
    <w:p>
      <w:pPr>
        <w:spacing w:after="0" w:line="315" w:lineRule="exact"/>
        <w:rPr>
          <w:sz w:val="20"/>
          <w:szCs w:val="20"/>
          <w:color w:val="auto"/>
        </w:rPr>
      </w:pPr>
    </w:p>
    <w:p>
      <w:pPr>
        <w:ind w:left="436" w:hanging="436"/>
        <w:spacing w:after="0"/>
        <w:tabs>
          <w:tab w:leader="none" w:pos="436"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0" w:lineRule="exact"/>
        <w:rPr>
          <w:rFonts w:ascii="Arial" w:cs="Arial" w:eastAsia="Arial" w:hAnsi="Arial"/>
          <w:sz w:val="18"/>
          <w:szCs w:val="18"/>
          <w:b w:val="1"/>
          <w:bCs w:val="1"/>
          <w:color w:val="auto"/>
        </w:rPr>
      </w:pPr>
    </w:p>
    <w:p>
      <w:pPr>
        <w:ind w:left="856" w:hanging="424"/>
        <w:spacing w:after="0"/>
        <w:tabs>
          <w:tab w:leader="none" w:pos="856" w:val="left"/>
        </w:tabs>
        <w:numPr>
          <w:ilvl w:val="1"/>
          <w:numId w:val="427"/>
        </w:numPr>
        <w:rPr>
          <w:rFonts w:ascii="Arial" w:cs="Arial" w:eastAsia="Arial" w:hAnsi="Arial"/>
          <w:sz w:val="18"/>
          <w:szCs w:val="18"/>
          <w:color w:val="auto"/>
        </w:rPr>
      </w:pPr>
      <w:r>
        <w:rPr>
          <w:rFonts w:ascii="Arial" w:cs="Arial" w:eastAsia="Arial" w:hAnsi="Arial"/>
          <w:sz w:val="18"/>
          <w:szCs w:val="18"/>
          <w:b w:val="1"/>
          <w:bCs w:val="1"/>
          <w:color w:val="auto"/>
        </w:rPr>
        <w:t>The Discloser may terminate this document at any time by giving written notice to the Recipient.</w:t>
      </w:r>
    </w:p>
    <w:p>
      <w:pPr>
        <w:spacing w:after="0" w:line="130" w:lineRule="exact"/>
        <w:rPr>
          <w:rFonts w:ascii="Arial" w:cs="Arial" w:eastAsia="Arial" w:hAnsi="Arial"/>
          <w:sz w:val="18"/>
          <w:szCs w:val="18"/>
          <w:color w:val="auto"/>
        </w:rPr>
      </w:pPr>
    </w:p>
    <w:p>
      <w:pPr>
        <w:ind w:left="856" w:right="820" w:hanging="424"/>
        <w:spacing w:after="0" w:line="282" w:lineRule="auto"/>
        <w:tabs>
          <w:tab w:leader="none" w:pos="856" w:val="left"/>
        </w:tabs>
        <w:numPr>
          <w:ilvl w:val="1"/>
          <w:numId w:val="427"/>
        </w:numPr>
        <w:rPr>
          <w:rFonts w:ascii="Arial" w:cs="Arial" w:eastAsia="Arial" w:hAnsi="Arial"/>
          <w:sz w:val="18"/>
          <w:szCs w:val="18"/>
          <w:color w:val="auto"/>
        </w:rPr>
      </w:pPr>
      <w:r>
        <w:rPr>
          <w:rFonts w:ascii="Arial" w:cs="Arial" w:eastAsia="Arial" w:hAnsi="Arial"/>
          <w:sz w:val="18"/>
          <w:szCs w:val="18"/>
          <w:b w:val="1"/>
          <w:bCs w:val="1"/>
          <w:color w:val="auto"/>
        </w:rPr>
        <w:t>Any notice given to terminate this document will be taken to be a request to return or destroy all material containing any Confidential Information in accordance with clause 3.1.]</w:t>
      </w:r>
      <w:r>
        <w:rPr>
          <w:rFonts w:ascii="Arial" w:cs="Arial" w:eastAsia="Arial" w:hAnsi="Arial"/>
          <w:sz w:val="18"/>
          <w:szCs w:val="18"/>
          <w:color w:val="auto"/>
        </w:rPr>
        <w:t>3</w:t>
      </w:r>
    </w:p>
    <w:p>
      <w:pPr>
        <w:spacing w:after="0" w:line="310" w:lineRule="exact"/>
        <w:rPr>
          <w:sz w:val="20"/>
          <w:szCs w:val="20"/>
          <w:color w:val="auto"/>
        </w:rPr>
      </w:pPr>
    </w:p>
    <w:p>
      <w:pPr>
        <w:ind w:left="436" w:hanging="436"/>
        <w:spacing w:after="0"/>
        <w:tabs>
          <w:tab w:leader="none" w:pos="436"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8.1 Severance</w:t>
      </w:r>
    </w:p>
    <w:p>
      <w:pPr>
        <w:spacing w:after="0" w:line="131" w:lineRule="exact"/>
        <w:rPr>
          <w:sz w:val="20"/>
          <w:szCs w:val="20"/>
          <w:color w:val="auto"/>
        </w:rPr>
      </w:pPr>
    </w:p>
    <w:p>
      <w:pPr>
        <w:ind w:left="856" w:right="280" w:hanging="424"/>
        <w:spacing w:after="0" w:line="282" w:lineRule="auto"/>
        <w:tabs>
          <w:tab w:leader="none" w:pos="85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8.1(b)</w:t>
      </w:r>
      <w:r>
        <w:rPr>
          <w:rFonts w:ascii="Arial" w:cs="Arial" w:eastAsia="Arial" w:hAnsi="Arial"/>
          <w:sz w:val="18"/>
          <w:szCs w:val="18"/>
          <w:color w:val="auto"/>
        </w:rPr>
        <w:t>, if a provision of this document is illegal or unenforceable in any relevant jurisdiction, it may be severed for the purposes of that jurisdiction without affecting the enforceability of the other provisions of this document.</w:t>
      </w:r>
    </w:p>
    <w:p>
      <w:pPr>
        <w:spacing w:after="0" w:line="67" w:lineRule="exact"/>
        <w:rPr>
          <w:rFonts w:ascii="Arial" w:cs="Arial" w:eastAsia="Arial" w:hAnsi="Arial"/>
          <w:sz w:val="18"/>
          <w:szCs w:val="18"/>
          <w:color w:val="auto"/>
        </w:rPr>
      </w:pPr>
    </w:p>
    <w:p>
      <w:pPr>
        <w:ind w:left="856" w:hanging="424"/>
        <w:spacing w:after="0"/>
        <w:tabs>
          <w:tab w:leader="none" w:pos="856" w:val="left"/>
        </w:tabs>
        <w:numPr>
          <w:ilvl w:val="0"/>
          <w:numId w:val="429"/>
        </w:numPr>
        <w:rPr>
          <w:rFonts w:ascii="Arial" w:cs="Arial" w:eastAsia="Arial" w:hAnsi="Arial"/>
          <w:sz w:val="18"/>
          <w:szCs w:val="18"/>
          <w:color w:val="auto"/>
        </w:rPr>
      </w:pPr>
      <w:r>
        <w:rPr>
          <w:rFonts w:ascii="Arial" w:cs="Arial" w:eastAsia="Arial" w:hAnsi="Arial"/>
          <w:sz w:val="18"/>
          <w:szCs w:val="18"/>
          <w:b w:val="1"/>
          <w:bCs w:val="1"/>
          <w:color w:val="auto"/>
        </w:rPr>
        <w:t xml:space="preserve">Clause 8.1(a) </w:t>
      </w:r>
      <w:r>
        <w:rPr>
          <w:rFonts w:ascii="Arial" w:cs="Arial" w:eastAsia="Arial" w:hAnsi="Arial"/>
          <w:sz w:val="18"/>
          <w:szCs w:val="18"/>
          <w:color w:val="auto"/>
        </w:rPr>
        <w:t>does not apply if severing the provision:</w:t>
      </w:r>
    </w:p>
    <w:p>
      <w:pPr>
        <w:spacing w:after="0" w:line="134" w:lineRule="exact"/>
        <w:rPr>
          <w:rFonts w:ascii="Arial" w:cs="Arial" w:eastAsia="Arial" w:hAnsi="Arial"/>
          <w:sz w:val="18"/>
          <w:szCs w:val="18"/>
          <w:color w:val="auto"/>
        </w:rPr>
      </w:pPr>
    </w:p>
    <w:p>
      <w:pPr>
        <w:ind w:left="1416" w:hanging="538"/>
        <w:spacing w:after="0"/>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materially alters:</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2"/>
          <w:numId w:val="429"/>
        </w:numPr>
        <w:rPr>
          <w:rFonts w:ascii="Arial" w:cs="Arial" w:eastAsia="Arial" w:hAnsi="Arial"/>
          <w:sz w:val="18"/>
          <w:szCs w:val="18"/>
          <w:color w:val="auto"/>
        </w:rPr>
      </w:pPr>
      <w:r>
        <w:rPr>
          <w:rFonts w:ascii="Arial" w:cs="Arial" w:eastAsia="Arial" w:hAnsi="Arial"/>
          <w:sz w:val="18"/>
          <w:szCs w:val="18"/>
          <w:color w:val="auto"/>
        </w:rPr>
        <w:t>the scope and nature of this document; or</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2"/>
          <w:numId w:val="429"/>
        </w:numPr>
        <w:rPr>
          <w:rFonts w:ascii="Arial" w:cs="Arial" w:eastAsia="Arial" w:hAnsi="Arial"/>
          <w:sz w:val="18"/>
          <w:szCs w:val="18"/>
          <w:color w:val="auto"/>
        </w:rPr>
      </w:pPr>
      <w:r>
        <w:rPr>
          <w:rFonts w:ascii="Arial" w:cs="Arial" w:eastAsia="Arial" w:hAnsi="Arial"/>
          <w:sz w:val="18"/>
          <w:szCs w:val="18"/>
          <w:color w:val="auto"/>
        </w:rPr>
        <w:t>the relative commercial or financial positions of the parties; or</w:t>
      </w:r>
    </w:p>
    <w:p>
      <w:pPr>
        <w:spacing w:after="0" w:line="130" w:lineRule="exact"/>
        <w:rPr>
          <w:rFonts w:ascii="Arial" w:cs="Arial" w:eastAsia="Arial" w:hAnsi="Arial"/>
          <w:sz w:val="18"/>
          <w:szCs w:val="18"/>
          <w:color w:val="auto"/>
        </w:rPr>
      </w:pPr>
    </w:p>
    <w:p>
      <w:pPr>
        <w:ind w:left="1416" w:hanging="538"/>
        <w:spacing w:after="0"/>
        <w:tabs>
          <w:tab w:leader="none" w:pos="141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would be contrary to public policy.</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8.2 Amendment</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This document may only be varied or replaced by a document executed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10464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76" w:right="5200" w:hanging="5276"/>
        <w:spacing w:after="0" w:line="476" w:lineRule="auto"/>
        <w:tabs>
          <w:tab w:leader="none" w:pos="436" w:val="left"/>
        </w:tabs>
        <w:numPr>
          <w:ilvl w:val="0"/>
          <w:numId w:val="430"/>
        </w:numPr>
        <w:rPr>
          <w:rFonts w:ascii="Arial" w:cs="Arial" w:eastAsia="Arial" w:hAnsi="Arial"/>
          <w:sz w:val="14"/>
          <w:szCs w:val="14"/>
          <w:color w:val="auto"/>
        </w:rPr>
      </w:pPr>
      <w:r>
        <w:rPr>
          <w:rFonts w:ascii="Arial" w:cs="Arial" w:eastAsia="Arial" w:hAnsi="Arial"/>
          <w:sz w:val="16"/>
          <w:szCs w:val="16"/>
          <w:color w:val="auto"/>
        </w:rPr>
        <w:t>This will apply where the Recipient is a Prospective Purchaser only.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56"/>
          </w:cols>
          <w:pgMar w:left="444" w:top="270" w:right="499" w:bottom="1440" w:gutter="0" w:footer="0" w:header="0"/>
        </w:sectPr>
      </w:pPr>
    </w:p>
    <w:bookmarkStart w:id="319" w:name="page320"/>
    <w:bookmarkEnd w:id="319"/>
    <w:p>
      <w:pPr>
        <w:ind w:left="2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 Waiver and exercise of rights</w:t>
      </w:r>
    </w:p>
    <w:p>
      <w:pPr>
        <w:spacing w:after="0" w:line="135" w:lineRule="exact"/>
        <w:rPr>
          <w:sz w:val="20"/>
          <w:szCs w:val="20"/>
          <w:color w:val="auto"/>
        </w:rPr>
      </w:pPr>
    </w:p>
    <w:p>
      <w:pPr>
        <w:ind w:left="424" w:right="100" w:hanging="424"/>
        <w:spacing w:after="0" w:line="277" w:lineRule="auto"/>
        <w:tabs>
          <w:tab w:leader="none" w:pos="42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single or partial exercise or waiver of a right relating to this document does not prevent any other exercise of that right or the exercise of any other right.</w:t>
      </w:r>
    </w:p>
    <w:p>
      <w:pPr>
        <w:spacing w:after="0" w:line="75"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 party is not liable for any loss, cost or expense of any other party caused or contributed to by the waiver, exercise, attempted exercise, failure to exercise or delay in the exercise of a right.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8.4 Governing law and jurisdiction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document is governed by and is to be construed in accordance with the laws applicable in Hong Kong.</w:t>
      </w:r>
    </w:p>
    <w:p>
      <w:pPr>
        <w:spacing w:after="0" w:line="329"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8.5 Assignment</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Neither party may assign any right or obligation under this document without the other party’s prior written consent. Any dealing in breach of this clause is of no effect.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8.6 Entire understanding</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This document and the Shareholders’ Agreement (if applicable) contain the entire understanding between the parties as to the subject matter of this document.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8.7 Legal costs</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Except as expressly stated otherwise in this document, each party must pay its own legal and other costs and expenses of negotiating, preparing, executing and performing its obligations under this document.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8.8 Rights cumulative</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Except as expressly stated otherwise in this document, the rights of a party under this document are cumulative and are in addition to any other rights of that party.</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8.9 Further steps</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Each party must promptly do whatever any other party reasonably requires of it to give effect to this document and to perform its obligations under it.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8.10 Counterparts and facsimile copies</w:t>
      </w:r>
    </w:p>
    <w:p>
      <w:pPr>
        <w:spacing w:after="0" w:line="135" w:lineRule="exact"/>
        <w:rPr>
          <w:sz w:val="20"/>
          <w:szCs w:val="20"/>
          <w:color w:val="auto"/>
        </w:rPr>
      </w:pPr>
    </w:p>
    <w:p>
      <w:pPr>
        <w:ind w:left="424" w:hanging="424"/>
        <w:spacing w:after="0"/>
        <w:tabs>
          <w:tab w:leader="none" w:pos="42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This document may consist of a number of counterparts and, if so, the counterparts taken together constitute one document.</w:t>
      </w:r>
    </w:p>
    <w:p>
      <w:pPr>
        <w:spacing w:after="0" w:line="126" w:lineRule="exact"/>
        <w:rPr>
          <w:rFonts w:ascii="Arial" w:cs="Arial" w:eastAsia="Arial" w:hAnsi="Arial"/>
          <w:sz w:val="18"/>
          <w:szCs w:val="18"/>
          <w:color w:val="auto"/>
        </w:rPr>
      </w:pPr>
    </w:p>
    <w:p>
      <w:pPr>
        <w:ind w:left="424" w:right="500" w:hanging="424"/>
        <w:spacing w:after="0" w:line="282" w:lineRule="auto"/>
        <w:tabs>
          <w:tab w:leader="none" w:pos="42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This document may be entered into and becomes binding on the parties upon one party (</w:t>
      </w:r>
      <w:r>
        <w:rPr>
          <w:rFonts w:ascii="Arial" w:cs="Arial" w:eastAsia="Arial" w:hAnsi="Arial"/>
          <w:sz w:val="18"/>
          <w:szCs w:val="18"/>
          <w:b w:val="1"/>
          <w:bCs w:val="1"/>
          <w:color w:val="auto"/>
        </w:rPr>
        <w:t>Sender</w:t>
      </w:r>
      <w:r>
        <w:rPr>
          <w:rFonts w:ascii="Arial" w:cs="Arial" w:eastAsia="Arial" w:hAnsi="Arial"/>
          <w:sz w:val="18"/>
          <w:szCs w:val="18"/>
          <w:color w:val="auto"/>
        </w:rPr>
        <w:t>) signing the document and sending a facsimile copy of the signed document to the other party (</w:t>
      </w:r>
      <w:r>
        <w:rPr>
          <w:rFonts w:ascii="Arial" w:cs="Arial" w:eastAsia="Arial" w:hAnsi="Arial"/>
          <w:sz w:val="18"/>
          <w:szCs w:val="18"/>
          <w:b w:val="1"/>
          <w:bCs w:val="1"/>
          <w:color w:val="auto"/>
        </w:rPr>
        <w:t>Receiver</w:t>
      </w:r>
      <w:r>
        <w:rPr>
          <w:rFonts w:ascii="Arial" w:cs="Arial" w:eastAsia="Arial" w:hAnsi="Arial"/>
          <w:sz w:val="18"/>
          <w:szCs w:val="18"/>
          <w:color w:val="auto"/>
        </w:rPr>
        <w:t>) and the Receiver either:</w:t>
      </w:r>
    </w:p>
    <w:p>
      <w:pPr>
        <w:spacing w:after="0" w:line="71" w:lineRule="exact"/>
        <w:rPr>
          <w:rFonts w:ascii="Arial" w:cs="Arial" w:eastAsia="Arial" w:hAnsi="Arial"/>
          <w:sz w:val="18"/>
          <w:szCs w:val="18"/>
          <w:color w:val="auto"/>
        </w:rPr>
      </w:pPr>
    </w:p>
    <w:p>
      <w:pPr>
        <w:ind w:left="984" w:hanging="538"/>
        <w:spacing w:after="0"/>
        <w:tabs>
          <w:tab w:leader="none" w:pos="984" w:val="left"/>
        </w:tabs>
        <w:numPr>
          <w:ilvl w:val="1"/>
          <w:numId w:val="432"/>
        </w:numPr>
        <w:rPr>
          <w:rFonts w:ascii="Arial" w:cs="Arial" w:eastAsia="Arial" w:hAnsi="Arial"/>
          <w:sz w:val="18"/>
          <w:szCs w:val="18"/>
          <w:color w:val="auto"/>
        </w:rPr>
      </w:pPr>
      <w:r>
        <w:rPr>
          <w:rFonts w:ascii="Arial" w:cs="Arial" w:eastAsia="Arial" w:hAnsi="Arial"/>
          <w:sz w:val="18"/>
          <w:szCs w:val="18"/>
          <w:color w:val="auto"/>
        </w:rPr>
        <w:t>signing the document received by it and sending it by facsimile transmission to the Sender; or</w:t>
      </w:r>
    </w:p>
    <w:p>
      <w:pPr>
        <w:spacing w:after="0" w:line="130" w:lineRule="exact"/>
        <w:rPr>
          <w:rFonts w:ascii="Arial" w:cs="Arial" w:eastAsia="Arial" w:hAnsi="Arial"/>
          <w:sz w:val="18"/>
          <w:szCs w:val="18"/>
          <w:color w:val="auto"/>
        </w:rPr>
      </w:pPr>
    </w:p>
    <w:p>
      <w:pPr>
        <w:ind w:left="984" w:hanging="538"/>
        <w:spacing w:after="0"/>
        <w:tabs>
          <w:tab w:leader="none" w:pos="984" w:val="left"/>
        </w:tabs>
        <w:numPr>
          <w:ilvl w:val="1"/>
          <w:numId w:val="432"/>
        </w:numPr>
        <w:rPr>
          <w:rFonts w:ascii="Arial" w:cs="Arial" w:eastAsia="Arial" w:hAnsi="Arial"/>
          <w:sz w:val="18"/>
          <w:szCs w:val="18"/>
          <w:color w:val="auto"/>
        </w:rPr>
      </w:pPr>
      <w:r>
        <w:rPr>
          <w:rFonts w:ascii="Arial" w:cs="Arial" w:eastAsia="Arial" w:hAnsi="Arial"/>
          <w:sz w:val="18"/>
          <w:szCs w:val="18"/>
          <w:color w:val="auto"/>
        </w:rPr>
        <w:t>signing a counterpart of the document received by it and sending it by facsimile transmission to the Sender.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118110</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524"/>
          </w:cols>
          <w:pgMar w:left="876" w:top="270" w:right="499" w:bottom="1440" w:gutter="0" w:footer="0" w:header="0"/>
        </w:sectPr>
      </w:pPr>
    </w:p>
    <w:bookmarkStart w:id="320" w:name="page321"/>
    <w:bookmarkEnd w:id="320"/>
    <w:p>
      <w:pPr>
        <w:ind w:left="6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8.11 Relationship of parties</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This document is not intended to create a partnership, joint venture or agency relationship between the parties.</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8.12 Ownership thresholds</w:t>
      </w:r>
    </w:p>
    <w:p>
      <w:pPr>
        <w:spacing w:after="0" w:line="121" w:lineRule="exact"/>
        <w:rPr>
          <w:sz w:val="20"/>
          <w:szCs w:val="20"/>
          <w:color w:val="auto"/>
        </w:rPr>
      </w:pPr>
    </w:p>
    <w:p>
      <w:pPr>
        <w:ind w:left="436" w:right="340"/>
        <w:spacing w:after="0" w:line="277" w:lineRule="auto"/>
        <w:rPr>
          <w:sz w:val="20"/>
          <w:szCs w:val="20"/>
          <w:color w:val="auto"/>
        </w:rPr>
      </w:pPr>
      <w:r>
        <w:rPr>
          <w:rFonts w:ascii="Arial" w:cs="Arial" w:eastAsia="Arial" w:hAnsi="Arial"/>
          <w:sz w:val="18"/>
          <w:szCs w:val="18"/>
          <w:color w:val="auto"/>
        </w:rPr>
        <w:t>In determining the number of Upstream Securities held by a person in an entity for the purposes of any threshold in this document, Upstream Securities held by an Affiliate of that person in that same entity shall be deemed to be held by that person.</w:t>
      </w:r>
    </w:p>
    <w:p>
      <w:pPr>
        <w:spacing w:after="0" w:line="315" w:lineRule="exact"/>
        <w:rPr>
          <w:sz w:val="20"/>
          <w:szCs w:val="20"/>
          <w:color w:val="auto"/>
        </w:rPr>
      </w:pPr>
    </w:p>
    <w:p>
      <w:pPr>
        <w:ind w:left="436" w:hanging="436"/>
        <w:spacing w:after="0"/>
        <w:tabs>
          <w:tab w:leader="none" w:pos="436"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17"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9.1 General</w:t>
      </w:r>
    </w:p>
    <w:p>
      <w:pPr>
        <w:spacing w:after="0" w:line="121" w:lineRule="exact"/>
        <w:rPr>
          <w:sz w:val="20"/>
          <w:szCs w:val="20"/>
          <w:color w:val="auto"/>
        </w:rPr>
      </w:pPr>
    </w:p>
    <w:p>
      <w:pPr>
        <w:ind w:left="436" w:right="120"/>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must be in writing in English and may be given by an agent of the sender.</w:t>
      </w:r>
    </w:p>
    <w:p>
      <w:pPr>
        <w:spacing w:after="0" w:line="275"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9.2 How to give a communication</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 communication must be given by being:</w:t>
      </w:r>
    </w:p>
    <w:p>
      <w:pPr>
        <w:spacing w:after="0" w:line="131" w:lineRule="exact"/>
        <w:rPr>
          <w:sz w:val="20"/>
          <w:szCs w:val="20"/>
          <w:color w:val="auto"/>
        </w:rPr>
      </w:pPr>
    </w:p>
    <w:p>
      <w:pPr>
        <w:ind w:left="856" w:hanging="424"/>
        <w:spacing w:after="0"/>
        <w:tabs>
          <w:tab w:leader="none" w:pos="85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personally delivered;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left at the party’s current delivery address for notices;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0"/>
          <w:numId w:val="434"/>
        </w:numPr>
        <w:rPr>
          <w:rFonts w:ascii="Arial" w:cs="Arial" w:eastAsia="Arial" w:hAnsi="Arial"/>
          <w:sz w:val="17"/>
          <w:szCs w:val="17"/>
          <w:color w:val="auto"/>
        </w:rPr>
      </w:pPr>
      <w:r>
        <w:rPr>
          <w:rFonts w:ascii="Arial" w:cs="Arial" w:eastAsia="Arial" w:hAnsi="Arial"/>
          <w:sz w:val="17"/>
          <w:szCs w:val="17"/>
          <w:color w:val="auto"/>
        </w:rPr>
        <w:t>sent to the party’s current postal address for notices by reputable international delivery service for delivery within three days; or</w:t>
      </w:r>
    </w:p>
    <w:p>
      <w:pPr>
        <w:spacing w:after="0" w:line="142" w:lineRule="exact"/>
        <w:rPr>
          <w:rFonts w:ascii="Arial" w:cs="Arial" w:eastAsia="Arial" w:hAnsi="Arial"/>
          <w:sz w:val="17"/>
          <w:szCs w:val="17"/>
          <w:color w:val="auto"/>
        </w:rPr>
      </w:pPr>
    </w:p>
    <w:p>
      <w:pPr>
        <w:ind w:left="856" w:hanging="424"/>
        <w:spacing w:after="0"/>
        <w:tabs>
          <w:tab w:leader="none" w:pos="856"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sent by fax to the party’s current fax number for notices,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provided that any communication hereunder may also be sent by e-mail (which shall not constitute notice).</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9.3 Particulars for delivery of notices</w:t>
      </w:r>
    </w:p>
    <w:p>
      <w:pPr>
        <w:spacing w:after="0" w:line="135" w:lineRule="exact"/>
        <w:rPr>
          <w:sz w:val="20"/>
          <w:szCs w:val="20"/>
          <w:color w:val="auto"/>
        </w:rPr>
      </w:pPr>
    </w:p>
    <w:p>
      <w:pPr>
        <w:ind w:left="856" w:hanging="424"/>
        <w:spacing w:after="0" w:line="286" w:lineRule="auto"/>
        <w:tabs>
          <w:tab w:leader="none" w:pos="856"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particulars for delivery of notices for each party, including such party’s (i) delivery address for notices, (ii) postal address for notices (if different than delivery address), (iii) facsimile number for notices, (iv) e-mail address for notices, and (v) the person or office to whom notices are to be addressed, are initially as set out opposite such party’s name at the commencement of this document.</w:t>
      </w:r>
    </w:p>
    <w:p>
      <w:pPr>
        <w:spacing w:after="0" w:line="70" w:lineRule="exact"/>
        <w:rPr>
          <w:rFonts w:ascii="Arial" w:cs="Arial" w:eastAsia="Arial" w:hAnsi="Arial"/>
          <w:sz w:val="17"/>
          <w:szCs w:val="17"/>
          <w:color w:val="auto"/>
        </w:rPr>
      </w:pPr>
    </w:p>
    <w:p>
      <w:pPr>
        <w:ind w:left="856" w:hanging="424"/>
        <w:spacing w:after="0"/>
        <w:tabs>
          <w:tab w:leader="none" w:pos="85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Each party may change its particulars for delivery of notices by notice to each other party.</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9.4 Communications by post</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9.6</w:t>
      </w:r>
      <w:r>
        <w:rPr>
          <w:rFonts w:ascii="Arial" w:cs="Arial" w:eastAsia="Arial" w:hAnsi="Arial"/>
          <w:sz w:val="18"/>
          <w:szCs w:val="18"/>
          <w:color w:val="auto"/>
        </w:rPr>
        <w:t xml:space="preserve">, a communication is deemed given five days after being sent under </w:t>
      </w:r>
      <w:r>
        <w:rPr>
          <w:rFonts w:ascii="Arial" w:cs="Arial" w:eastAsia="Arial" w:hAnsi="Arial"/>
          <w:sz w:val="18"/>
          <w:szCs w:val="18"/>
          <w:b w:val="1"/>
          <w:bCs w:val="1"/>
          <w:color w:val="auto"/>
        </w:rPr>
        <w:t>clause 9.2(c)</w:t>
      </w:r>
      <w:r>
        <w:rPr>
          <w:rFonts w:ascii="Arial" w:cs="Arial" w:eastAsia="Arial" w:hAnsi="Arial"/>
          <w:sz w:val="18"/>
          <w:szCs w:val="18"/>
          <w:color w:val="auto"/>
        </w:rPr>
        <w:t>.</w:t>
      </w:r>
    </w:p>
    <w:p>
      <w:pPr>
        <w:spacing w:after="0" w:line="333"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9.5 Communications by fax</w:t>
      </w:r>
    </w:p>
    <w:p>
      <w:pPr>
        <w:spacing w:after="0" w:line="117" w:lineRule="exact"/>
        <w:rPr>
          <w:sz w:val="20"/>
          <w:szCs w:val="20"/>
          <w:color w:val="auto"/>
        </w:rPr>
      </w:pPr>
    </w:p>
    <w:p>
      <w:pPr>
        <w:ind w:left="436" w:right="140"/>
        <w:spacing w:after="0" w:line="347"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9.6</w:t>
      </w:r>
      <w:r>
        <w:rPr>
          <w:rFonts w:ascii="Arial" w:cs="Arial" w:eastAsia="Arial" w:hAnsi="Arial"/>
          <w:sz w:val="16"/>
          <w:szCs w:val="16"/>
          <w:color w:val="auto"/>
        </w:rPr>
        <w:t>, a communication is deemed given if sent by fax, when the sender’s fax machine produces a report that the fax was sent in full to the addressee. That report is conclusive evidence that the addressee received the fax in full at the time indicated on that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997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8"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936"/>
          </w:cols>
          <w:pgMar w:left="444" w:top="270" w:right="519" w:bottom="1440" w:gutter="0" w:footer="0" w:header="0"/>
        </w:sectPr>
      </w:pPr>
    </w:p>
    <w:bookmarkStart w:id="321" w:name="page322"/>
    <w:bookmarkEnd w:id="321"/>
    <w:p>
      <w:pPr>
        <w:ind w:left="2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 After hours communications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a communication is given:</w:t>
      </w:r>
    </w:p>
    <w:p>
      <w:pPr>
        <w:spacing w:after="0" w:line="131" w:lineRule="exact"/>
        <w:rPr>
          <w:sz w:val="20"/>
          <w:szCs w:val="20"/>
          <w:color w:val="auto"/>
        </w:rPr>
      </w:pPr>
    </w:p>
    <w:p>
      <w:pPr>
        <w:ind w:left="424" w:hanging="424"/>
        <w:spacing w:after="0"/>
        <w:tabs>
          <w:tab w:leader="none" w:pos="42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after 5.00pm in the place of receipt;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on a day which is a Saturday, Sunday or bank or public holiday in the place of receipt,</w:t>
      </w:r>
    </w:p>
    <w:p>
      <w:pPr>
        <w:spacing w:after="0" w:line="11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it is taken as having been given at 9.00am on the next day which is not a Saturday, Sunday or bank or public holiday or (in the case of Hong Kong) general holiday in that place.</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9.7 Receipt of notice</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shall be deemed received when it is deemed given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83185</wp:posOffset>
            </wp:positionV>
            <wp:extent cx="6997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144"/>
          </w:cols>
          <w:pgMar w:left="876" w:top="270" w:right="87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Signed, Sealed and Delivered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12"/>
        </w:trPr>
        <w:tc>
          <w:tcPr>
            <w:tcW w:w="5380" w:type="dxa"/>
            <w:vAlign w:val="bottom"/>
            <w:gridSpan w:val="2"/>
          </w:tcPr>
          <w:p>
            <w:pPr>
              <w:spacing w:after="0"/>
              <w:rPr>
                <w:sz w:val="20"/>
                <w:szCs w:val="20"/>
                <w:color w:val="auto"/>
              </w:rPr>
            </w:pPr>
            <w:r>
              <w:rPr>
                <w:rFonts w:ascii="Arial" w:cs="Arial" w:eastAsia="Arial" w:hAnsi="Arial"/>
                <w:sz w:val="18"/>
                <w:szCs w:val="18"/>
                <w:color w:val="auto"/>
              </w:rPr>
              <w:t>as a deed in the name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20"/>
        </w:trPr>
        <w:tc>
          <w:tcPr>
            <w:tcW w:w="53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Discloser</w:t>
            </w:r>
            <w:r>
              <w:rPr>
                <w:rFonts w:ascii="Arial" w:cs="Arial" w:eastAsia="Arial" w:hAnsi="Arial"/>
                <w:sz w:val="18"/>
                <w:szCs w:val="18"/>
                <w:color w:val="auto"/>
              </w:rPr>
              <w:t>] acting by</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its duly authorised representative</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with authority of the board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Authorised Representative</w:t>
            </w:r>
          </w:p>
        </w:tc>
      </w:tr>
      <w:tr>
        <w:trPr>
          <w:trHeight w:val="444"/>
        </w:trPr>
        <w:tc>
          <w:tcPr>
            <w:tcW w:w="538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Title of witness: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Signed, Sealed and Delivered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12"/>
        </w:trPr>
        <w:tc>
          <w:tcPr>
            <w:tcW w:w="5380" w:type="dxa"/>
            <w:vAlign w:val="bottom"/>
            <w:gridSpan w:val="2"/>
          </w:tcPr>
          <w:p>
            <w:pPr>
              <w:spacing w:after="0"/>
              <w:rPr>
                <w:sz w:val="20"/>
                <w:szCs w:val="20"/>
                <w:color w:val="auto"/>
              </w:rPr>
            </w:pPr>
            <w:r>
              <w:rPr>
                <w:rFonts w:ascii="Arial" w:cs="Arial" w:eastAsia="Arial" w:hAnsi="Arial"/>
                <w:sz w:val="18"/>
                <w:szCs w:val="18"/>
                <w:color w:val="auto"/>
              </w:rPr>
              <w:t>as a deed in the name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20"/>
        </w:trPr>
        <w:tc>
          <w:tcPr>
            <w:tcW w:w="53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acting by</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its duly authorised representative</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with authority of the board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Authorised Representative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279590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040"/>
          </w:cols>
          <w:pgMar w:left="440" w:top="269" w:right="41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Deed of Accession</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Deed poll dated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0940"/>
          </w:cols>
          <w:pgMar w:left="440" w:top="273" w:right="5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Acceding Party</w:t>
      </w:r>
      <w:r>
        <w:rPr>
          <w:rFonts w:ascii="Arial" w:cs="Arial" w:eastAsia="Arial" w:hAnsi="Arial"/>
          <w:sz w:val="16"/>
          <w:szCs w:val="16"/>
          <w:color w:val="auto"/>
        </w:rPr>
        <w:t>)</w:t>
      </w:r>
    </w:p>
    <w:p>
      <w:pPr>
        <w:spacing w:after="0" w:line="125" w:lineRule="exact"/>
        <w:rPr>
          <w:sz w:val="20"/>
          <w:szCs w:val="20"/>
          <w:color w:val="auto"/>
        </w:rPr>
      </w:pPr>
    </w:p>
    <w:p>
      <w:pPr>
        <w:sectPr>
          <w:pgSz w:w="11900" w:h="16838" w:orient="portrait"/>
          <w:cols w:equalWidth="0" w:num="2">
            <w:col w:w="6380" w:space="720"/>
            <w:col w:w="3840"/>
          </w:cols>
          <w:pgMar w:left="440" w:top="273" w:right="51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Background</w:t>
      </w:r>
    </w:p>
    <w:p>
      <w:pPr>
        <w:spacing w:after="0" w:line="127" w:lineRule="exact"/>
        <w:rPr>
          <w:sz w:val="20"/>
          <w:szCs w:val="20"/>
          <w:color w:val="auto"/>
        </w:rPr>
      </w:pPr>
    </w:p>
    <w:p>
      <w:pPr>
        <w:ind w:left="440" w:right="20" w:hanging="436"/>
        <w:spacing w:after="0" w:line="272" w:lineRule="auto"/>
        <w:tabs>
          <w:tab w:leader="none" w:pos="44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This document is supplemental to an Amended and Restated Shareholders Agreement dated October 16, 2018 (</w:t>
      </w:r>
      <w:r>
        <w:rPr>
          <w:rFonts w:ascii="Arial" w:cs="Arial" w:eastAsia="Arial" w:hAnsi="Arial"/>
          <w:sz w:val="17"/>
          <w:szCs w:val="17"/>
          <w:b w:val="1"/>
          <w:bCs w:val="1"/>
          <w:color w:val="auto"/>
        </w:rPr>
        <w:t>Agreement</w:t>
      </w:r>
      <w:r>
        <w:rPr>
          <w:rFonts w:ascii="Arial" w:cs="Arial" w:eastAsia="Arial" w:hAnsi="Arial"/>
          <w:sz w:val="17"/>
          <w:szCs w:val="17"/>
          <w:color w:val="auto"/>
        </w:rPr>
        <w:t>) by and among MCE Cotai Investments Limited, a company incorporated in the Cayman Islands, c/o Intertrust Corporate Services (Cayman) Limited, 190 Elgin Avenue, George Town, Grand Cayman KY1 - 9005, Cayman Islands, New Cotai, LLC, a limited liability company formed in Delaware, United States of America, c/o New Cotai Holdings, LLC, of Two Greenwich Plaza, Greenwich, Connecticut 06830, United States of America, Melco Resorts &amp; Entertainment Limited, a company incorporated in the Cayman Islands, c/o Intertrust Corporate Services (Cayman) Limited, 190 Elgin Avenue, George Town, Grand Cayman KY1 - 9005, Cayman Islands, and Studio City International Holdings Limited, a company incorporated in the Cayman Islands, with its registered office at Vistra (Cayman) Limited, P.O. Box 31119 Grand Pavilion, Hibiscus Way, 802 West Bay Road, Grand Cayman, KY1-1205, Cayman Islands.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Declarations</w:t>
      </w:r>
    </w:p>
    <w:p>
      <w:pPr>
        <w:spacing w:after="0" w:line="131" w:lineRule="exact"/>
        <w:rPr>
          <w:sz w:val="20"/>
          <w:szCs w:val="20"/>
          <w:color w:val="auto"/>
        </w:rPr>
      </w:pPr>
    </w:p>
    <w:p>
      <w:pPr>
        <w:ind w:left="440" w:hanging="436"/>
        <w:spacing w:after="0"/>
        <w:tabs>
          <w:tab w:leader="none" w:pos="4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Acceding party to be bound</w:t>
      </w:r>
    </w:p>
    <w:p>
      <w:pPr>
        <w:spacing w:after="0" w:line="113" w:lineRule="exact"/>
        <w:rPr>
          <w:rFonts w:ascii="Arial" w:cs="Arial" w:eastAsia="Arial" w:hAnsi="Arial"/>
          <w:sz w:val="18"/>
          <w:szCs w:val="18"/>
          <w:color w:val="auto"/>
        </w:rPr>
      </w:pPr>
    </w:p>
    <w:p>
      <w:pPr>
        <w:ind w:left="440"/>
        <w:spacing w:after="0" w:line="266" w:lineRule="auto"/>
        <w:rPr>
          <w:rFonts w:ascii="Arial" w:cs="Arial" w:eastAsia="Arial" w:hAnsi="Arial"/>
          <w:sz w:val="18"/>
          <w:szCs w:val="18"/>
          <w:color w:val="auto"/>
        </w:rPr>
      </w:pPr>
      <w:r>
        <w:rPr>
          <w:rFonts w:ascii="Arial" w:cs="Arial" w:eastAsia="Arial" w:hAnsi="Arial"/>
          <w:sz w:val="18"/>
          <w:szCs w:val="18"/>
          <w:color w:val="auto"/>
        </w:rPr>
        <w:t>The Acceding Party covenants with all parties to the Agreement from time to time (whether original or by accession) (</w:t>
      </w:r>
      <w:r>
        <w:rPr>
          <w:rFonts w:ascii="Arial" w:cs="Arial" w:eastAsia="Arial" w:hAnsi="Arial"/>
          <w:sz w:val="18"/>
          <w:szCs w:val="18"/>
          <w:b w:val="1"/>
          <w:bCs w:val="1"/>
          <w:color w:val="auto"/>
        </w:rPr>
        <w:t>Parties</w:t>
      </w:r>
      <w:r>
        <w:rPr>
          <w:rFonts w:ascii="Arial" w:cs="Arial" w:eastAsia="Arial" w:hAnsi="Arial"/>
          <w:sz w:val="18"/>
          <w:szCs w:val="18"/>
          <w:color w:val="auto"/>
        </w:rPr>
        <w:t>) to observe, perform and be bound by all the terms of the Agreement in so far as they remain to be observed and performed, as if the Acceding Party had been an original party to the Agreement as [</w:t>
      </w:r>
      <w:r>
        <w:rPr>
          <w:rFonts w:ascii="Arial" w:cs="Arial" w:eastAsia="Arial" w:hAnsi="Arial"/>
          <w:sz w:val="18"/>
          <w:szCs w:val="18"/>
          <w:b w:val="1"/>
          <w:bCs w:val="1"/>
          <w:color w:val="auto"/>
        </w:rPr>
        <w:t>Shareholder</w:t>
      </w:r>
      <w:r>
        <w:rPr>
          <w:rFonts w:ascii="Arial" w:cs="Arial" w:eastAsia="Arial" w:hAnsi="Arial"/>
          <w:sz w:val="18"/>
          <w:szCs w:val="18"/>
          <w:color w:val="auto"/>
        </w:rPr>
        <w:t>].</w:t>
      </w:r>
    </w:p>
    <w:p>
      <w:pPr>
        <w:sectPr>
          <w:pgSz w:w="11900" w:h="16838" w:orient="portrait"/>
          <w:cols w:equalWidth="0" w:num="1">
            <w:col w:w="10940"/>
          </w:cols>
          <w:pgMar w:left="440" w:top="273" w:right="519" w:bottom="1440" w:gutter="0" w:footer="0" w:header="0"/>
          <w:type w:val="continuous"/>
        </w:sectPr>
      </w:pPr>
    </w:p>
    <w:bookmarkStart w:id="324" w:name="page325"/>
    <w:bookmarkEnd w:id="324"/>
    <w:p>
      <w:pPr>
        <w:ind w:left="440" w:hanging="436"/>
        <w:spacing w:after="0"/>
        <w:tabs>
          <w:tab w:leader="none" w:pos="4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 of the Deed</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Acceding Party confirms that it has been supplied with a copy of the Agreement.</w:t>
      </w:r>
    </w:p>
    <w:p>
      <w:pPr>
        <w:spacing w:after="0" w:line="374" w:lineRule="exact"/>
        <w:rPr>
          <w:sz w:val="20"/>
          <w:szCs w:val="20"/>
          <w:color w:val="auto"/>
        </w:rPr>
      </w:pPr>
    </w:p>
    <w:p>
      <w:pPr>
        <w:ind w:left="440" w:hanging="436"/>
        <w:spacing w:after="0"/>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Acceding Party represents and warrants to the Parties that:</w:t>
      </w:r>
    </w:p>
    <w:p>
      <w:pPr>
        <w:spacing w:after="0" w:line="126" w:lineRule="exact"/>
        <w:rPr>
          <w:rFonts w:ascii="Arial" w:cs="Arial" w:eastAsia="Arial" w:hAnsi="Arial"/>
          <w:sz w:val="18"/>
          <w:szCs w:val="18"/>
          <w:color w:val="auto"/>
        </w:rPr>
      </w:pPr>
    </w:p>
    <w:p>
      <w:pPr>
        <w:ind w:left="860" w:right="60" w:hanging="424"/>
        <w:spacing w:after="0" w:line="347" w:lineRule="auto"/>
        <w:tabs>
          <w:tab w:leader="none" w:pos="860" w:val="left"/>
        </w:tabs>
        <w:numPr>
          <w:ilvl w:val="1"/>
          <w:numId w:val="4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w:t>
      </w:r>
      <w:r>
        <w:rPr>
          <w:rFonts w:ascii="Arial" w:cs="Arial" w:eastAsia="Arial" w:hAnsi="Arial"/>
          <w:sz w:val="16"/>
          <w:szCs w:val="16"/>
          <w:color w:val="auto"/>
        </w:rPr>
        <w:t>): it is a corporation, partnership, limited liability company, or other organization, as applicable, duly incorporated, formed, or organized, as applicable, and validly existing under the laws of the country of its registration, formation, or organization, as applicable;</w:t>
      </w:r>
    </w:p>
    <w:p>
      <w:pPr>
        <w:spacing w:after="0" w:line="21" w:lineRule="exact"/>
        <w:rPr>
          <w:rFonts w:ascii="Arial" w:cs="Arial" w:eastAsia="Arial" w:hAnsi="Arial"/>
          <w:sz w:val="16"/>
          <w:szCs w:val="16"/>
          <w:color w:val="auto"/>
        </w:rPr>
      </w:pPr>
    </w:p>
    <w:p>
      <w:pPr>
        <w:ind w:left="860" w:right="200" w:hanging="424"/>
        <w:spacing w:after="0" w:line="313" w:lineRule="auto"/>
        <w:tabs>
          <w:tab w:leader="none" w:pos="8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power</w:t>
      </w:r>
      <w:r>
        <w:rPr>
          <w:rFonts w:ascii="Arial" w:cs="Arial" w:eastAsia="Arial" w:hAnsi="Arial"/>
          <w:sz w:val="17"/>
          <w:szCs w:val="17"/>
          <w:color w:val="auto"/>
        </w:rPr>
        <w:t>): it has the corporate, partnership, limited liability company, or other organizational, as applicable, power to enter into and perform its obligations under this document and to carry out the transactions contemplated by the Agreement.</w:t>
      </w:r>
    </w:p>
    <w:p>
      <w:pPr>
        <w:spacing w:after="0" w:line="43" w:lineRule="exact"/>
        <w:rPr>
          <w:rFonts w:ascii="Arial" w:cs="Arial" w:eastAsia="Arial" w:hAnsi="Arial"/>
          <w:sz w:val="17"/>
          <w:szCs w:val="17"/>
          <w:color w:val="auto"/>
        </w:rPr>
      </w:pPr>
    </w:p>
    <w:p>
      <w:pPr>
        <w:ind w:left="860" w:hanging="424"/>
        <w:spacing w:after="0" w:line="313" w:lineRule="auto"/>
        <w:tabs>
          <w:tab w:leader="none" w:pos="860" w:val="left"/>
        </w:tabs>
        <w:numPr>
          <w:ilvl w:val="1"/>
          <w:numId w:val="4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action</w:t>
      </w:r>
      <w:r>
        <w:rPr>
          <w:rFonts w:ascii="Arial" w:cs="Arial" w:eastAsia="Arial" w:hAnsi="Arial"/>
          <w:sz w:val="17"/>
          <w:szCs w:val="17"/>
          <w:color w:val="auto"/>
        </w:rPr>
        <w:t>): it has taken all necessary corporate, partnership, limited liability company, or other organizational, as applicable, action to authorise the entry into and performance of this document and to carry out the transactions contemplated by the Agreement;</w:t>
      </w:r>
    </w:p>
    <w:p>
      <w:pPr>
        <w:spacing w:after="0" w:line="43" w:lineRule="exact"/>
        <w:rPr>
          <w:rFonts w:ascii="Arial" w:cs="Arial" w:eastAsia="Arial" w:hAnsi="Arial"/>
          <w:sz w:val="17"/>
          <w:szCs w:val="17"/>
          <w:color w:val="auto"/>
        </w:rPr>
      </w:pPr>
    </w:p>
    <w:p>
      <w:pPr>
        <w:ind w:left="860" w:hanging="424"/>
        <w:spacing w:after="0"/>
        <w:tabs>
          <w:tab w:leader="none" w:pos="8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binding obligation</w:t>
      </w:r>
      <w:r>
        <w:rPr>
          <w:rFonts w:ascii="Arial" w:cs="Arial" w:eastAsia="Arial" w:hAnsi="Arial"/>
          <w:sz w:val="18"/>
          <w:szCs w:val="18"/>
          <w:color w:val="auto"/>
        </w:rPr>
        <w:t>): the obligations in this document are valid and binding obligations of the Acceding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deed poll is governed by the laws applicable in Hong Kong.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p>
      <w:pPr>
        <w:sectPr>
          <w:pgSz w:w="11900" w:h="16838" w:orient="portrait"/>
          <w:cols w:equalWidth="0" w:num="1">
            <w:col w:w="10940"/>
          </w:cols>
          <w:pgMar w:left="440" w:top="274" w:right="51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2.14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right="480" w:firstLine="441"/>
        <w:spacing w:after="0" w:line="312" w:lineRule="auto"/>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October 17, 2018, by and between Studio City International Holdings Limited, an exempted company with limited liability incorporated under the laws of the Cayman Islands (the “</w:t>
      </w:r>
      <w:r>
        <w:rPr>
          <w:rFonts w:ascii="Arial" w:cs="Arial" w:eastAsia="Arial" w:hAnsi="Arial"/>
          <w:sz w:val="16"/>
          <w:szCs w:val="16"/>
          <w:u w:val="single" w:color="auto"/>
          <w:color w:val="auto"/>
        </w:rPr>
        <w:t>Company</w:t>
      </w:r>
      <w:r>
        <w:rPr>
          <w:rFonts w:ascii="Arial" w:cs="Arial" w:eastAsia="Arial" w:hAnsi="Arial"/>
          <w:sz w:val="16"/>
          <w:szCs w:val="16"/>
          <w:color w:val="auto"/>
        </w:rPr>
        <w:t>”), and Melco International Development Limited, an exempted company with limited liability incorporated under the laws of the Hong Kong (the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14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WHEREAS, the Company confidentially submitted a registration statement on Form F-1 on August 14, 2017 (as may be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initial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by the Company of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representing Class A ordinary shares of a par value of US$0.0001 each (“</w:t>
      </w:r>
      <w:r>
        <w:rPr>
          <w:rFonts w:ascii="Arial" w:cs="Arial" w:eastAsia="Arial" w:hAnsi="Arial"/>
          <w:sz w:val="18"/>
          <w:szCs w:val="18"/>
          <w:u w:val="single" w:color="auto"/>
          <w:color w:val="auto"/>
        </w:rPr>
        <w:t>Ordinary Shares</w:t>
      </w:r>
      <w:r>
        <w:rPr>
          <w:rFonts w:ascii="Arial" w:cs="Arial" w:eastAsia="Arial" w:hAnsi="Arial"/>
          <w:sz w:val="18"/>
          <w:szCs w:val="18"/>
          <w:color w:val="auto"/>
        </w:rPr>
        <w:t>”) of the Company as specified in the Registration Statement; and</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WHEREAS, subject to, and concurrently with, completion of the Offering, the Company desires to issue, sell and deliver to the Purchaser, and the Purchaser desires to purchase and acquire from the Company, Ordinary Shares in the Company in a private placement pursuant to an exemption from registration under the U.S.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the terms and subject to the conditions set forth herein to effect the assured entitlement distribution (the “</w:t>
      </w:r>
      <w:r>
        <w:rPr>
          <w:rFonts w:ascii="Arial" w:cs="Arial" w:eastAsia="Arial" w:hAnsi="Arial"/>
          <w:sz w:val="17"/>
          <w:szCs w:val="17"/>
          <w:u w:val="single" w:color="auto"/>
          <w:color w:val="auto"/>
        </w:rPr>
        <w:t>Assured Entitlement Distribution</w:t>
      </w:r>
      <w:r>
        <w:rPr>
          <w:rFonts w:ascii="Arial" w:cs="Arial" w:eastAsia="Arial" w:hAnsi="Arial"/>
          <w:sz w:val="17"/>
          <w:szCs w:val="17"/>
          <w:color w:val="auto"/>
        </w:rPr>
        <w:t>”) as set out in the Registration Statement.</w:t>
      </w:r>
    </w:p>
    <w:p>
      <w:pPr>
        <w:spacing w:after="0" w:line="17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NOW, THEREFORE, in consideration of the promises and the mutual benefits to be derived from this Agreement and the representations, warranties, covenants and agreements contained herein, the receipt and sufficiency of which are hereby acknowledged, the parties hereto, intending to be legally bound, hereby agree as follows: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Purchase and Sale of Purchased Securities</w:t>
      </w:r>
    </w:p>
    <w:p>
      <w:pPr>
        <w:spacing w:after="0" w:line="121"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and Sale of Purchased Shares</w:t>
      </w:r>
      <w:r>
        <w:rPr>
          <w:rFonts w:ascii="Arial" w:cs="Arial" w:eastAsia="Arial" w:hAnsi="Arial"/>
          <w:sz w:val="18"/>
          <w:szCs w:val="18"/>
          <w:color w:val="auto"/>
        </w:rPr>
        <w:t>. On the terms and subject to the conditions set forth herein, the Company agrees to sell, issue and deliver to the Purchaser, and the Purchaser agrees to purchase and acquire from the Company, on the Subscription Closing Date (as defined below), a total number of 800,376 Ordinary Shares (the “Purchased Shares”) at a price per Ordinary Share, which is the public offering price per ADS as set forth on the cover of the Company’s final prospectus in connection with the Offering divided by the number of Ordinary Shares represented by one ADS (the “</w:t>
      </w:r>
      <w:r>
        <w:rPr>
          <w:rFonts w:ascii="Arial" w:cs="Arial" w:eastAsia="Arial" w:hAnsi="Arial"/>
          <w:sz w:val="18"/>
          <w:szCs w:val="18"/>
          <w:u w:val="single" w:color="auto"/>
          <w:color w:val="auto"/>
        </w:rPr>
        <w:t>Offer Price</w:t>
      </w:r>
      <w:r>
        <w:rPr>
          <w:rFonts w:ascii="Arial" w:cs="Arial" w:eastAsia="Arial" w:hAnsi="Arial"/>
          <w:sz w:val="18"/>
          <w:szCs w:val="18"/>
          <w:color w:val="auto"/>
        </w:rPr>
        <w:t>”), free and clear of all liens or encumbrances (except for restrictions arising under the Securities Act or created by virtue of this Agreement or the Lock-up Letter (as defined below)).</w:t>
      </w:r>
    </w:p>
    <w:p>
      <w:pPr>
        <w:spacing w:after="0" w:line="8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Subscription Closing</w:t>
      </w:r>
      <w:r>
        <w:rPr>
          <w:rFonts w:ascii="Arial" w:cs="Arial" w:eastAsia="Arial" w:hAnsi="Arial"/>
          <w:sz w:val="18"/>
          <w:szCs w:val="18"/>
          <w:color w:val="auto"/>
        </w:rPr>
        <w:t xml:space="preserve">. Subject to the conditions set forth herein, the sale, issuance and delivery of the Purchased Shares referred to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Subscription Closing</w:t>
      </w:r>
      <w:r>
        <w:rPr>
          <w:rFonts w:ascii="Arial" w:cs="Arial" w:eastAsia="Arial" w:hAnsi="Arial"/>
          <w:sz w:val="18"/>
          <w:szCs w:val="18"/>
          <w:color w:val="auto"/>
        </w:rPr>
        <w:t xml:space="preserve">”) shall take place remotely by electronic exchange of closing deliveries, concurrently with, and contingent upon, the Closing (as such term is defined in an underwriting agreement between the Company and the underwriters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Such date on which the Subscription Closing takes place is herein referred to as the “</w:t>
      </w:r>
      <w:r>
        <w:rPr>
          <w:rFonts w:ascii="Arial" w:cs="Arial" w:eastAsia="Arial" w:hAnsi="Arial"/>
          <w:sz w:val="18"/>
          <w:szCs w:val="18"/>
          <w:u w:val="single" w:color="auto"/>
          <w:color w:val="auto"/>
        </w:rPr>
        <w:t>Subscription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Subscription Closing Deliveries</w:t>
      </w:r>
      <w:r>
        <w:rPr>
          <w:rFonts w:ascii="Arial" w:cs="Arial" w:eastAsia="Arial" w:hAnsi="Arial"/>
          <w:sz w:val="18"/>
          <w:szCs w:val="18"/>
          <w:color w:val="auto"/>
        </w:rPr>
        <w:t>. At the Subscription Closing, the parties shall, respectively, make the following deliveries:</w:t>
      </w:r>
    </w:p>
    <w:p>
      <w:pPr>
        <w:spacing w:after="0" w:line="117" w:lineRule="exact"/>
        <w:rPr>
          <w:sz w:val="20"/>
          <w:szCs w:val="20"/>
          <w:color w:val="auto"/>
        </w:rPr>
      </w:pPr>
    </w:p>
    <w:p>
      <w:pPr>
        <w:ind w:right="360" w:firstLine="1436"/>
        <w:spacing w:after="0" w:line="264" w:lineRule="auto"/>
        <w:tabs>
          <w:tab w:leader="none" w:pos="1674"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Purchaser shall deliver to the Company in immediately available funds by wire transfer or such other method as shall be acceptable to the Company, in either case to an account or accounts to be designated in writing by the Company, an amount equal to the number of Purchased Shares multiplied by the Offer Price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326" w:name="page327"/>
    <w:bookmarkEnd w:id="326"/>
    <w:p>
      <w:pPr>
        <w:ind w:right="40" w:firstLine="1436"/>
        <w:spacing w:after="0" w:line="342" w:lineRule="auto"/>
        <w:tabs>
          <w:tab w:leader="none" w:pos="1688" w:val="left"/>
        </w:tabs>
        <w:numPr>
          <w:ilvl w:val="0"/>
          <w:numId w:val="4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receiving the Purchase Price, the Company shall promptly update or procure the updating of the register of members of the Company, evidencing the Purchased Shares having been issued and sold to the Purchaser, and deliver a copy of the same to the Purchaser.</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 Representations and Warranties</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Each of the Company and the Purchaser represents to the other party that none of such party, any of its affiliates or any person acting on its behalf has taken any actions that would result in the sale of the Purchased Shares to the Purchaser under this Agreement requiring registration under the Securities Act.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Conditions</w:t>
      </w:r>
    </w:p>
    <w:p>
      <w:pPr>
        <w:spacing w:after="0" w:line="22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respective obligations of each party to consummate the purchase and issuance and sale of the Purchased Shares shall be subject to the satisfaction on or prior to the Subscription Closing Date of the following condition, which, except as set forth in Section 3.2, may be waived by a party on behalf of itself in writing, in whole or in part, to the extent permitted by applicable law:</w:t>
      </w:r>
    </w:p>
    <w:p>
      <w:pPr>
        <w:spacing w:after="0" w:line="73"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3.1 no governmental body or agency shall have issued any order, decree or ruling, no action has been commenced seeking any order, decree, or ruling and no law or regulation shall be in effect, enjoining, restraining or otherwise prohibiting any of the transactions contemplated by this Agreement, which in each of the cases referred to has not been terminated or withdrawn; and</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3.2 the Subscription Closing shall have been consummated substantially concurrently with the Closing.</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 Termination</w:t>
      </w:r>
    </w:p>
    <w:p>
      <w:pPr>
        <w:spacing w:after="0" w:line="121"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4.1 If any governmental body or agency issues an order, decree or ruling or has taken any other action permanently enjoining, restraining or otherwise prohibiting any of the transactions contemplated by this Agreement and such order, decree, ruling or other action shall have become final and nonappealable, then either the Purchaser or the Company may terminate this Agreement and, upon such termination, there shall be no liability or obligation hereunder on the part of the Purchaser or the Company.</w:t>
      </w:r>
    </w:p>
    <w:p>
      <w:pPr>
        <w:spacing w:after="0" w:line="79" w:lineRule="exact"/>
        <w:rPr>
          <w:sz w:val="20"/>
          <w:szCs w:val="20"/>
          <w:color w:val="auto"/>
        </w:rPr>
      </w:pPr>
    </w:p>
    <w:p>
      <w:pPr>
        <w:ind w:right="400" w:firstLine="881"/>
        <w:spacing w:after="0" w:line="342" w:lineRule="auto"/>
        <w:rPr>
          <w:sz w:val="20"/>
          <w:szCs w:val="20"/>
          <w:color w:val="auto"/>
        </w:rPr>
      </w:pPr>
      <w:r>
        <w:rPr>
          <w:rFonts w:ascii="Arial" w:cs="Arial" w:eastAsia="Arial" w:hAnsi="Arial"/>
          <w:sz w:val="16"/>
          <w:szCs w:val="16"/>
          <w:color w:val="auto"/>
        </w:rPr>
        <w:t>4.2 If the Underwriting Agreement terminates prior to the consummation of the transactions contemplated by this Agreement, then this Agreement will automatically terminate and there shall be no liability or obligation hereunder on the part of the Purchaser or the Company.</w:t>
      </w:r>
    </w:p>
    <w:p>
      <w:pPr>
        <w:spacing w:after="0" w:line="16"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4.3 Except as set forth in Section 4.1, this Agreement may not be terminated without the Underwriting Agreement having been terminated prior thereto.</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Covenant</w:t>
      </w:r>
    </w:p>
    <w:p>
      <w:pPr>
        <w:spacing w:after="0" w:line="121"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Lock-up</w:t>
      </w:r>
      <w:r>
        <w:rPr>
          <w:rFonts w:ascii="Arial" w:cs="Arial" w:eastAsia="Arial" w:hAnsi="Arial"/>
          <w:sz w:val="18"/>
          <w:szCs w:val="18"/>
          <w:color w:val="auto"/>
        </w:rPr>
        <w:t>. The Purchaser shall, concurrently with the execution of this Agreement, enter into a lock-up letter (the “</w:t>
      </w:r>
      <w:r>
        <w:rPr>
          <w:rFonts w:ascii="Arial" w:cs="Arial" w:eastAsia="Arial" w:hAnsi="Arial"/>
          <w:sz w:val="18"/>
          <w:szCs w:val="18"/>
          <w:u w:val="single" w:color="auto"/>
          <w:color w:val="auto"/>
        </w:rPr>
        <w:t>Lock-up Letter</w:t>
      </w:r>
      <w:r>
        <w:rPr>
          <w:rFonts w:ascii="Arial" w:cs="Arial" w:eastAsia="Arial" w:hAnsi="Arial"/>
          <w:sz w:val="18"/>
          <w:szCs w:val="18"/>
          <w:color w:val="auto"/>
        </w:rPr>
        <w:t xml:space="preserv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27" w:name="page328"/>
    <w:bookmarkEnd w:id="327"/>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The Purchaser agrees not to resell, pledge or transfer any Purchased Shares within the United States or to any of whom within the best knowledge of the Purchaser is a U.S. Person, as each of those terms is defined in Regulation S, during the 40 days following the Subscription Closing Date.</w:t>
      </w:r>
    </w:p>
    <w:p>
      <w:pPr>
        <w:spacing w:after="0" w:line="73"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Further Assurance</w:t>
      </w:r>
      <w:r>
        <w:rPr>
          <w:rFonts w:ascii="Arial" w:cs="Arial" w:eastAsia="Arial" w:hAnsi="Arial"/>
          <w:sz w:val="18"/>
          <w:szCs w:val="18"/>
          <w:color w:val="auto"/>
        </w:rPr>
        <w:t>. The Company and the Purchaser shall use their reasonable best efforts to fulfill or obtain the fulfillment of the conditions precedent to the consummation of the transactions contemplated hereby.</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 Miscellaneous</w:t>
      </w:r>
    </w:p>
    <w:p>
      <w:pPr>
        <w:spacing w:after="0" w:line="121" w:lineRule="exact"/>
        <w:rPr>
          <w:sz w:val="20"/>
          <w:szCs w:val="20"/>
          <w:color w:val="auto"/>
        </w:rPr>
      </w:pPr>
    </w:p>
    <w:p>
      <w:pPr>
        <w:ind w:right="300" w:firstLine="881"/>
        <w:spacing w:after="0" w:line="34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Waiver, Amendment</w:t>
      </w:r>
      <w:r>
        <w:rPr>
          <w:rFonts w:ascii="Arial" w:cs="Arial" w:eastAsia="Arial" w:hAnsi="Arial"/>
          <w:sz w:val="16"/>
          <w:szCs w:val="16"/>
          <w:color w:val="auto"/>
        </w:rPr>
        <w:t>. Neither this Agreement nor any provision hereof shall be waived, modified, changed, discharged or terminated except by an instrument in writing signed by the party against whom such waiver, modification, change, discharge or termination is sought.</w:t>
      </w:r>
    </w:p>
    <w:p>
      <w:pPr>
        <w:spacing w:after="0" w:line="16" w:lineRule="exact"/>
        <w:rPr>
          <w:sz w:val="20"/>
          <w:szCs w:val="20"/>
          <w:color w:val="auto"/>
        </w:rPr>
      </w:pPr>
    </w:p>
    <w:p>
      <w:pPr>
        <w:ind w:right="280" w:firstLine="881"/>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Neither this Agreement nor any right, remedy, obligation or liability arising hereunder or by reason hereof shall be assignable by Purchaser without the prior written consent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Purchased Shares may be delivered to a designee of the Purchaser if such designee is an affiliate of the Purchaser or pursuant to the Assured Entitlement Distribution.</w:t>
      </w:r>
    </w:p>
    <w:p>
      <w:pPr>
        <w:spacing w:after="0" w:line="57" w:lineRule="exact"/>
        <w:rPr>
          <w:sz w:val="20"/>
          <w:szCs w:val="20"/>
          <w:color w:val="auto"/>
        </w:rPr>
      </w:pPr>
    </w:p>
    <w:p>
      <w:pPr>
        <w:ind w:right="40" w:firstLine="881"/>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agreement, covenant or restriction of this Agreement is held by a court of competent jurisdiction or other authority to be invalid, void or unenforceable, the remainder of the terms, provisions, agreements,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shall negotiate in good faith to modify this Agreement so as to effect the original intent of the parties as closely as possible in a reasonably acceptable manner in order that the transactions contemplated hereby may be consummated as originally contemplated to the fullest extent possible.</w:t>
      </w:r>
    </w:p>
    <w:p>
      <w:pPr>
        <w:spacing w:after="0" w:line="57"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6.4 Notices. All notices and other communications hereunder shall be in writing and shall be deemed duly given if delivered personally or sent by facsimile, e-mail, overnight courier or registered or certified mail, postage prepaid, to the address set forth below, or to such other address as may be designated in writing by such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Purchaser,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Melco International Development Limited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38th Floor, The Centrium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Fax: (852) 3162 3579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EvanWinkler@melco-group.com / VincentLeung@melco-group.com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Mr. Evan Winkler / Mr. Vincent Leung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Studio City International Holdings Limited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38th Floor, The Centrium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Fax: (852) 2537 3618</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comsec@sc-macau.com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Company Secretary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328" w:name="page329"/>
    <w:bookmarkEnd w:id="328"/>
    <w:p>
      <w:pPr>
        <w:ind w:right="22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Counterparts</w:t>
      </w:r>
      <w:r>
        <w:rPr>
          <w:rFonts w:ascii="Arial" w:cs="Arial" w:eastAsia="Arial" w:hAnsi="Arial"/>
          <w:sz w:val="18"/>
          <w:szCs w:val="18"/>
          <w:color w:val="auto"/>
        </w:rPr>
        <w:t>. For the convenience of the parties, any number of counterparts of this Agreement may be executed by the parties hereto and each such executed counterpart shall be deemed to be an original instrument.</w:t>
      </w:r>
    </w:p>
    <w:p>
      <w:pPr>
        <w:spacing w:after="0" w:line="62" w:lineRule="exact"/>
        <w:rPr>
          <w:sz w:val="20"/>
          <w:szCs w:val="20"/>
          <w:color w:val="auto"/>
        </w:rPr>
      </w:pPr>
    </w:p>
    <w:p>
      <w:pPr>
        <w:ind w:right="720" w:firstLine="881"/>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Binding Effect</w:t>
      </w:r>
      <w:r>
        <w:rPr>
          <w:rFonts w:ascii="Arial" w:cs="Arial" w:eastAsia="Arial" w:hAnsi="Arial"/>
          <w:sz w:val="18"/>
          <w:szCs w:val="18"/>
          <w:color w:val="auto"/>
        </w:rPr>
        <w:t>. The provisions of this Agreement shall be binding upon and accrue to the benefit of the parties hereto and their respective heirs, legal representatives, permitted successors and assigns.</w:t>
      </w:r>
    </w:p>
    <w:p>
      <w:pPr>
        <w:spacing w:after="0" w:line="62" w:lineRule="exact"/>
        <w:rPr>
          <w:sz w:val="20"/>
          <w:szCs w:val="20"/>
          <w:color w:val="auto"/>
        </w:rPr>
      </w:pPr>
    </w:p>
    <w:p>
      <w:pPr>
        <w:ind w:firstLine="881"/>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 do not constitute a substantive part of this Agreement or serve as a limitation or expansion on the scope of any term or proviso of this Agreement.</w:t>
      </w:r>
    </w:p>
    <w:p>
      <w:pPr>
        <w:spacing w:after="0" w:line="38" w:lineRule="exact"/>
        <w:rPr>
          <w:sz w:val="20"/>
          <w:szCs w:val="20"/>
          <w:color w:val="auto"/>
        </w:rPr>
      </w:pPr>
    </w:p>
    <w:p>
      <w:pPr>
        <w:ind w:right="80" w:firstLine="881"/>
        <w:spacing w:after="0" w:line="34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Hong Kong, without giving effect to any choice of law or conflict of law rules or provisions that would cause the application of the laws of any jurisdiction other than Hong Kong.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Agreement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PURCHASER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MELCO INTERNATIONAL DEVELOPMENT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Lawrence Yau Lung Ho</w:t>
      </w:r>
    </w:p>
    <w:p>
      <w:pPr>
        <w:spacing w:after="0" w:line="2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STUDIO CITY INTERNATIONAL HOLDINGS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WINKLER, Evan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WINKLER, Evan Andrew</w:t>
      </w:r>
    </w:p>
    <w:p>
      <w:pPr>
        <w:spacing w:after="0" w:line="2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Subscription Agreement]</w:t>
      </w:r>
    </w:p>
    <w:p>
      <w:pPr>
        <w:sectPr>
          <w:pgSz w:w="11900" w:h="16838" w:orient="portrait"/>
          <w:cols w:equalWidth="0" w:num="1">
            <w:col w:w="9960"/>
          </w:cols>
          <w:pgMar w:left="880" w:top="274" w:right="105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Underwriting Agreement</w:t>
      </w:r>
    </w:p>
    <w:p>
      <w:pPr>
        <w:sectPr>
          <w:pgSz w:w="11900" w:h="16838" w:orient="portrait"/>
          <w:cols w:equalWidth="0" w:num="1">
            <w:col w:w="9019"/>
          </w:cols>
          <w:pgMar w:left="1440" w:top="270" w:right="1440" w:bottom="1440" w:gutter="0" w:footer="0" w:header="0"/>
        </w:sectPr>
      </w:pPr>
    </w:p>
    <w:bookmarkStart w:id="331" w:name="page332"/>
    <w:bookmarkEnd w:id="3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Lock-up Letter</w:t>
      </w:r>
    </w:p>
    <w:p>
      <w:pPr>
        <w:sectPr>
          <w:pgSz w:w="11900" w:h="16838" w:orient="portrait"/>
          <w:cols w:equalWidth="0" w:num="1">
            <w:col w:w="9019"/>
          </w:cols>
          <w:pgMar w:left="1440" w:top="270"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2.15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STUDIO CITY FINANCE LIMITED</w:t>
      </w:r>
      <w:r>
        <w:rPr>
          <w:rFonts w:ascii="Arial" w:cs="Arial" w:eastAsia="Arial" w:hAnsi="Arial"/>
          <w:sz w:val="18"/>
          <w:szCs w:val="18"/>
          <w:color w:val="auto"/>
        </w:rPr>
        <w: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Company</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THE SUBSIDIARY GUARANTORS PARTIES HERETO,</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7.250%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Trustee, Paying Agent, Registrar and Transfer Agent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OTHER PERSONS FROM TIME TO TIME PARTY HERETO</w:t>
      </w:r>
    </w:p>
    <w:p>
      <w:pPr>
        <w:sectPr>
          <w:pgSz w:w="11900" w:h="16838" w:orient="portrait"/>
          <w:cols w:equalWidth="0" w:num="1">
            <w:col w:w="10020"/>
          </w:cols>
          <w:pgMar w:left="1440" w:top="121" w:right="4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4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0"/>
                <w:szCs w:val="20"/>
                <w:color w:val="auto"/>
              </w:rPr>
            </w:pPr>
          </w:p>
        </w:tc>
      </w:tr>
      <w:tr>
        <w:trPr>
          <w:trHeight w:val="407"/>
        </w:trPr>
        <w:tc>
          <w:tcPr>
            <w:tcW w:w="10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1</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8"/>
              </w:rPr>
              <w:t>DEFINITIONS</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1.01</w:t>
            </w:r>
          </w:p>
        </w:tc>
        <w:tc>
          <w:tcPr>
            <w:tcW w:w="84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1.02</w:t>
            </w:r>
          </w:p>
        </w:tc>
        <w:tc>
          <w:tcPr>
            <w:tcW w:w="8400" w:type="dxa"/>
            <w:vAlign w:val="bottom"/>
          </w:tcPr>
          <w:p>
            <w:pPr>
              <w:ind w:left="160"/>
              <w:spacing w:after="0"/>
              <w:rPr>
                <w:sz w:val="20"/>
                <w:szCs w:val="20"/>
                <w:color w:val="auto"/>
              </w:rPr>
            </w:pPr>
            <w:r>
              <w:rPr>
                <w:rFonts w:ascii="Arial" w:cs="Arial" w:eastAsia="Arial" w:hAnsi="Arial"/>
                <w:sz w:val="18"/>
                <w:szCs w:val="18"/>
                <w:color w:val="auto"/>
              </w:rPr>
              <w:t>Other 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1.03</w:t>
            </w:r>
          </w:p>
        </w:tc>
        <w:tc>
          <w:tcPr>
            <w:tcW w:w="8400" w:type="dxa"/>
            <w:vAlign w:val="bottom"/>
          </w:tcPr>
          <w:p>
            <w:pPr>
              <w:ind w:left="160"/>
              <w:spacing w:after="0"/>
              <w:rPr>
                <w:sz w:val="20"/>
                <w:szCs w:val="20"/>
                <w:color w:val="auto"/>
              </w:rPr>
            </w:pPr>
            <w:r>
              <w:rPr>
                <w:rFonts w:ascii="Arial" w:cs="Arial" w:eastAsia="Arial" w:hAnsi="Arial"/>
                <w:sz w:val="18"/>
                <w:szCs w:val="18"/>
                <w:color w:val="auto"/>
              </w:rPr>
              <w:t>Rules of Construction</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2</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90"/>
              <w:spacing w:after="0"/>
              <w:rPr>
                <w:sz w:val="20"/>
                <w:szCs w:val="20"/>
                <w:color w:val="auto"/>
              </w:rPr>
            </w:pPr>
            <w:r>
              <w:rPr>
                <w:rFonts w:ascii="Arial" w:cs="Arial" w:eastAsia="Arial" w:hAnsi="Arial"/>
                <w:sz w:val="18"/>
                <w:szCs w:val="18"/>
                <w:color w:val="auto"/>
                <w:w w:val="95"/>
              </w:rPr>
              <w:t>THE NOTES</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2.01</w:t>
            </w:r>
          </w:p>
        </w:tc>
        <w:tc>
          <w:tcPr>
            <w:tcW w:w="8400" w:type="dxa"/>
            <w:vAlign w:val="bottom"/>
          </w:tcPr>
          <w:p>
            <w:pPr>
              <w:ind w:left="160"/>
              <w:spacing w:after="0"/>
              <w:rPr>
                <w:sz w:val="20"/>
                <w:szCs w:val="20"/>
                <w:color w:val="auto"/>
              </w:rPr>
            </w:pPr>
            <w:r>
              <w:rPr>
                <w:rFonts w:ascii="Arial" w:cs="Arial" w:eastAsia="Arial" w:hAnsi="Arial"/>
                <w:sz w:val="18"/>
                <w:szCs w:val="18"/>
                <w:color w:val="auto"/>
              </w:rPr>
              <w:t>Form and Dating</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2.02</w:t>
            </w:r>
          </w:p>
        </w:tc>
        <w:tc>
          <w:tcPr>
            <w:tcW w:w="8400" w:type="dxa"/>
            <w:vAlign w:val="bottom"/>
          </w:tcPr>
          <w:p>
            <w:pPr>
              <w:ind w:left="160"/>
              <w:spacing w:after="0"/>
              <w:rPr>
                <w:sz w:val="20"/>
                <w:szCs w:val="20"/>
                <w:color w:val="auto"/>
              </w:rPr>
            </w:pPr>
            <w:r>
              <w:rPr>
                <w:rFonts w:ascii="Arial" w:cs="Arial" w:eastAsia="Arial" w:hAnsi="Arial"/>
                <w:sz w:val="18"/>
                <w:szCs w:val="18"/>
                <w:color w:val="auto"/>
              </w:rPr>
              <w:t>Execution and Authentication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2.03</w:t>
            </w:r>
          </w:p>
        </w:tc>
        <w:tc>
          <w:tcPr>
            <w:tcW w:w="8400" w:type="dxa"/>
            <w:vAlign w:val="bottom"/>
          </w:tcPr>
          <w:p>
            <w:pPr>
              <w:ind w:left="160"/>
              <w:spacing w:after="0"/>
              <w:rPr>
                <w:sz w:val="20"/>
                <w:szCs w:val="20"/>
                <w:color w:val="auto"/>
              </w:rPr>
            </w:pPr>
            <w:r>
              <w:rPr>
                <w:rFonts w:ascii="Arial" w:cs="Arial" w:eastAsia="Arial" w:hAnsi="Arial"/>
                <w:sz w:val="18"/>
                <w:szCs w:val="18"/>
                <w:color w:val="auto"/>
              </w:rPr>
              <w:t>Registrar, Paying Agent and Transfer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2.04</w:t>
            </w:r>
          </w:p>
        </w:tc>
        <w:tc>
          <w:tcPr>
            <w:tcW w:w="8400" w:type="dxa"/>
            <w:vAlign w:val="bottom"/>
          </w:tcPr>
          <w:p>
            <w:pPr>
              <w:ind w:left="160"/>
              <w:spacing w:after="0"/>
              <w:rPr>
                <w:sz w:val="20"/>
                <w:szCs w:val="20"/>
                <w:color w:val="auto"/>
              </w:rPr>
            </w:pPr>
            <w:r>
              <w:rPr>
                <w:rFonts w:ascii="Arial" w:cs="Arial" w:eastAsia="Arial" w:hAnsi="Arial"/>
                <w:sz w:val="18"/>
                <w:szCs w:val="18"/>
                <w:color w:val="auto"/>
              </w:rPr>
              <w:t>Paying Agent to Hold Money in Trust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2.05</w:t>
            </w:r>
          </w:p>
        </w:tc>
        <w:tc>
          <w:tcPr>
            <w:tcW w:w="8400" w:type="dxa"/>
            <w:vAlign w:val="bottom"/>
          </w:tcPr>
          <w:p>
            <w:pPr>
              <w:ind w:left="160"/>
              <w:spacing w:after="0"/>
              <w:rPr>
                <w:sz w:val="20"/>
                <w:szCs w:val="20"/>
                <w:color w:val="auto"/>
              </w:rPr>
            </w:pPr>
            <w:r>
              <w:rPr>
                <w:rFonts w:ascii="Arial" w:cs="Arial" w:eastAsia="Arial" w:hAnsi="Arial"/>
                <w:sz w:val="18"/>
                <w:szCs w:val="18"/>
                <w:color w:val="auto"/>
              </w:rPr>
              <w:t>Holder Lists</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2.06</w:t>
            </w:r>
          </w:p>
        </w:tc>
        <w:tc>
          <w:tcPr>
            <w:tcW w:w="8400" w:type="dxa"/>
            <w:vAlign w:val="bottom"/>
          </w:tcPr>
          <w:p>
            <w:pPr>
              <w:ind w:left="160"/>
              <w:spacing w:after="0"/>
              <w:rPr>
                <w:sz w:val="20"/>
                <w:szCs w:val="20"/>
                <w:color w:val="auto"/>
              </w:rPr>
            </w:pPr>
            <w:r>
              <w:rPr>
                <w:rFonts w:ascii="Arial" w:cs="Arial" w:eastAsia="Arial" w:hAnsi="Arial"/>
                <w:sz w:val="18"/>
                <w:szCs w:val="18"/>
                <w:color w:val="auto"/>
              </w:rPr>
              <w:t>Transfer and Exchange</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2.07</w:t>
            </w:r>
          </w:p>
        </w:tc>
        <w:tc>
          <w:tcPr>
            <w:tcW w:w="8400" w:type="dxa"/>
            <w:vAlign w:val="bottom"/>
          </w:tcPr>
          <w:p>
            <w:pPr>
              <w:ind w:left="160"/>
              <w:spacing w:after="0"/>
              <w:rPr>
                <w:sz w:val="20"/>
                <w:szCs w:val="20"/>
                <w:color w:val="auto"/>
              </w:rPr>
            </w:pPr>
            <w:r>
              <w:rPr>
                <w:rFonts w:ascii="Arial" w:cs="Arial" w:eastAsia="Arial" w:hAnsi="Arial"/>
                <w:sz w:val="18"/>
                <w:szCs w:val="18"/>
                <w:color w:val="auto"/>
              </w:rPr>
              <w:t>Replacement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2.08</w:t>
            </w:r>
          </w:p>
        </w:tc>
        <w:tc>
          <w:tcPr>
            <w:tcW w:w="8400" w:type="dxa"/>
            <w:vAlign w:val="bottom"/>
          </w:tcPr>
          <w:p>
            <w:pPr>
              <w:ind w:left="160"/>
              <w:spacing w:after="0"/>
              <w:rPr>
                <w:sz w:val="20"/>
                <w:szCs w:val="20"/>
                <w:color w:val="auto"/>
              </w:rPr>
            </w:pPr>
            <w:r>
              <w:rPr>
                <w:rFonts w:ascii="Arial" w:cs="Arial" w:eastAsia="Arial" w:hAnsi="Arial"/>
                <w:sz w:val="18"/>
                <w:szCs w:val="18"/>
                <w:color w:val="auto"/>
              </w:rPr>
              <w:t>Outstanding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2.09</w:t>
            </w:r>
          </w:p>
        </w:tc>
        <w:tc>
          <w:tcPr>
            <w:tcW w:w="8400" w:type="dxa"/>
            <w:vAlign w:val="bottom"/>
          </w:tcPr>
          <w:p>
            <w:pPr>
              <w:ind w:left="160"/>
              <w:spacing w:after="0"/>
              <w:rPr>
                <w:sz w:val="20"/>
                <w:szCs w:val="20"/>
                <w:color w:val="auto"/>
              </w:rPr>
            </w:pPr>
            <w:r>
              <w:rPr>
                <w:rFonts w:ascii="Arial" w:cs="Arial" w:eastAsia="Arial" w:hAnsi="Arial"/>
                <w:sz w:val="18"/>
                <w:szCs w:val="18"/>
                <w:color w:val="auto"/>
              </w:rPr>
              <w:t>Treasury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2.10</w:t>
            </w:r>
          </w:p>
        </w:tc>
        <w:tc>
          <w:tcPr>
            <w:tcW w:w="8400" w:type="dxa"/>
            <w:vAlign w:val="bottom"/>
          </w:tcPr>
          <w:p>
            <w:pPr>
              <w:ind w:left="160"/>
              <w:spacing w:after="0"/>
              <w:rPr>
                <w:sz w:val="20"/>
                <w:szCs w:val="20"/>
                <w:color w:val="auto"/>
              </w:rPr>
            </w:pPr>
            <w:r>
              <w:rPr>
                <w:rFonts w:ascii="Arial" w:cs="Arial" w:eastAsia="Arial" w:hAnsi="Arial"/>
                <w:sz w:val="18"/>
                <w:szCs w:val="18"/>
                <w:color w:val="auto"/>
              </w:rPr>
              <w:t>Temporary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2.11</w:t>
            </w:r>
          </w:p>
        </w:tc>
        <w:tc>
          <w:tcPr>
            <w:tcW w:w="8400" w:type="dxa"/>
            <w:vAlign w:val="bottom"/>
          </w:tcPr>
          <w:p>
            <w:pPr>
              <w:ind w:left="160"/>
              <w:spacing w:after="0"/>
              <w:rPr>
                <w:sz w:val="20"/>
                <w:szCs w:val="20"/>
                <w:color w:val="auto"/>
              </w:rPr>
            </w:pPr>
            <w:r>
              <w:rPr>
                <w:rFonts w:ascii="Arial" w:cs="Arial" w:eastAsia="Arial" w:hAnsi="Arial"/>
                <w:sz w:val="18"/>
                <w:szCs w:val="18"/>
                <w:color w:val="auto"/>
              </w:rPr>
              <w:t>Cancellation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2.12</w:t>
            </w:r>
          </w:p>
        </w:tc>
        <w:tc>
          <w:tcPr>
            <w:tcW w:w="8400" w:type="dxa"/>
            <w:vAlign w:val="bottom"/>
          </w:tcPr>
          <w:p>
            <w:pPr>
              <w:ind w:left="160"/>
              <w:spacing w:after="0"/>
              <w:rPr>
                <w:sz w:val="20"/>
                <w:szCs w:val="20"/>
                <w:color w:val="auto"/>
              </w:rPr>
            </w:pPr>
            <w:r>
              <w:rPr>
                <w:rFonts w:ascii="Arial" w:cs="Arial" w:eastAsia="Arial" w:hAnsi="Arial"/>
                <w:sz w:val="18"/>
                <w:szCs w:val="18"/>
                <w:color w:val="auto"/>
              </w:rPr>
              <w:t>Defaulted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2.13</w:t>
            </w:r>
          </w:p>
        </w:tc>
        <w:tc>
          <w:tcPr>
            <w:tcW w:w="8400" w:type="dxa"/>
            <w:vAlign w:val="bottom"/>
          </w:tcPr>
          <w:p>
            <w:pPr>
              <w:ind w:left="160"/>
              <w:spacing w:after="0"/>
              <w:rPr>
                <w:sz w:val="20"/>
                <w:szCs w:val="20"/>
                <w:color w:val="auto"/>
              </w:rPr>
            </w:pPr>
            <w:r>
              <w:rPr>
                <w:rFonts w:ascii="Arial" w:cs="Arial" w:eastAsia="Arial" w:hAnsi="Arial"/>
                <w:sz w:val="18"/>
                <w:szCs w:val="18"/>
                <w:color w:val="auto"/>
              </w:rPr>
              <w:t>Additional Amounts</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2.14</w:t>
            </w:r>
          </w:p>
        </w:tc>
        <w:tc>
          <w:tcPr>
            <w:tcW w:w="8400" w:type="dxa"/>
            <w:vAlign w:val="bottom"/>
          </w:tcPr>
          <w:p>
            <w:pPr>
              <w:ind w:left="160"/>
              <w:spacing w:after="0"/>
              <w:rPr>
                <w:sz w:val="20"/>
                <w:szCs w:val="20"/>
                <w:color w:val="auto"/>
              </w:rPr>
            </w:pPr>
            <w:r>
              <w:rPr>
                <w:rFonts w:ascii="Arial" w:cs="Arial" w:eastAsia="Arial" w:hAnsi="Arial"/>
                <w:sz w:val="18"/>
                <w:szCs w:val="18"/>
                <w:color w:val="auto"/>
              </w:rPr>
              <w:t>Forced Sale or Redemption for Non-QIBs</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3</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5"/>
              </w:rPr>
              <w:t>REDEMPTION AND PREPAYMENT</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3.01</w:t>
            </w:r>
          </w:p>
        </w:tc>
        <w:tc>
          <w:tcPr>
            <w:tcW w:w="8400" w:type="dxa"/>
            <w:vAlign w:val="bottom"/>
          </w:tcPr>
          <w:p>
            <w:pPr>
              <w:ind w:left="160"/>
              <w:spacing w:after="0"/>
              <w:rPr>
                <w:sz w:val="20"/>
                <w:szCs w:val="20"/>
                <w:color w:val="auto"/>
              </w:rPr>
            </w:pPr>
            <w:r>
              <w:rPr>
                <w:rFonts w:ascii="Arial" w:cs="Arial" w:eastAsia="Arial" w:hAnsi="Arial"/>
                <w:sz w:val="18"/>
                <w:szCs w:val="18"/>
                <w:color w:val="auto"/>
              </w:rPr>
              <w:t>Notices to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3.02</w:t>
            </w:r>
          </w:p>
        </w:tc>
        <w:tc>
          <w:tcPr>
            <w:tcW w:w="8400" w:type="dxa"/>
            <w:vAlign w:val="bottom"/>
          </w:tcPr>
          <w:p>
            <w:pPr>
              <w:ind w:left="160"/>
              <w:spacing w:after="0"/>
              <w:rPr>
                <w:sz w:val="20"/>
                <w:szCs w:val="20"/>
                <w:color w:val="auto"/>
              </w:rPr>
            </w:pPr>
            <w:r>
              <w:rPr>
                <w:rFonts w:ascii="Arial" w:cs="Arial" w:eastAsia="Arial" w:hAnsi="Arial"/>
                <w:sz w:val="18"/>
                <w:szCs w:val="18"/>
                <w:color w:val="auto"/>
              </w:rPr>
              <w:t>Selection of Notes to Be Redeemed or 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3.03</w:t>
            </w:r>
          </w:p>
        </w:tc>
        <w:tc>
          <w:tcPr>
            <w:tcW w:w="840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3.04</w:t>
            </w:r>
          </w:p>
        </w:tc>
        <w:tc>
          <w:tcPr>
            <w:tcW w:w="8400" w:type="dxa"/>
            <w:vAlign w:val="bottom"/>
          </w:tcPr>
          <w:p>
            <w:pPr>
              <w:ind w:left="160"/>
              <w:spacing w:after="0"/>
              <w:rPr>
                <w:sz w:val="20"/>
                <w:szCs w:val="20"/>
                <w:color w:val="auto"/>
              </w:rPr>
            </w:pPr>
            <w:r>
              <w:rPr>
                <w:rFonts w:ascii="Arial" w:cs="Arial" w:eastAsia="Arial" w:hAnsi="Arial"/>
                <w:sz w:val="18"/>
                <w:szCs w:val="18"/>
                <w:color w:val="auto"/>
              </w:rPr>
              <w:t>Effect of 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3.05</w:t>
            </w:r>
          </w:p>
        </w:tc>
        <w:tc>
          <w:tcPr>
            <w:tcW w:w="8400" w:type="dxa"/>
            <w:vAlign w:val="bottom"/>
          </w:tcPr>
          <w:p>
            <w:pPr>
              <w:ind w:left="160"/>
              <w:spacing w:after="0"/>
              <w:rPr>
                <w:sz w:val="20"/>
                <w:szCs w:val="20"/>
                <w:color w:val="auto"/>
              </w:rPr>
            </w:pPr>
            <w:r>
              <w:rPr>
                <w:rFonts w:ascii="Arial" w:cs="Arial" w:eastAsia="Arial" w:hAnsi="Arial"/>
                <w:sz w:val="18"/>
                <w:szCs w:val="18"/>
                <w:color w:val="auto"/>
              </w:rPr>
              <w:t>Deposit of Redemption or Purchase Price</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3.06</w:t>
            </w:r>
          </w:p>
        </w:tc>
        <w:tc>
          <w:tcPr>
            <w:tcW w:w="8400" w:type="dxa"/>
            <w:vAlign w:val="bottom"/>
          </w:tcPr>
          <w:p>
            <w:pPr>
              <w:ind w:left="160"/>
              <w:spacing w:after="0"/>
              <w:rPr>
                <w:sz w:val="20"/>
                <w:szCs w:val="20"/>
                <w:color w:val="auto"/>
              </w:rPr>
            </w:pPr>
            <w:r>
              <w:rPr>
                <w:rFonts w:ascii="Arial" w:cs="Arial" w:eastAsia="Arial" w:hAnsi="Arial"/>
                <w:sz w:val="18"/>
                <w:szCs w:val="18"/>
                <w:color w:val="auto"/>
              </w:rPr>
              <w:t>Notes Redeemed or Purchased in Part</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3.07</w:t>
            </w:r>
          </w:p>
        </w:tc>
        <w:tc>
          <w:tcPr>
            <w:tcW w:w="8400" w:type="dxa"/>
            <w:vAlign w:val="bottom"/>
          </w:tcPr>
          <w:p>
            <w:pPr>
              <w:ind w:left="160"/>
              <w:spacing w:after="0"/>
              <w:rPr>
                <w:sz w:val="20"/>
                <w:szCs w:val="20"/>
                <w:color w:val="auto"/>
              </w:rPr>
            </w:pPr>
            <w:r>
              <w:rPr>
                <w:rFonts w:ascii="Arial" w:cs="Arial" w:eastAsia="Arial" w:hAnsi="Arial"/>
                <w:sz w:val="18"/>
                <w:szCs w:val="18"/>
                <w:color w:val="auto"/>
              </w:rPr>
              <w:t>Optional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3.08</w:t>
            </w:r>
          </w:p>
        </w:tc>
        <w:tc>
          <w:tcPr>
            <w:tcW w:w="8400" w:type="dxa"/>
            <w:vAlign w:val="bottom"/>
          </w:tcPr>
          <w:p>
            <w:pPr>
              <w:ind w:left="160"/>
              <w:spacing w:after="0"/>
              <w:rPr>
                <w:sz w:val="20"/>
                <w:szCs w:val="20"/>
                <w:color w:val="auto"/>
              </w:rPr>
            </w:pPr>
            <w:r>
              <w:rPr>
                <w:rFonts w:ascii="Arial" w:cs="Arial" w:eastAsia="Arial" w:hAnsi="Arial"/>
                <w:sz w:val="18"/>
                <w:szCs w:val="18"/>
                <w:color w:val="auto"/>
              </w:rPr>
              <w:t>Mandatory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3.09</w:t>
            </w:r>
          </w:p>
        </w:tc>
        <w:tc>
          <w:tcPr>
            <w:tcW w:w="8400" w:type="dxa"/>
            <w:vAlign w:val="bottom"/>
          </w:tcPr>
          <w:p>
            <w:pPr>
              <w:ind w:left="160"/>
              <w:spacing w:after="0"/>
              <w:rPr>
                <w:sz w:val="20"/>
                <w:szCs w:val="20"/>
                <w:color w:val="auto"/>
              </w:rPr>
            </w:pPr>
            <w:r>
              <w:rPr>
                <w:rFonts w:ascii="Arial" w:cs="Arial" w:eastAsia="Arial" w:hAnsi="Arial"/>
                <w:sz w:val="18"/>
                <w:szCs w:val="18"/>
                <w:color w:val="auto"/>
              </w:rPr>
              <w:t>Offer to Purchase by Application of Excess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3.10</w:t>
            </w:r>
          </w:p>
        </w:tc>
        <w:tc>
          <w:tcPr>
            <w:tcW w:w="8400" w:type="dxa"/>
            <w:vAlign w:val="bottom"/>
          </w:tcPr>
          <w:p>
            <w:pPr>
              <w:ind w:left="160"/>
              <w:spacing w:after="0"/>
              <w:rPr>
                <w:sz w:val="20"/>
                <w:szCs w:val="20"/>
                <w:color w:val="auto"/>
              </w:rPr>
            </w:pPr>
            <w:r>
              <w:rPr>
                <w:rFonts w:ascii="Arial" w:cs="Arial" w:eastAsia="Arial" w:hAnsi="Arial"/>
                <w:sz w:val="18"/>
                <w:szCs w:val="18"/>
                <w:color w:val="auto"/>
              </w:rPr>
              <w:t>Redemption for Taxation Reasons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3.11</w:t>
            </w:r>
          </w:p>
        </w:tc>
        <w:tc>
          <w:tcPr>
            <w:tcW w:w="8400" w:type="dxa"/>
            <w:vAlign w:val="bottom"/>
          </w:tcPr>
          <w:p>
            <w:pPr>
              <w:ind w:left="160"/>
              <w:spacing w:after="0"/>
              <w:rPr>
                <w:sz w:val="20"/>
                <w:szCs w:val="20"/>
                <w:color w:val="auto"/>
              </w:rPr>
            </w:pPr>
            <w:r>
              <w:rPr>
                <w:rFonts w:ascii="Arial" w:cs="Arial" w:eastAsia="Arial" w:hAnsi="Arial"/>
                <w:sz w:val="18"/>
                <w:szCs w:val="18"/>
                <w:color w:val="auto"/>
              </w:rPr>
              <w:t>Gaming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4</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COVENANTS</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4.01</w:t>
            </w:r>
          </w:p>
        </w:tc>
        <w:tc>
          <w:tcPr>
            <w:tcW w:w="8400" w:type="dxa"/>
            <w:vAlign w:val="bottom"/>
          </w:tcPr>
          <w:p>
            <w:pPr>
              <w:ind w:left="160"/>
              <w:spacing w:after="0"/>
              <w:rPr>
                <w:sz w:val="20"/>
                <w:szCs w:val="20"/>
                <w:color w:val="auto"/>
              </w:rPr>
            </w:pPr>
            <w:r>
              <w:rPr>
                <w:rFonts w:ascii="Arial" w:cs="Arial" w:eastAsia="Arial" w:hAnsi="Arial"/>
                <w:sz w:val="18"/>
                <w:szCs w:val="18"/>
                <w:color w:val="auto"/>
              </w:rPr>
              <w:t>Payment of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4.02</w:t>
            </w:r>
          </w:p>
        </w:tc>
        <w:tc>
          <w:tcPr>
            <w:tcW w:w="8400" w:type="dxa"/>
            <w:vAlign w:val="bottom"/>
          </w:tcPr>
          <w:p>
            <w:pPr>
              <w:ind w:left="160"/>
              <w:spacing w:after="0"/>
              <w:rPr>
                <w:sz w:val="20"/>
                <w:szCs w:val="20"/>
                <w:color w:val="auto"/>
              </w:rPr>
            </w:pPr>
            <w:r>
              <w:rPr>
                <w:rFonts w:ascii="Arial" w:cs="Arial" w:eastAsia="Arial" w:hAnsi="Arial"/>
                <w:sz w:val="18"/>
                <w:szCs w:val="18"/>
                <w:color w:val="auto"/>
              </w:rPr>
              <w:t>Maintenance of Office or Agency</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4.03</w:t>
            </w:r>
          </w:p>
        </w:tc>
        <w:tc>
          <w:tcPr>
            <w:tcW w:w="8400" w:type="dxa"/>
            <w:vAlign w:val="bottom"/>
          </w:tcPr>
          <w:p>
            <w:pPr>
              <w:ind w:left="160"/>
              <w:spacing w:after="0"/>
              <w:rPr>
                <w:sz w:val="20"/>
                <w:szCs w:val="20"/>
                <w:color w:val="auto"/>
              </w:rPr>
            </w:pPr>
            <w:r>
              <w:rPr>
                <w:rFonts w:ascii="Arial" w:cs="Arial" w:eastAsia="Arial" w:hAnsi="Arial"/>
                <w:sz w:val="18"/>
                <w:szCs w:val="18"/>
                <w:color w:val="auto"/>
              </w:rPr>
              <w:t>Reports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4.04</w:t>
            </w:r>
          </w:p>
        </w:tc>
        <w:tc>
          <w:tcPr>
            <w:tcW w:w="840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4.05</w:t>
            </w:r>
          </w:p>
        </w:tc>
        <w:tc>
          <w:tcPr>
            <w:tcW w:w="8400" w:type="dxa"/>
            <w:vAlign w:val="bottom"/>
          </w:tcPr>
          <w:p>
            <w:pPr>
              <w:ind w:left="160"/>
              <w:spacing w:after="0"/>
              <w:rPr>
                <w:sz w:val="20"/>
                <w:szCs w:val="20"/>
                <w:color w:val="auto"/>
              </w:rPr>
            </w:pPr>
            <w:r>
              <w:rPr>
                <w:rFonts w:ascii="Arial" w:cs="Arial" w:eastAsia="Arial" w:hAnsi="Arial"/>
                <w:sz w:val="18"/>
                <w:szCs w:val="18"/>
                <w:color w:val="auto"/>
              </w:rPr>
              <w:t>Taxes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4.06</w:t>
            </w:r>
          </w:p>
        </w:tc>
        <w:tc>
          <w:tcPr>
            <w:tcW w:w="8400" w:type="dxa"/>
            <w:vAlign w:val="bottom"/>
          </w:tcPr>
          <w:p>
            <w:pPr>
              <w:ind w:left="160"/>
              <w:spacing w:after="0"/>
              <w:rPr>
                <w:sz w:val="20"/>
                <w:szCs w:val="20"/>
                <w:color w:val="auto"/>
              </w:rPr>
            </w:pPr>
            <w:r>
              <w:rPr>
                <w:rFonts w:ascii="Arial" w:cs="Arial" w:eastAsia="Arial" w:hAnsi="Arial"/>
                <w:sz w:val="18"/>
                <w:szCs w:val="18"/>
                <w:color w:val="auto"/>
              </w:rPr>
              <w:t>Stay, Extension and Usury Laws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4.07</w:t>
            </w:r>
          </w:p>
        </w:tc>
        <w:tc>
          <w:tcPr>
            <w:tcW w:w="8400" w:type="dxa"/>
            <w:vAlign w:val="bottom"/>
          </w:tcPr>
          <w:p>
            <w:pPr>
              <w:ind w:left="160"/>
              <w:spacing w:after="0"/>
              <w:rPr>
                <w:sz w:val="20"/>
                <w:szCs w:val="20"/>
                <w:color w:val="auto"/>
              </w:rPr>
            </w:pPr>
            <w:r>
              <w:rPr>
                <w:rFonts w:ascii="Arial" w:cs="Arial" w:eastAsia="Arial" w:hAnsi="Arial"/>
                <w:sz w:val="18"/>
                <w:szCs w:val="18"/>
                <w:color w:val="auto"/>
              </w:rPr>
              <w:t>Limitation on Restricted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4.08</w:t>
            </w:r>
          </w:p>
        </w:tc>
        <w:tc>
          <w:tcPr>
            <w:tcW w:w="8400" w:type="dxa"/>
            <w:vAlign w:val="bottom"/>
          </w:tcPr>
          <w:p>
            <w:pPr>
              <w:ind w:left="160"/>
              <w:spacing w:after="0"/>
              <w:rPr>
                <w:sz w:val="20"/>
                <w:szCs w:val="20"/>
                <w:color w:val="auto"/>
              </w:rPr>
            </w:pPr>
            <w:r>
              <w:rPr>
                <w:rFonts w:ascii="Arial" w:cs="Arial" w:eastAsia="Arial" w:hAnsi="Arial"/>
                <w:sz w:val="18"/>
                <w:szCs w:val="18"/>
                <w:color w:val="auto"/>
              </w:rPr>
              <w:t>Dividend and Other Payment Restrictions Affecting Subsidiaries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4.09</w:t>
            </w:r>
          </w:p>
        </w:tc>
        <w:tc>
          <w:tcPr>
            <w:tcW w:w="8400" w:type="dxa"/>
            <w:vAlign w:val="bottom"/>
          </w:tcPr>
          <w:p>
            <w:pPr>
              <w:ind w:left="16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4.10</w:t>
            </w:r>
          </w:p>
        </w:tc>
        <w:tc>
          <w:tcPr>
            <w:tcW w:w="8400" w:type="dxa"/>
            <w:vAlign w:val="bottom"/>
          </w:tcPr>
          <w:p>
            <w:pPr>
              <w:ind w:left="160"/>
              <w:spacing w:after="0"/>
              <w:rPr>
                <w:sz w:val="20"/>
                <w:szCs w:val="20"/>
                <w:color w:val="auto"/>
              </w:rPr>
            </w:pPr>
            <w:r>
              <w:rPr>
                <w:rFonts w:ascii="Arial" w:cs="Arial" w:eastAsia="Arial" w:hAnsi="Arial"/>
                <w:sz w:val="18"/>
                <w:szCs w:val="18"/>
                <w:color w:val="auto"/>
              </w:rPr>
              <w:t>Asset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4.11</w:t>
            </w:r>
          </w:p>
        </w:tc>
        <w:tc>
          <w:tcPr>
            <w:tcW w:w="840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69" w:right="47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4.12</w:t>
            </w:r>
          </w:p>
        </w:tc>
        <w:tc>
          <w:tcPr>
            <w:tcW w:w="8440" w:type="dxa"/>
            <w:vAlign w:val="bottom"/>
          </w:tcPr>
          <w:p>
            <w:pPr>
              <w:ind w:left="80"/>
              <w:spacing w:after="0"/>
              <w:rPr>
                <w:sz w:val="20"/>
                <w:szCs w:val="20"/>
                <w:color w:val="auto"/>
              </w:rPr>
            </w:pPr>
            <w:r>
              <w:rPr>
                <w:rFonts w:ascii="Arial" w:cs="Arial" w:eastAsia="Arial" w:hAnsi="Arial"/>
                <w:sz w:val="18"/>
                <w:szCs w:val="18"/>
                <w:color w:val="auto"/>
              </w:rPr>
              <w:t>Liens</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4.13</w:t>
            </w:r>
          </w:p>
        </w:tc>
        <w:tc>
          <w:tcPr>
            <w:tcW w:w="8440" w:type="dxa"/>
            <w:vAlign w:val="bottom"/>
          </w:tcPr>
          <w:p>
            <w:pPr>
              <w:ind w:left="80"/>
              <w:spacing w:after="0"/>
              <w:rPr>
                <w:sz w:val="20"/>
                <w:szCs w:val="20"/>
                <w:color w:val="auto"/>
              </w:rPr>
            </w:pPr>
            <w:r>
              <w:rPr>
                <w:rFonts w:ascii="Arial" w:cs="Arial" w:eastAsia="Arial" w:hAnsi="Arial"/>
                <w:sz w:val="18"/>
                <w:szCs w:val="18"/>
                <w:color w:val="auto"/>
              </w:rPr>
              <w:t>Business Activities</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4.14</w:t>
            </w:r>
          </w:p>
        </w:tc>
        <w:tc>
          <w:tcPr>
            <w:tcW w:w="8440" w:type="dxa"/>
            <w:vAlign w:val="bottom"/>
          </w:tcPr>
          <w:p>
            <w:pPr>
              <w:ind w:left="80"/>
              <w:spacing w:after="0"/>
              <w:rPr>
                <w:sz w:val="20"/>
                <w:szCs w:val="20"/>
                <w:color w:val="auto"/>
              </w:rPr>
            </w:pPr>
            <w:r>
              <w:rPr>
                <w:rFonts w:ascii="Arial" w:cs="Arial" w:eastAsia="Arial" w:hAnsi="Arial"/>
                <w:sz w:val="18"/>
                <w:szCs w:val="18"/>
                <w:color w:val="auto"/>
              </w:rPr>
              <w:t>Corporate Existence</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4.15  Offer to Repurchase upon Change of Control</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4.16  Payments for Consents</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4.17  Future Subsidiary Guarantors.</w:t>
            </w: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4.18  Designation of Restricted and Unrestricted Subsidiaries</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4.19</w:t>
            </w:r>
          </w:p>
        </w:tc>
        <w:tc>
          <w:tcPr>
            <w:tcW w:w="8440" w:type="dxa"/>
            <w:vAlign w:val="bottom"/>
          </w:tcPr>
          <w:p>
            <w:pPr>
              <w:ind w:left="80"/>
              <w:spacing w:after="0"/>
              <w:rPr>
                <w:sz w:val="20"/>
                <w:szCs w:val="20"/>
                <w:color w:val="auto"/>
              </w:rPr>
            </w:pPr>
            <w:r>
              <w:rPr>
                <w:rFonts w:ascii="Arial" w:cs="Arial" w:eastAsia="Arial" w:hAnsi="Arial"/>
                <w:sz w:val="18"/>
                <w:szCs w:val="18"/>
                <w:color w:val="auto"/>
              </w:rPr>
              <w:t>Listing</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4.20  Limitations on Use of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4.21  Special Put Option</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4.22  Suspension of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5</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0"/>
              </w:rPr>
              <w:t>SUCCESSORS</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5.01  Merger, Consolidation, or Sale of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5.02  Successor Corporation Substituted</w:t>
            </w: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6</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5"/>
              </w:rPr>
              <w:t>DEFAULTS AND REMEDIES</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6.02</w:t>
            </w:r>
          </w:p>
        </w:tc>
        <w:tc>
          <w:tcPr>
            <w:tcW w:w="8440" w:type="dxa"/>
            <w:vAlign w:val="bottom"/>
          </w:tcPr>
          <w:p>
            <w:pPr>
              <w:ind w:left="80"/>
              <w:spacing w:after="0"/>
              <w:rPr>
                <w:sz w:val="20"/>
                <w:szCs w:val="20"/>
                <w:color w:val="auto"/>
              </w:rPr>
            </w:pPr>
            <w:r>
              <w:rPr>
                <w:rFonts w:ascii="Arial" w:cs="Arial" w:eastAsia="Arial" w:hAnsi="Arial"/>
                <w:sz w:val="18"/>
                <w:szCs w:val="18"/>
                <w:color w:val="auto"/>
              </w:rPr>
              <w:t>Acceleration</w:t>
            </w: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6.03</w:t>
            </w:r>
          </w:p>
        </w:tc>
        <w:tc>
          <w:tcPr>
            <w:tcW w:w="8440" w:type="dxa"/>
            <w:vAlign w:val="bottom"/>
          </w:tcPr>
          <w:p>
            <w:pPr>
              <w:ind w:left="80"/>
              <w:spacing w:after="0"/>
              <w:rPr>
                <w:sz w:val="20"/>
                <w:szCs w:val="20"/>
                <w:color w:val="auto"/>
              </w:rPr>
            </w:pPr>
            <w:r>
              <w:rPr>
                <w:rFonts w:ascii="Arial" w:cs="Arial" w:eastAsia="Arial" w:hAnsi="Arial"/>
                <w:sz w:val="18"/>
                <w:szCs w:val="18"/>
                <w:color w:val="auto"/>
              </w:rPr>
              <w:t>Other Remedies</w:t>
            </w: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6.10</w:t>
            </w:r>
          </w:p>
        </w:tc>
        <w:tc>
          <w:tcPr>
            <w:tcW w:w="8440" w:type="dxa"/>
            <w:vAlign w:val="bottom"/>
          </w:tcPr>
          <w:p>
            <w:pPr>
              <w:ind w:left="80"/>
              <w:spacing w:after="0"/>
              <w:rPr>
                <w:sz w:val="20"/>
                <w:szCs w:val="20"/>
                <w:color w:val="auto"/>
              </w:rPr>
            </w:pPr>
            <w:r>
              <w:rPr>
                <w:rFonts w:ascii="Arial" w:cs="Arial" w:eastAsia="Arial" w:hAnsi="Arial"/>
                <w:sz w:val="18"/>
                <w:szCs w:val="18"/>
                <w:color w:val="auto"/>
              </w:rPr>
              <w:t>Priorities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7</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2"/>
              </w:rPr>
              <w:t>TRUSTEE</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7.03</w:t>
            </w:r>
          </w:p>
        </w:tc>
        <w:tc>
          <w:tcPr>
            <w:tcW w:w="8440" w:type="dxa"/>
            <w:vAlign w:val="bottom"/>
          </w:tcPr>
          <w:p>
            <w:pPr>
              <w:ind w:left="80"/>
              <w:spacing w:after="0"/>
              <w:rPr>
                <w:sz w:val="20"/>
                <w:szCs w:val="20"/>
                <w:color w:val="auto"/>
              </w:rPr>
            </w:pPr>
            <w:r>
              <w:rPr>
                <w:rFonts w:ascii="Arial" w:cs="Arial" w:eastAsia="Arial" w:hAnsi="Arial"/>
                <w:sz w:val="18"/>
                <w:szCs w:val="18"/>
                <w:color w:val="auto"/>
              </w:rPr>
              <w:t>[Intentionally Omitted.]</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7.04  Individual Rights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7.05</w:t>
            </w:r>
          </w:p>
        </w:tc>
        <w:tc>
          <w:tcPr>
            <w:tcW w:w="8440" w:type="dxa"/>
            <w:vAlign w:val="bottom"/>
          </w:tcPr>
          <w:p>
            <w:pPr>
              <w:ind w:left="80"/>
              <w:spacing w:after="0"/>
              <w:rPr>
                <w:sz w:val="20"/>
                <w:szCs w:val="20"/>
                <w:color w:val="auto"/>
              </w:rPr>
            </w:pPr>
            <w:r>
              <w:rPr>
                <w:rFonts w:ascii="Arial" w:cs="Arial" w:eastAsia="Arial" w:hAnsi="Arial"/>
                <w:sz w:val="18"/>
                <w:szCs w:val="18"/>
                <w:color w:val="auto"/>
              </w:rPr>
              <w:t>Trustee’s Disclaimer</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7.06  Notice of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7.07</w:t>
            </w:r>
          </w:p>
        </w:tc>
        <w:tc>
          <w:tcPr>
            <w:tcW w:w="8440" w:type="dxa"/>
            <w:vAlign w:val="bottom"/>
          </w:tcPr>
          <w:p>
            <w:pPr>
              <w:ind w:left="80"/>
              <w:spacing w:after="0"/>
              <w:rPr>
                <w:sz w:val="20"/>
                <w:szCs w:val="20"/>
                <w:color w:val="auto"/>
              </w:rPr>
            </w:pPr>
            <w:r>
              <w:rPr>
                <w:rFonts w:ascii="Arial" w:cs="Arial" w:eastAsia="Arial" w:hAnsi="Arial"/>
                <w:sz w:val="18"/>
                <w:szCs w:val="18"/>
                <w:color w:val="auto"/>
              </w:rPr>
              <w:t>[Intentionally Omitted.]</w:t>
            </w: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7.08  Compensation and Indemnity</w:t>
            </w: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7.09  Replacement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7.10  Successor Trustee by Merger, etc.</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7.11</w:t>
            </w:r>
          </w:p>
        </w:tc>
        <w:tc>
          <w:tcPr>
            <w:tcW w:w="8440" w:type="dxa"/>
            <w:vAlign w:val="bottom"/>
          </w:tcPr>
          <w:p>
            <w:pPr>
              <w:ind w:left="80"/>
              <w:spacing w:after="0"/>
              <w:rPr>
                <w:sz w:val="20"/>
                <w:szCs w:val="20"/>
                <w:color w:val="auto"/>
              </w:rPr>
            </w:pPr>
            <w:r>
              <w:rPr>
                <w:rFonts w:ascii="Arial" w:cs="Arial" w:eastAsia="Arial" w:hAnsi="Arial"/>
                <w:sz w:val="18"/>
                <w:szCs w:val="18"/>
                <w:color w:val="auto"/>
              </w:rPr>
              <w:t>Eligibility; Disqualification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7.12  Appointment of Co-Trustee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7.13  Resignation of Agents</w:t>
            </w:r>
          </w:p>
        </w:tc>
        <w:tc>
          <w:tcPr>
            <w:tcW w:w="1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7.14  Agents General Provisions</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7.15  Rights of Trustee in Other Roles</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8</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7"/>
              </w:rPr>
              <w:t>LEGAL DEFEASANCE AND COVENANT DEFEASANCE</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8.02  Legal Defeasance and Discharge</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8.03</w:t>
            </w:r>
          </w:p>
        </w:tc>
        <w:tc>
          <w:tcPr>
            <w:tcW w:w="8440" w:type="dxa"/>
            <w:vAlign w:val="bottom"/>
          </w:tcPr>
          <w:p>
            <w:pPr>
              <w:ind w:left="80"/>
              <w:spacing w:after="0"/>
              <w:rPr>
                <w:sz w:val="20"/>
                <w:szCs w:val="20"/>
                <w:color w:val="auto"/>
              </w:rPr>
            </w:pPr>
            <w:r>
              <w:rPr>
                <w:rFonts w:ascii="Arial" w:cs="Arial" w:eastAsia="Arial" w:hAnsi="Arial"/>
                <w:sz w:val="18"/>
                <w:szCs w:val="18"/>
                <w:color w:val="auto"/>
              </w:rPr>
              <w:t>Covenant Defeasance</w:t>
            </w: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8.04  Conditions to Legal or Covenant Defeasance</w:t>
            </w: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8.05</w:t>
            </w:r>
          </w:p>
        </w:tc>
        <w:tc>
          <w:tcPr>
            <w:tcW w:w="8640" w:type="dxa"/>
            <w:vAlign w:val="bottom"/>
          </w:tcPr>
          <w:p>
            <w:pPr>
              <w:ind w:left="1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8.06</w:t>
            </w:r>
          </w:p>
        </w:tc>
        <w:tc>
          <w:tcPr>
            <w:tcW w:w="864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8.07</w:t>
            </w:r>
          </w:p>
        </w:tc>
        <w:tc>
          <w:tcPr>
            <w:tcW w:w="864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ARTICLE 9</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7"/>
              </w:rPr>
              <w:t>AMENDMENT, SUPPLEMENT AND WAIVER</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100"/>
              <w:spacing w:after="0"/>
              <w:rPr>
                <w:sz w:val="20"/>
                <w:szCs w:val="20"/>
                <w:color w:val="auto"/>
              </w:rPr>
            </w:pPr>
            <w:r>
              <w:rPr>
                <w:rFonts w:ascii="Arial" w:cs="Arial" w:eastAsia="Arial" w:hAnsi="Arial"/>
                <w:sz w:val="18"/>
                <w:szCs w:val="18"/>
                <w:color w:val="auto"/>
              </w:rPr>
              <w:t>Without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9.02</w:t>
            </w:r>
          </w:p>
        </w:tc>
        <w:tc>
          <w:tcPr>
            <w:tcW w:w="8640" w:type="dxa"/>
            <w:vAlign w:val="bottom"/>
          </w:tcPr>
          <w:p>
            <w:pPr>
              <w:ind w:left="100"/>
              <w:spacing w:after="0"/>
              <w:rPr>
                <w:sz w:val="20"/>
                <w:szCs w:val="20"/>
                <w:color w:val="auto"/>
              </w:rPr>
            </w:pPr>
            <w:r>
              <w:rPr>
                <w:rFonts w:ascii="Arial" w:cs="Arial" w:eastAsia="Arial" w:hAnsi="Arial"/>
                <w:sz w:val="18"/>
                <w:szCs w:val="18"/>
                <w:color w:val="auto"/>
              </w:rPr>
              <w:t>With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9.03</w:t>
            </w:r>
          </w:p>
        </w:tc>
        <w:tc>
          <w:tcPr>
            <w:tcW w:w="8640" w:type="dxa"/>
            <w:vAlign w:val="bottom"/>
          </w:tcPr>
          <w:p>
            <w:pPr>
              <w:ind w:left="100"/>
              <w:spacing w:after="0"/>
              <w:rPr>
                <w:sz w:val="20"/>
                <w:szCs w:val="20"/>
                <w:color w:val="auto"/>
              </w:rPr>
            </w:pPr>
            <w:r>
              <w:rPr>
                <w:rFonts w:ascii="Arial" w:cs="Arial" w:eastAsia="Arial" w:hAnsi="Arial"/>
                <w:sz w:val="18"/>
                <w:szCs w:val="18"/>
                <w:color w:val="auto"/>
              </w:rPr>
              <w:t>Supplemental Indenture</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9.04</w:t>
            </w:r>
          </w:p>
        </w:tc>
        <w:tc>
          <w:tcPr>
            <w:tcW w:w="864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9.05</w:t>
            </w:r>
          </w:p>
        </w:tc>
        <w:tc>
          <w:tcPr>
            <w:tcW w:w="864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9.06</w:t>
            </w:r>
          </w:p>
        </w:tc>
        <w:tc>
          <w:tcPr>
            <w:tcW w:w="8640" w:type="dxa"/>
            <w:vAlign w:val="bottom"/>
          </w:tcPr>
          <w:p>
            <w:pPr>
              <w:ind w:left="100"/>
              <w:spacing w:after="0"/>
              <w:rPr>
                <w:sz w:val="20"/>
                <w:szCs w:val="20"/>
                <w:color w:val="auto"/>
              </w:rPr>
            </w:pPr>
            <w:r>
              <w:rPr>
                <w:rFonts w:ascii="Arial" w:cs="Arial" w:eastAsia="Arial" w:hAnsi="Arial"/>
                <w:sz w:val="18"/>
                <w:szCs w:val="18"/>
                <w:color w:val="auto"/>
              </w:rPr>
              <w:t>Trustee to Sign Amendments, etc.</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10</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[Intentionally omitted]</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4"/>
                <w:szCs w:val="24"/>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4"/>
              </w:rPr>
              <w:t>ARTICLE 11</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NOTE GUARANTEES</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8640" w:type="dxa"/>
            <w:vAlign w:val="bottom"/>
          </w:tcPr>
          <w:p>
            <w:pPr>
              <w:ind w:left="100"/>
              <w:spacing w:after="0"/>
              <w:rPr>
                <w:sz w:val="20"/>
                <w:szCs w:val="20"/>
                <w:color w:val="auto"/>
              </w:rPr>
            </w:pPr>
            <w:r>
              <w:rPr>
                <w:rFonts w:ascii="Arial" w:cs="Arial" w:eastAsia="Arial" w:hAnsi="Arial"/>
                <w:sz w:val="18"/>
                <w:szCs w:val="18"/>
                <w:color w:val="auto"/>
              </w:rPr>
              <w:t>Guarantee</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11.02</w:t>
            </w:r>
          </w:p>
        </w:tc>
        <w:tc>
          <w:tcPr>
            <w:tcW w:w="8640" w:type="dxa"/>
            <w:vAlign w:val="bottom"/>
          </w:tcPr>
          <w:p>
            <w:pPr>
              <w:ind w:left="100"/>
              <w:spacing w:after="0"/>
              <w:rPr>
                <w:sz w:val="20"/>
                <w:szCs w:val="20"/>
                <w:color w:val="auto"/>
              </w:rPr>
            </w:pPr>
            <w:r>
              <w:rPr>
                <w:rFonts w:ascii="Arial" w:cs="Arial" w:eastAsia="Arial" w:hAnsi="Arial"/>
                <w:sz w:val="18"/>
                <w:szCs w:val="18"/>
                <w:color w:val="auto"/>
              </w:rPr>
              <w:t>Limitation on Liability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11.03</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11.04</w:t>
            </w:r>
          </w:p>
        </w:tc>
        <w:tc>
          <w:tcPr>
            <w:tcW w:w="8640" w:type="dxa"/>
            <w:vAlign w:val="bottom"/>
          </w:tcPr>
          <w:p>
            <w:pPr>
              <w:ind w:left="100"/>
              <w:spacing w:after="0"/>
              <w:rPr>
                <w:sz w:val="20"/>
                <w:szCs w:val="20"/>
                <w:color w:val="auto"/>
              </w:rPr>
            </w:pPr>
            <w:r>
              <w:rPr>
                <w:rFonts w:ascii="Arial" w:cs="Arial" w:eastAsia="Arial" w:hAnsi="Arial"/>
                <w:sz w:val="18"/>
                <w:szCs w:val="18"/>
                <w:color w:val="auto"/>
              </w:rPr>
              <w:t>No Waiver</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11.05</w:t>
            </w:r>
          </w:p>
        </w:tc>
        <w:tc>
          <w:tcPr>
            <w:tcW w:w="8640" w:type="dxa"/>
            <w:vAlign w:val="bottom"/>
          </w:tcPr>
          <w:p>
            <w:pPr>
              <w:ind w:left="100"/>
              <w:spacing w:after="0"/>
              <w:rPr>
                <w:sz w:val="20"/>
                <w:szCs w:val="20"/>
                <w:color w:val="auto"/>
              </w:rPr>
            </w:pPr>
            <w:r>
              <w:rPr>
                <w:rFonts w:ascii="Arial" w:cs="Arial" w:eastAsia="Arial" w:hAnsi="Arial"/>
                <w:sz w:val="18"/>
                <w:szCs w:val="18"/>
                <w:color w:val="auto"/>
              </w:rPr>
              <w:t>Modification</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11.06</w:t>
            </w:r>
          </w:p>
        </w:tc>
        <w:tc>
          <w:tcPr>
            <w:tcW w:w="8640" w:type="dxa"/>
            <w:vAlign w:val="bottom"/>
          </w:tcPr>
          <w:p>
            <w:pPr>
              <w:ind w:left="10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11.07</w:t>
            </w:r>
          </w:p>
        </w:tc>
        <w:tc>
          <w:tcPr>
            <w:tcW w:w="8640" w:type="dxa"/>
            <w:vAlign w:val="bottom"/>
          </w:tcPr>
          <w:p>
            <w:pPr>
              <w:ind w:left="100"/>
              <w:spacing w:after="0"/>
              <w:rPr>
                <w:sz w:val="20"/>
                <w:szCs w:val="20"/>
                <w:color w:val="auto"/>
              </w:rPr>
            </w:pPr>
            <w:r>
              <w:rPr>
                <w:rFonts w:ascii="Arial" w:cs="Arial" w:eastAsia="Arial" w:hAnsi="Arial"/>
                <w:sz w:val="18"/>
                <w:szCs w:val="18"/>
                <w:color w:val="auto"/>
              </w:rPr>
              <w:t>Non-Impairment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11.08</w:t>
            </w:r>
          </w:p>
        </w:tc>
        <w:tc>
          <w:tcPr>
            <w:tcW w:w="8640" w:type="dxa"/>
            <w:vAlign w:val="bottom"/>
          </w:tcPr>
          <w:p>
            <w:pPr>
              <w:ind w:left="100"/>
              <w:spacing w:after="0"/>
              <w:rPr>
                <w:sz w:val="20"/>
                <w:szCs w:val="20"/>
                <w:color w:val="auto"/>
              </w:rPr>
            </w:pPr>
            <w:r>
              <w:rPr>
                <w:rFonts w:ascii="Arial" w:cs="Arial" w:eastAsia="Arial" w:hAnsi="Arial"/>
                <w:sz w:val="18"/>
                <w:szCs w:val="18"/>
                <w:color w:val="auto"/>
              </w:rPr>
              <w:t>Release of Guarantees</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12</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SATISFACTION AND DISCHARGE</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w w:val="98"/>
              </w:rPr>
              <w:t>Section 12.01</w:t>
            </w:r>
          </w:p>
        </w:tc>
        <w:tc>
          <w:tcPr>
            <w:tcW w:w="8640" w:type="dxa"/>
            <w:vAlign w:val="bottom"/>
          </w:tcPr>
          <w:p>
            <w:pPr>
              <w:ind w:left="100"/>
              <w:spacing w:after="0"/>
              <w:rPr>
                <w:sz w:val="20"/>
                <w:szCs w:val="20"/>
                <w:color w:val="auto"/>
              </w:rPr>
            </w:pPr>
            <w:r>
              <w:rPr>
                <w:rFonts w:ascii="Arial" w:cs="Arial" w:eastAsia="Arial" w:hAnsi="Arial"/>
                <w:sz w:val="18"/>
                <w:szCs w:val="18"/>
                <w:color w:val="auto"/>
              </w:rPr>
              <w:t>Satisfaction and Discharge</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12.02</w:t>
            </w:r>
          </w:p>
        </w:tc>
        <w:tc>
          <w:tcPr>
            <w:tcW w:w="864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13</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7"/>
              </w:rPr>
              <w:t>MISCELLANEOUS</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w w:val="98"/>
              </w:rPr>
              <w:t>Section 13.01</w:t>
            </w:r>
          </w:p>
        </w:tc>
        <w:tc>
          <w:tcPr>
            <w:tcW w:w="864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13.02</w:t>
            </w:r>
          </w:p>
        </w:tc>
        <w:tc>
          <w:tcPr>
            <w:tcW w:w="8640" w:type="dxa"/>
            <w:vAlign w:val="bottom"/>
          </w:tcPr>
          <w:p>
            <w:pPr>
              <w:ind w:left="10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13.03</w:t>
            </w:r>
          </w:p>
        </w:tc>
        <w:tc>
          <w:tcPr>
            <w:tcW w:w="8640" w:type="dxa"/>
            <w:vAlign w:val="bottom"/>
          </w:tcPr>
          <w:p>
            <w:pPr>
              <w:ind w:left="100"/>
              <w:spacing w:after="0"/>
              <w:rPr>
                <w:sz w:val="20"/>
                <w:szCs w:val="20"/>
                <w:color w:val="auto"/>
              </w:rPr>
            </w:pPr>
            <w:r>
              <w:rPr>
                <w:rFonts w:ascii="Arial" w:cs="Arial" w:eastAsia="Arial" w:hAnsi="Arial"/>
                <w:sz w:val="18"/>
                <w:szCs w:val="18"/>
                <w:color w:val="auto"/>
              </w:rPr>
              <w:t>Communication by Holders of Notes with Other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13.04</w:t>
            </w:r>
          </w:p>
        </w:tc>
        <w:tc>
          <w:tcPr>
            <w:tcW w:w="864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13.05</w:t>
            </w:r>
          </w:p>
        </w:tc>
        <w:tc>
          <w:tcPr>
            <w:tcW w:w="864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13.06</w:t>
            </w:r>
          </w:p>
        </w:tc>
        <w:tc>
          <w:tcPr>
            <w:tcW w:w="864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13.07</w:t>
            </w:r>
          </w:p>
        </w:tc>
        <w:tc>
          <w:tcPr>
            <w:tcW w:w="8640" w:type="dxa"/>
            <w:vAlign w:val="bottom"/>
          </w:tcPr>
          <w:p>
            <w:pPr>
              <w:ind w:left="1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13.08</w:t>
            </w:r>
          </w:p>
        </w:tc>
        <w:tc>
          <w:tcPr>
            <w:tcW w:w="86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13.09</w:t>
            </w:r>
          </w:p>
        </w:tc>
        <w:tc>
          <w:tcPr>
            <w:tcW w:w="8640" w:type="dxa"/>
            <w:vAlign w:val="bottom"/>
          </w:tcPr>
          <w:p>
            <w:pPr>
              <w:ind w:left="100"/>
              <w:spacing w:after="0"/>
              <w:rPr>
                <w:sz w:val="20"/>
                <w:szCs w:val="20"/>
                <w:color w:val="auto"/>
              </w:rPr>
            </w:pPr>
            <w:r>
              <w:rPr>
                <w:rFonts w:ascii="Arial" w:cs="Arial" w:eastAsia="Arial" w:hAnsi="Arial"/>
                <w:sz w:val="18"/>
                <w:szCs w:val="18"/>
                <w:color w:val="auto"/>
              </w:rPr>
              <w:t>No Adverse Interpretation of Other Agreements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13.10</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13.11</w:t>
            </w:r>
          </w:p>
        </w:tc>
        <w:tc>
          <w:tcPr>
            <w:tcW w:w="86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13.12</w:t>
            </w:r>
          </w:p>
        </w:tc>
        <w:tc>
          <w:tcPr>
            <w:tcW w:w="8640" w:type="dxa"/>
            <w:vAlign w:val="bottom"/>
          </w:tcPr>
          <w:p>
            <w:pPr>
              <w:ind w:left="100"/>
              <w:spacing w:after="0"/>
              <w:rPr>
                <w:sz w:val="20"/>
                <w:szCs w:val="20"/>
                <w:color w:val="auto"/>
              </w:rPr>
            </w:pPr>
            <w:r>
              <w:rPr>
                <w:rFonts w:ascii="Arial" w:cs="Arial" w:eastAsia="Arial" w:hAnsi="Arial"/>
                <w:sz w:val="18"/>
                <w:szCs w:val="18"/>
                <w:color w:val="auto"/>
              </w:rPr>
              <w:t>Counterpart Originals</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13.13</w:t>
            </w:r>
          </w:p>
        </w:tc>
        <w:tc>
          <w:tcPr>
            <w:tcW w:w="8640" w:type="dxa"/>
            <w:vAlign w:val="bottom"/>
          </w:tcPr>
          <w:p>
            <w:pPr>
              <w:ind w:left="100"/>
              <w:spacing w:after="0"/>
              <w:rPr>
                <w:sz w:val="20"/>
                <w:szCs w:val="20"/>
                <w:color w:val="auto"/>
              </w:rPr>
            </w:pPr>
            <w:r>
              <w:rPr>
                <w:rFonts w:ascii="Arial" w:cs="Arial" w:eastAsia="Arial" w:hAnsi="Arial"/>
                <w:sz w:val="18"/>
                <w:szCs w:val="18"/>
                <w:color w:val="auto"/>
              </w:rPr>
              <w:t>Table of Contents, Headings, etc.</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13.14</w:t>
            </w:r>
          </w:p>
        </w:tc>
        <w:tc>
          <w:tcPr>
            <w:tcW w:w="8640" w:type="dxa"/>
            <w:vAlign w:val="bottom"/>
          </w:tcPr>
          <w:p>
            <w:pPr>
              <w:ind w:left="100"/>
              <w:spacing w:after="0"/>
              <w:rPr>
                <w:sz w:val="20"/>
                <w:szCs w:val="20"/>
                <w:color w:val="auto"/>
              </w:rPr>
            </w:pPr>
            <w:r>
              <w:rPr>
                <w:rFonts w:ascii="Arial" w:cs="Arial" w:eastAsia="Arial" w:hAnsi="Arial"/>
                <w:sz w:val="18"/>
                <w:szCs w:val="18"/>
                <w:color w:val="auto"/>
              </w:rPr>
              <w:t>Patriot Act</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13.15</w:t>
            </w:r>
          </w:p>
        </w:tc>
        <w:tc>
          <w:tcPr>
            <w:tcW w:w="8640" w:type="dxa"/>
            <w:vAlign w:val="bottom"/>
          </w:tcPr>
          <w:p>
            <w:pPr>
              <w:ind w:left="100"/>
              <w:spacing w:after="0"/>
              <w:rPr>
                <w:sz w:val="20"/>
                <w:szCs w:val="20"/>
                <w:color w:val="auto"/>
              </w:rPr>
            </w:pPr>
            <w:r>
              <w:rPr>
                <w:rFonts w:ascii="Arial" w:cs="Arial" w:eastAsia="Arial" w:hAnsi="Arial"/>
                <w:sz w:val="18"/>
                <w:szCs w:val="18"/>
                <w:color w:val="auto"/>
              </w:rPr>
              <w:t>Submission to Jurisdiction; Waiver of Jury Trial</w:t>
            </w: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336" w:name="page337"/>
    <w:bookmarkEnd w:id="336"/>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10620"/>
          </w:cols>
          <w:pgMar w:left="440" w:top="274" w:right="839" w:bottom="1440" w:gutter="0" w:footer="0" w:header="0"/>
        </w:sectPr>
      </w:pPr>
    </w:p>
    <w:p>
      <w:pPr>
        <w:spacing w:after="0" w:line="2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FORM OF NOTE</w:t>
      </w:r>
    </w:p>
    <w:p>
      <w:pPr>
        <w:spacing w:after="0" w:line="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FORM OF CERTIFICATE OF TRANSFER</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FORM OF CERTIFICATE OF EXCHANGE</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FORM OF SUPPLEMENTAL INDENTURE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A-5</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B-1</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(iv)</w:t>
      </w:r>
    </w:p>
    <w:p>
      <w:pPr>
        <w:sectPr>
          <w:pgSz w:w="11900" w:h="16838" w:orient="portrait"/>
          <w:cols w:equalWidth="0" w:num="2">
            <w:col w:w="4660" w:space="720"/>
            <w:col w:w="5240"/>
          </w:cols>
          <w:pgMar w:left="440" w:top="274" w:right="839" w:bottom="1440" w:gutter="0" w:footer="0" w:header="0"/>
          <w:type w:val="continuous"/>
        </w:sectPr>
      </w:pPr>
    </w:p>
    <w:bookmarkStart w:id="337" w:name="page338"/>
    <w:bookmarkEnd w:id="337"/>
    <w:p>
      <w:pPr>
        <w:ind w:right="6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dated as of February 11, 2019 among Studio City Finance Limited, a BVI business company with limited liability incorporated under the laws of the British Virgin Islands with company number 1673307 (the “</w:t>
      </w:r>
      <w:r>
        <w:rPr>
          <w:rFonts w:ascii="Arial" w:cs="Arial" w:eastAsia="Arial" w:hAnsi="Arial"/>
          <w:sz w:val="16"/>
          <w:szCs w:val="16"/>
          <w:i w:val="1"/>
          <w:iCs w:val="1"/>
          <w:color w:val="auto"/>
        </w:rPr>
        <w:t>Company</w:t>
      </w:r>
      <w:r>
        <w:rPr>
          <w:rFonts w:ascii="Arial" w:cs="Arial" w:eastAsia="Arial" w:hAnsi="Arial"/>
          <w:sz w:val="16"/>
          <w:szCs w:val="16"/>
          <w:color w:val="auto"/>
        </w:rPr>
        <w:t>”), the Subsidiary Guarantors named herein (the “</w:t>
      </w:r>
      <w:r>
        <w:rPr>
          <w:rFonts w:ascii="Arial" w:cs="Arial" w:eastAsia="Arial" w:hAnsi="Arial"/>
          <w:sz w:val="16"/>
          <w:szCs w:val="16"/>
          <w:i w:val="1"/>
          <w:iCs w:val="1"/>
          <w:color w:val="auto"/>
        </w:rPr>
        <w:t>Subsidiary</w:t>
      </w:r>
      <w:r>
        <w:rPr>
          <w:rFonts w:ascii="Arial" w:cs="Arial" w:eastAsia="Arial" w:hAnsi="Arial"/>
          <w:sz w:val="16"/>
          <w:szCs w:val="16"/>
          <w:color w:val="auto"/>
        </w:rPr>
        <w:t xml:space="preserve"> </w:t>
      </w:r>
      <w:r>
        <w:rPr>
          <w:rFonts w:ascii="Arial" w:cs="Arial" w:eastAsia="Arial" w:hAnsi="Arial"/>
          <w:sz w:val="16"/>
          <w:szCs w:val="16"/>
          <w:i w:val="1"/>
          <w:iCs w:val="1"/>
          <w:color w:val="auto"/>
        </w:rPr>
        <w:t>Guarantors</w:t>
      </w:r>
      <w:r>
        <w:rPr>
          <w:rFonts w:ascii="Arial" w:cs="Arial" w:eastAsia="Arial" w:hAnsi="Arial"/>
          <w:sz w:val="16"/>
          <w:szCs w:val="16"/>
          <w:color w:val="auto"/>
        </w:rPr>
        <w:t>”) and Deutsche Bank Trust Company Americas, a New York banking corporation as Trustee, Paying Agent, Registrar and Transfer Agent.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party agrees as follows for the benefit of each other and for the other parties hereto and for the equal and ratable benefit of the Holders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defined herein) of the 7.250% Senior Notes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p>
      <w:pPr>
        <w:spacing w:after="0" w:line="11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144A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(subject to a maximum denomination of US$500 million) to the outstanding principal amount of the Notes sold in reliance on Rule 144A.</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means the 8.500% Senior Notes due 2020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right="120" w:firstLine="428"/>
        <w:spacing w:after="0" w:line="264" w:lineRule="auto"/>
        <w:tabs>
          <w:tab w:leader="none" w:pos="111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additional Notes (other than the Initial Notes) issued under this Indenture in accordance with Section 2.02 and Section 4.09 hereof, as part of the same series as the Initial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Notes that are not fungible with the Notes for U.S. federal income tax purposes shall have a separate CUSIP, ISIN or other identifying number than any previously issued Notes, but shall otherwise be treated as a single class with all other Notes issued under this Indenture.</w:t>
      </w:r>
    </w:p>
    <w:p>
      <w:pPr>
        <w:spacing w:after="0" w:line="187"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beneficial ownership of 10% or more of the Voting Stock of a Person will be deemed to be control. For purposes of this definition, the terms “</w:t>
      </w:r>
      <w:r>
        <w:rPr>
          <w:rFonts w:ascii="Arial" w:cs="Arial" w:eastAsia="Arial" w:hAnsi="Arial"/>
          <w:sz w:val="16"/>
          <w:szCs w:val="16"/>
          <w:i w:val="1"/>
          <w:iCs w:val="1"/>
          <w:color w:val="auto"/>
        </w:rPr>
        <w:t>controlling,</w:t>
      </w:r>
      <w:r>
        <w:rPr>
          <w:rFonts w:ascii="Arial" w:cs="Arial" w:eastAsia="Arial" w:hAnsi="Arial"/>
          <w:sz w:val="16"/>
          <w:szCs w:val="16"/>
          <w:color w:val="auto"/>
        </w:rPr>
        <w:t>” “</w:t>
      </w:r>
      <w:r>
        <w:rPr>
          <w:rFonts w:ascii="Arial" w:cs="Arial" w:eastAsia="Arial" w:hAnsi="Arial"/>
          <w:sz w:val="16"/>
          <w:szCs w:val="16"/>
          <w:i w:val="1"/>
          <w:iCs w:val="1"/>
          <w:color w:val="auto"/>
        </w:rPr>
        <w:t>controlled by</w:t>
      </w:r>
      <w:r>
        <w:rPr>
          <w:rFonts w:ascii="Arial" w:cs="Arial" w:eastAsia="Arial" w:hAnsi="Arial"/>
          <w:sz w:val="16"/>
          <w:szCs w:val="16"/>
          <w:color w:val="auto"/>
        </w:rPr>
        <w:t>” and “</w:t>
      </w:r>
      <w:r>
        <w:rPr>
          <w:rFonts w:ascii="Arial" w:cs="Arial" w:eastAsia="Arial" w:hAnsi="Arial"/>
          <w:sz w:val="16"/>
          <w:szCs w:val="16"/>
          <w:i w:val="1"/>
          <w:iCs w:val="1"/>
          <w:color w:val="auto"/>
        </w:rPr>
        <w:t>under common control with</w:t>
      </w:r>
      <w:r>
        <w:rPr>
          <w:rFonts w:ascii="Arial" w:cs="Arial" w:eastAsia="Arial" w:hAnsi="Arial"/>
          <w:sz w:val="16"/>
          <w:szCs w:val="16"/>
          <w:color w:val="auto"/>
        </w:rPr>
        <w:t>” have correlative meanings.</w:t>
      </w:r>
    </w:p>
    <w:p>
      <w:pPr>
        <w:spacing w:after="0" w:line="158" w:lineRule="exact"/>
        <w:rPr>
          <w:sz w:val="20"/>
          <w:szCs w:val="20"/>
          <w:color w:val="auto"/>
        </w:rPr>
      </w:pPr>
    </w:p>
    <w:p>
      <w:pPr>
        <w:ind w:left="440" w:right="1920"/>
        <w:spacing w:after="0" w:line="397"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Agent</w:t>
      </w:r>
      <w:r>
        <w:rPr>
          <w:rFonts w:ascii="Arial" w:cs="Arial" w:eastAsia="Arial" w:hAnsi="Arial"/>
          <w:sz w:val="17"/>
          <w:szCs w:val="17"/>
          <w:color w:val="auto"/>
        </w:rPr>
        <w:t>” means any Registrar, co-registrar, Paying Agent, Transfer Agent or additional paying agents or transfer agents. “</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any Note on any redemption date, the greater of:</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1.0% of the principal amount of the Note; or</w:t>
      </w:r>
    </w:p>
    <w:p>
      <w:pPr>
        <w:sectPr>
          <w:pgSz w:w="11900" w:h="16838" w:orient="portrait"/>
          <w:cols w:equalWidth="0" w:num="1">
            <w:col w:w="11000"/>
          </w:cols>
          <w:pgMar w:left="440" w:top="273" w:right="459" w:bottom="1440" w:gutter="0" w:footer="0" w:header="0"/>
        </w:sectPr>
      </w:pPr>
    </w:p>
    <w:bookmarkStart w:id="338" w:name="page339"/>
    <w:bookmarkEnd w:id="338"/>
    <w:p>
      <w:pPr>
        <w:ind w:left="620" w:hanging="176"/>
        <w:spacing w:after="0"/>
        <w:tabs>
          <w:tab w:leader="none" w:pos="6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excess of:</w:t>
      </w:r>
    </w:p>
    <w:p>
      <w:pPr>
        <w:spacing w:after="0" w:line="130" w:lineRule="exact"/>
        <w:rPr>
          <w:rFonts w:ascii="Arial" w:cs="Arial" w:eastAsia="Arial" w:hAnsi="Arial"/>
          <w:sz w:val="18"/>
          <w:szCs w:val="18"/>
          <w:color w:val="auto"/>
        </w:rPr>
      </w:pPr>
    </w:p>
    <w:p>
      <w:pPr>
        <w:ind w:left="1420" w:right="140" w:hanging="538"/>
        <w:spacing w:after="0" w:line="257" w:lineRule="auto"/>
        <w:tabs>
          <w:tab w:leader="none" w:pos="14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February 11, 2021, plus (ii) all required interest payments due on the Note through February 11, 2021 (such redemption price being set forth in the table appearing in Section 3.07 hereof) plus (ii) all required interest payments due on the Note through February 11, 2021 (excluding accrued but unpaid interest to but excluding the redemption date), computed using a discount rate equal to the Treasury Rate as of such redemption date plus 50 basis points; over</w:t>
      </w:r>
    </w:p>
    <w:p>
      <w:pPr>
        <w:spacing w:after="0" w:line="93" w:lineRule="exact"/>
        <w:rPr>
          <w:rFonts w:ascii="Arial" w:cs="Arial" w:eastAsia="Arial" w:hAnsi="Arial"/>
          <w:sz w:val="18"/>
          <w:szCs w:val="18"/>
          <w:color w:val="auto"/>
        </w:rPr>
      </w:pPr>
    </w:p>
    <w:p>
      <w:pPr>
        <w:ind w:left="1420" w:hanging="538"/>
        <w:spacing w:after="0"/>
        <w:tabs>
          <w:tab w:leader="none" w:pos="14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17" w:lineRule="exact"/>
        <w:rPr>
          <w:sz w:val="20"/>
          <w:szCs w:val="20"/>
          <w:color w:val="auto"/>
        </w:rPr>
      </w:pPr>
    </w:p>
    <w:p>
      <w:pPr>
        <w:ind w:left="440" w:right="140"/>
        <w:spacing w:after="0" w:line="342" w:lineRule="auto"/>
        <w:rPr>
          <w:sz w:val="20"/>
          <w:szCs w:val="20"/>
          <w:color w:val="auto"/>
        </w:rPr>
      </w:pPr>
      <w:r>
        <w:rPr>
          <w:rFonts w:ascii="Arial" w:cs="Arial" w:eastAsia="Arial" w:hAnsi="Arial"/>
          <w:sz w:val="16"/>
          <w:szCs w:val="16"/>
          <w:color w:val="auto"/>
        </w:rPr>
        <w:t>as calculated by the Company or on behalf of the Company by such Person as the Company may engage. For the avoidance of doubt, calculation of the Applicable Premium shall not be a duty or obligation of the Trustee, the Paying Agent, the Transfer Agent, or the Registrar.</w:t>
      </w:r>
    </w:p>
    <w:p>
      <w:pPr>
        <w:spacing w:after="0" w:line="124"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Luxembourg that apply to such transfer or exchange.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440" w:firstLine="428"/>
        <w:spacing w:after="0" w:line="312" w:lineRule="auto"/>
        <w:tabs>
          <w:tab w:leader="none" w:pos="1118" w:val="left"/>
        </w:tabs>
        <w:numPr>
          <w:ilvl w:val="0"/>
          <w:numId w:val="446"/>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sale, lease, conveyance or other disposition of all or substantially all of the assets of the Company and its Restricted Subsidiaries taken as a whole will be governed by the provisions of this Indenture described in Section 4.15 hereof and/or the provisions described in Section 5.01 hereof and not by the provisions of Section 4.10hereof;</w:t>
      </w:r>
    </w:p>
    <w:p>
      <w:pPr>
        <w:spacing w:after="0" w:line="38" w:lineRule="exact"/>
        <w:rPr>
          <w:rFonts w:ascii="Arial" w:cs="Arial" w:eastAsia="Arial" w:hAnsi="Arial"/>
          <w:sz w:val="16"/>
          <w:szCs w:val="16"/>
          <w:color w:val="auto"/>
        </w:rPr>
      </w:pPr>
    </w:p>
    <w:p>
      <w:pPr>
        <w:ind w:left="440" w:right="680" w:firstLine="428"/>
        <w:spacing w:after="0" w:line="277" w:lineRule="auto"/>
        <w:tabs>
          <w:tab w:leader="none" w:pos="1118"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issuance of Equity Interests in any of the Restricted Subsidiaries of the Company or the sale of Equity Interests in any of the Company’s Subsidiaries;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Event of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1120" w:hanging="252"/>
        <w:spacing w:after="0"/>
        <w:tabs>
          <w:tab w:leader="none" w:pos="112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involves assets having a Fair Market Value of less than US$5.0 million;</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its Restricted Subsidiaries;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a Restricted Subsidiary of the Company;</w:t>
      </w:r>
    </w:p>
    <w:p>
      <w:pPr>
        <w:spacing w:after="0" w:line="140" w:lineRule="exact"/>
        <w:rPr>
          <w:rFonts w:ascii="Arial" w:cs="Arial" w:eastAsia="Arial" w:hAnsi="Arial"/>
          <w:sz w:val="16"/>
          <w:szCs w:val="16"/>
          <w:color w:val="auto"/>
        </w:rPr>
      </w:pPr>
    </w:p>
    <w:p>
      <w:pPr>
        <w:ind w:left="440" w:right="80" w:firstLine="428"/>
        <w:spacing w:after="0" w:line="257" w:lineRule="auto"/>
        <w:tabs>
          <w:tab w:leader="none" w:pos="111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any transfer, termination or unwinding or other disposition of Hedging Obligations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339" w:name="page340"/>
    <w:bookmarkEnd w:id="339"/>
    <w:p>
      <w:pPr>
        <w:ind w:left="680" w:hanging="252"/>
        <w:spacing w:after="0"/>
        <w:tabs>
          <w:tab w:leader="none" w:pos="6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transaction covered under Section 5.01 or Section 4.15;</w:t>
      </w:r>
    </w:p>
    <w:p>
      <w:pPr>
        <w:spacing w:after="0" w:line="117" w:lineRule="exact"/>
        <w:rPr>
          <w:rFonts w:ascii="Arial" w:cs="Arial" w:eastAsia="Arial" w:hAnsi="Arial"/>
          <w:sz w:val="18"/>
          <w:szCs w:val="18"/>
          <w:color w:val="auto"/>
        </w:rPr>
      </w:pPr>
    </w:p>
    <w:p>
      <w:pPr>
        <w:ind w:firstLine="428"/>
        <w:spacing w:after="0" w:line="264" w:lineRule="auto"/>
        <w:tabs>
          <w:tab w:leader="none" w:pos="67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lease of, right to use or equivalent interest under Macau law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73" w:lineRule="exact"/>
        <w:rPr>
          <w:rFonts w:ascii="Arial" w:cs="Arial" w:eastAsia="Arial" w:hAnsi="Arial"/>
          <w:sz w:val="18"/>
          <w:szCs w:val="18"/>
          <w:color w:val="auto"/>
        </w:rPr>
      </w:pPr>
    </w:p>
    <w:p>
      <w:pPr>
        <w:ind w:right="60" w:firstLine="428"/>
        <w:spacing w:after="0" w:line="279" w:lineRule="auto"/>
        <w:tabs>
          <w:tab w:leader="none" w:pos="678"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 Restricted Payment that does not violate the provisions of Section 4.07 hereof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63" w:lineRule="exact"/>
        <w:rPr>
          <w:rFonts w:ascii="Arial" w:cs="Arial" w:eastAsia="Arial" w:hAnsi="Arial"/>
          <w:sz w:val="17"/>
          <w:szCs w:val="17"/>
          <w:color w:val="auto"/>
        </w:rPr>
      </w:pPr>
    </w:p>
    <w:p>
      <w:pPr>
        <w:ind w:right="40" w:firstLine="428"/>
        <w:spacing w:after="0" w:line="291" w:lineRule="auto"/>
        <w:tabs>
          <w:tab w:leader="none" w:pos="768" w:val="left"/>
        </w:tabs>
        <w:numPr>
          <w:ilvl w:val="1"/>
          <w:numId w:val="448"/>
        </w:numPr>
        <w:rPr>
          <w:rFonts w:ascii="Arial" w:cs="Arial" w:eastAsia="Arial" w:hAnsi="Arial"/>
          <w:sz w:val="16"/>
          <w:szCs w:val="16"/>
          <w:color w:val="auto"/>
        </w:rPr>
      </w:pPr>
      <w:r>
        <w:rPr>
          <w:rFonts w:ascii="Arial" w:cs="Arial" w:eastAsia="Arial" w:hAnsi="Arial"/>
          <w:sz w:val="16"/>
          <w:szCs w:val="16"/>
          <w:color w:val="auto"/>
        </w:rPr>
        <w:t>the (i)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Arial" w:cs="Arial" w:eastAsia="Arial" w:hAnsi="Arial"/>
          <w:sz w:val="16"/>
          <w:szCs w:val="16"/>
          <w:i w:val="1"/>
          <w:iCs w:val="1"/>
          <w:color w:val="auto"/>
        </w:rPr>
        <w:t>Venue Easements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Venue Easements or operations conducted pursuant thereto would reasonably be expected to materially interfere with, or materially impair or detract from, the operation of the Property;</w:t>
      </w:r>
    </w:p>
    <w:p>
      <w:pPr>
        <w:spacing w:after="0" w:line="59" w:lineRule="exact"/>
        <w:rPr>
          <w:rFonts w:ascii="Arial" w:cs="Arial" w:eastAsia="Arial" w:hAnsi="Arial"/>
          <w:sz w:val="16"/>
          <w:szCs w:val="16"/>
          <w:color w:val="auto"/>
        </w:rPr>
      </w:pPr>
    </w:p>
    <w:p>
      <w:pPr>
        <w:ind w:left="760" w:hanging="332"/>
        <w:spacing w:after="0"/>
        <w:tabs>
          <w:tab w:leader="none" w:pos="76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dedication of space or other dispositions of property in connection with and in furtherance of constructing structures or</w:t>
      </w:r>
    </w:p>
    <w:p>
      <w:pPr>
        <w:spacing w:after="0" w:line="23" w:lineRule="exact"/>
        <w:rPr>
          <w:rFonts w:ascii="Arial" w:cs="Arial" w:eastAsia="Arial" w:hAnsi="Arial"/>
          <w:sz w:val="18"/>
          <w:szCs w:val="18"/>
          <w:color w:val="auto"/>
        </w:rPr>
      </w:pPr>
    </w:p>
    <w:p>
      <w:pPr>
        <w:ind w:right="1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improvements reasonably related to the development, construction and operation of the Property;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such dedication or other disposition is in furtherance of, and does not materially impair or interfere with the use or operations (or intended use or operations) of, the Property;</w:t>
      </w:r>
    </w:p>
    <w:p>
      <w:pPr>
        <w:spacing w:after="0" w:line="82" w:lineRule="exact"/>
        <w:rPr>
          <w:rFonts w:ascii="Arial" w:cs="Arial" w:eastAsia="Arial" w:hAnsi="Arial"/>
          <w:sz w:val="18"/>
          <w:szCs w:val="18"/>
          <w:color w:val="auto"/>
        </w:rPr>
      </w:pPr>
    </w:p>
    <w:p>
      <w:pPr>
        <w:ind w:right="120" w:firstLine="428"/>
        <w:spacing w:after="0" w:line="259" w:lineRule="auto"/>
        <w:tabs>
          <w:tab w:leader="none" w:pos="76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Company or a Restricted Subsidiary of the Company or the public at large that would not reasonably be expected to interfere in any material respect with the construction, development or operation of the Property;</w:t>
      </w:r>
    </w:p>
    <w:p>
      <w:pPr>
        <w:spacing w:after="0" w:line="78" w:lineRule="exact"/>
        <w:rPr>
          <w:rFonts w:ascii="Arial" w:cs="Arial" w:eastAsia="Arial" w:hAnsi="Arial"/>
          <w:sz w:val="18"/>
          <w:szCs w:val="18"/>
          <w:color w:val="auto"/>
        </w:rPr>
      </w:pPr>
    </w:p>
    <w:p>
      <w:pPr>
        <w:ind w:right="100" w:firstLine="428"/>
        <w:spacing w:after="0" w:line="264" w:lineRule="auto"/>
        <w:tabs>
          <w:tab w:leader="none" w:pos="76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73" w:lineRule="exact"/>
        <w:rPr>
          <w:rFonts w:ascii="Arial" w:cs="Arial" w:eastAsia="Arial" w:hAnsi="Arial"/>
          <w:sz w:val="18"/>
          <w:szCs w:val="18"/>
          <w:color w:val="auto"/>
        </w:rPr>
      </w:pPr>
    </w:p>
    <w:p>
      <w:pPr>
        <w:ind w:firstLine="428"/>
        <w:spacing w:after="0" w:line="264" w:lineRule="auto"/>
        <w:tabs>
          <w:tab w:leader="none" w:pos="76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grant of licenses to intellectual property rights to third Persons (other than Affiliates of the Company or any Restricted Subsidiary of the Company) on an arm’s length basis in the ordinary course of business or to Melco Resorts Macau, Melco Resorts and its Affiliates in the ordinary course of business;</w:t>
      </w:r>
    </w:p>
    <w:p>
      <w:pPr>
        <w:spacing w:after="0" w:line="73" w:lineRule="exact"/>
        <w:rPr>
          <w:rFonts w:ascii="Arial" w:cs="Arial" w:eastAsia="Arial" w:hAnsi="Arial"/>
          <w:sz w:val="18"/>
          <w:szCs w:val="18"/>
          <w:color w:val="auto"/>
        </w:rPr>
      </w:pPr>
    </w:p>
    <w:p>
      <w:pPr>
        <w:ind w:right="180" w:firstLine="428"/>
        <w:spacing w:after="0" w:line="277" w:lineRule="auto"/>
        <w:tabs>
          <w:tab w:leader="none" w:pos="76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transfers, assignments or dispositions constituting an Incurrence of a Permitted Lien (but not the actual sale or other disposition of the property subject to such Lien); and</w:t>
      </w:r>
    </w:p>
    <w:p>
      <w:pPr>
        <w:spacing w:after="0" w:line="62" w:lineRule="exact"/>
        <w:rPr>
          <w:rFonts w:ascii="Arial" w:cs="Arial" w:eastAsia="Arial" w:hAnsi="Arial"/>
          <w:sz w:val="18"/>
          <w:szCs w:val="18"/>
          <w:color w:val="auto"/>
        </w:rPr>
      </w:pPr>
    </w:p>
    <w:p>
      <w:pPr>
        <w:ind w:right="440" w:firstLine="428"/>
        <w:spacing w:after="0" w:line="277" w:lineRule="auto"/>
        <w:tabs>
          <w:tab w:leader="none" w:pos="768"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any surrender or waiver of contractual rights or settlement, release, recovery on or surrender of contract, tort or other claims in the ordinary course of business.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340" w:name="page341"/>
    <w:bookmarkEnd w:id="340"/>
    <w:p>
      <w:pPr>
        <w:ind w:right="10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Bankruptcy Law</w:t>
      </w:r>
      <w:r>
        <w:rPr>
          <w:rFonts w:ascii="Arial" w:cs="Arial" w:eastAsia="Arial" w:hAnsi="Arial"/>
          <w:sz w:val="18"/>
          <w:szCs w:val="18"/>
          <w:color w:val="auto"/>
        </w:rPr>
        <w:t>” means (i) the United States Bankruptcy Code of 1978 or any similar U.S. federal or state law for the relief of debtors, (ii) the provisions of the Code of Civil Procedure of Macau that deal with the placement of a debtor into liquidation, the administration and disposal of its assets, the distribution of the proceeds thereof and the alternatives to such liquidation, or any laws of similar effect, and (iii) those laws included, principally within (but not limited to) the BVI Business Companies Act, 2004 (as amended) and the Insolvency Act, 2007 (as amended) concerning the solvency and insolvency of BVI companies.</w:t>
      </w:r>
    </w:p>
    <w:p>
      <w:pPr>
        <w:spacing w:after="0" w:line="188"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120" w:hanging="252"/>
        <w:spacing w:after="0"/>
        <w:tabs>
          <w:tab w:leader="none" w:pos="112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02" w:lineRule="exact"/>
        <w:rPr>
          <w:rFonts w:ascii="Arial" w:cs="Arial" w:eastAsia="Arial" w:hAnsi="Arial"/>
          <w:sz w:val="16"/>
          <w:szCs w:val="16"/>
          <w:color w:val="auto"/>
        </w:rPr>
      </w:pPr>
    </w:p>
    <w:p>
      <w:pPr>
        <w:ind w:left="1120" w:hanging="252"/>
        <w:spacing w:after="0"/>
        <w:tabs>
          <w:tab w:leader="none" w:pos="11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440" w:right="440" w:firstLine="428"/>
        <w:spacing w:after="0" w:line="277" w:lineRule="auto"/>
        <w:tabs>
          <w:tab w:leader="none" w:pos="111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20" w:hanging="252"/>
        <w:spacing w:after="0"/>
        <w:tabs>
          <w:tab w:leader="none" w:pos="11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 the case of a corporation, corporate stock or shares;</w:t>
      </w:r>
    </w:p>
    <w:p>
      <w:pPr>
        <w:spacing w:after="0" w:line="117" w:lineRule="exact"/>
        <w:rPr>
          <w:rFonts w:ascii="Arial" w:cs="Arial" w:eastAsia="Arial" w:hAnsi="Arial"/>
          <w:sz w:val="18"/>
          <w:szCs w:val="18"/>
          <w:color w:val="auto"/>
        </w:rPr>
      </w:pPr>
    </w:p>
    <w:p>
      <w:pPr>
        <w:ind w:left="440" w:right="740" w:firstLine="428"/>
        <w:spacing w:after="0" w:line="277" w:lineRule="auto"/>
        <w:tabs>
          <w:tab w:leader="none" w:pos="111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128" w:lineRule="exact"/>
        <w:rPr>
          <w:rFonts w:ascii="Arial" w:cs="Arial" w:eastAsia="Arial" w:hAnsi="Arial"/>
          <w:sz w:val="17"/>
          <w:szCs w:val="17"/>
          <w:color w:val="auto"/>
        </w:rPr>
      </w:pPr>
    </w:p>
    <w:p>
      <w:pPr>
        <w:ind w:left="440" w:right="180" w:firstLine="428"/>
        <w:spacing w:after="0" w:line="264" w:lineRule="auto"/>
        <w:tabs>
          <w:tab w:leader="none" w:pos="111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440" w:firstLine="428"/>
        <w:spacing w:after="0" w:line="264" w:lineRule="auto"/>
        <w:tabs>
          <w:tab w:leader="none" w:pos="1118"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full faith and credit of the United States is pledged in support of those securities) having maturities of not more than six months from the date of acquisition;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1" w:name="page342"/>
    <w:bookmarkEnd w:id="341"/>
    <w:p>
      <w:pPr>
        <w:ind w:right="80" w:firstLine="428"/>
        <w:spacing w:after="0" w:line="255" w:lineRule="auto"/>
        <w:tabs>
          <w:tab w:leader="none" w:pos="678" w:val="left"/>
        </w:tabs>
        <w:numPr>
          <w:ilvl w:val="0"/>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Hong Kong,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w:t>
      </w:r>
    </w:p>
    <w:p>
      <w:pPr>
        <w:spacing w:after="0" w:line="85" w:lineRule="exact"/>
        <w:rPr>
          <w:rFonts w:ascii="Arial" w:cs="Arial" w:eastAsia="Arial" w:hAnsi="Arial"/>
          <w:sz w:val="18"/>
          <w:szCs w:val="18"/>
          <w:color w:val="auto"/>
        </w:rPr>
      </w:pPr>
    </w:p>
    <w:p>
      <w:pPr>
        <w:ind w:right="360" w:firstLine="428"/>
        <w:spacing w:after="0" w:line="277" w:lineRule="auto"/>
        <w:tabs>
          <w:tab w:leader="none" w:pos="67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(1) and (2) above entered into with any financial institution meeting the qualifications specified in clause (2) above;</w:t>
      </w:r>
    </w:p>
    <w:p>
      <w:pPr>
        <w:spacing w:after="0" w:line="62" w:lineRule="exact"/>
        <w:rPr>
          <w:rFonts w:ascii="Arial" w:cs="Arial" w:eastAsia="Arial" w:hAnsi="Arial"/>
          <w:sz w:val="18"/>
          <w:szCs w:val="18"/>
          <w:color w:val="auto"/>
        </w:rPr>
      </w:pPr>
    </w:p>
    <w:p>
      <w:pPr>
        <w:ind w:right="120" w:firstLine="428"/>
        <w:spacing w:after="0" w:line="277" w:lineRule="auto"/>
        <w:tabs>
          <w:tab w:leader="none" w:pos="67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12 months after the date of acquisition; and</w:t>
      </w:r>
    </w:p>
    <w:p>
      <w:pPr>
        <w:spacing w:after="0" w:line="62" w:lineRule="exact"/>
        <w:rPr>
          <w:rFonts w:ascii="Arial" w:cs="Arial" w:eastAsia="Arial" w:hAnsi="Arial"/>
          <w:sz w:val="18"/>
          <w:szCs w:val="18"/>
          <w:color w:val="auto"/>
        </w:rPr>
      </w:pPr>
    </w:p>
    <w:p>
      <w:pPr>
        <w:ind w:right="160" w:firstLine="428"/>
        <w:spacing w:after="0" w:line="277" w:lineRule="auto"/>
        <w:tabs>
          <w:tab w:leader="none" w:pos="67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(4) of this 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Casualty</w:t>
      </w:r>
      <w:r>
        <w:rPr>
          <w:rFonts w:ascii="Arial" w:cs="Arial" w:eastAsia="Arial" w:hAnsi="Arial"/>
          <w:sz w:val="17"/>
          <w:szCs w:val="17"/>
          <w:color w:val="auto"/>
        </w:rPr>
        <w:t>” means any casualty, loss, damage, destruction or other similar loss with respect to real or personal property or improvements.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680" w:hanging="252"/>
        <w:spacing w:after="0"/>
        <w:tabs>
          <w:tab w:leader="none" w:pos="6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Melco Resorts’ equity securities not being listed on at least one of the following:</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(a) The Hong Kong Stock Exchange;</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(b) The NASDAQ Stock Market; or</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(c) The New York Stock Exchange;</w:t>
      </w:r>
    </w:p>
    <w:p>
      <w:pPr>
        <w:spacing w:after="0" w:line="117" w:lineRule="exact"/>
        <w:rPr>
          <w:rFonts w:ascii="Arial" w:cs="Arial" w:eastAsia="Arial" w:hAnsi="Arial"/>
          <w:sz w:val="18"/>
          <w:szCs w:val="18"/>
          <w:color w:val="auto"/>
        </w:rPr>
      </w:pPr>
    </w:p>
    <w:p>
      <w:pPr>
        <w:jc w:val="both"/>
        <w:ind w:right="380" w:firstLine="428"/>
        <w:spacing w:after="0" w:line="259" w:lineRule="auto"/>
        <w:tabs>
          <w:tab w:leader="none" w:pos="67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or “group” (as such terms are used in Section 13(d) of the Exchange Act) (other than Melco Resorts or a Related Party of Melco Resorts);</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or</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130" w:lineRule="exact"/>
        <w:rPr>
          <w:rFonts w:ascii="Arial" w:cs="Arial" w:eastAsia="Arial" w:hAnsi="Arial"/>
          <w:sz w:val="18"/>
          <w:szCs w:val="18"/>
          <w:color w:val="auto"/>
        </w:rPr>
      </w:pPr>
    </w:p>
    <w:p>
      <w:pPr>
        <w:ind w:left="1420" w:right="20" w:hanging="425"/>
        <w:spacing w:after="0" w:line="291" w:lineRule="auto"/>
        <w:tabs>
          <w:tab w:leader="none" w:pos="142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Melco Resorts ceases to own, directly or indirectly, (i) a majority, or (ii) if Melco Resorts is authorized by the relevant Gaming Authority or is otherwise permitted to hold less than 50.1% of Equity Interest in Studio City International, the greater of</w:t>
      </w:r>
    </w:p>
    <w:p>
      <w:pPr>
        <w:ind w:left="1420"/>
        <w:spacing w:after="0" w:line="255" w:lineRule="auto"/>
        <w:rPr>
          <w:rFonts w:ascii="Arial" w:cs="Arial" w:eastAsia="Arial" w:hAnsi="Arial"/>
          <w:sz w:val="16"/>
          <w:szCs w:val="16"/>
          <w:color w:val="auto"/>
        </w:rPr>
      </w:pPr>
      <w:r>
        <w:rPr>
          <w:rFonts w:ascii="Arial" w:cs="Arial" w:eastAsia="Arial" w:hAnsi="Arial"/>
          <w:sz w:val="18"/>
          <w:szCs w:val="18"/>
          <w:color w:val="auto"/>
        </w:rPr>
        <w:t>(x) such lesser percentage and (y) 35%, of the outstanding Equity Interests and/or Voting Stock of each of the Company and Studio City Holdings Five Limited (or any Person which becomes a “Golden Shareholder” and/or a “Preference Holder” under the Direct Agreement pursuant to the terms thereof, if any);</w:t>
      </w:r>
    </w:p>
    <w:p>
      <w:pPr>
        <w:spacing w:after="0" w:line="95" w:lineRule="exact"/>
        <w:rPr>
          <w:rFonts w:ascii="Arial" w:cs="Arial" w:eastAsia="Arial" w:hAnsi="Arial"/>
          <w:sz w:val="16"/>
          <w:szCs w:val="16"/>
          <w:color w:val="auto"/>
        </w:rPr>
      </w:pPr>
    </w:p>
    <w:p>
      <w:pPr>
        <w:ind w:left="1420" w:right="320" w:hanging="425"/>
        <w:spacing w:after="0" w:line="277" w:lineRule="auto"/>
        <w:tabs>
          <w:tab w:leader="none" w:pos="142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less than 50.1% of Equity Interest in Melco Resorts Macau (or another operator of the Studio City Casino); or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4" w:right="439" w:bottom="1440" w:gutter="0" w:footer="0" w:header="0"/>
        </w:sectPr>
      </w:pPr>
    </w:p>
    <w:bookmarkStart w:id="342" w:name="page343"/>
    <w:bookmarkEnd w:id="342"/>
    <w:p>
      <w:pPr>
        <w:ind w:left="1860" w:right="20" w:hanging="425"/>
        <w:spacing w:after="0" w:line="264" w:lineRule="auto"/>
        <w:tabs>
          <w:tab w:leader="none" w:pos="18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Resorts ceases to 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 Luxembourg</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Studio City Finance Limited, and any and all successors thereto.</w:t>
      </w:r>
    </w:p>
    <w:p>
      <w:pPr>
        <w:spacing w:after="0" w:line="225"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Condemnation</w:t>
      </w:r>
      <w:r>
        <w:rPr>
          <w:rFonts w:ascii="Arial" w:cs="Arial" w:eastAsia="Arial" w:hAnsi="Arial"/>
          <w:sz w:val="17"/>
          <w:szCs w:val="17"/>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14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Restricted Subsidiaries for such period, on a consolidated basis, determined in accordance with U.S. GAAP;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62" w:lineRule="exact"/>
        <w:rPr>
          <w:sz w:val="20"/>
          <w:szCs w:val="20"/>
          <w:color w:val="auto"/>
        </w:rPr>
      </w:pPr>
    </w:p>
    <w:p>
      <w:pPr>
        <w:ind w:left="440" w:right="20" w:firstLine="428"/>
        <w:spacing w:after="0" w:line="264" w:lineRule="auto"/>
        <w:tabs>
          <w:tab w:leader="none" w:pos="111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73" w:lineRule="exact"/>
        <w:rPr>
          <w:rFonts w:ascii="Arial" w:cs="Arial" w:eastAsia="Arial" w:hAnsi="Arial"/>
          <w:sz w:val="18"/>
          <w:szCs w:val="18"/>
          <w:color w:val="auto"/>
        </w:rPr>
      </w:pPr>
    </w:p>
    <w:p>
      <w:pPr>
        <w:ind w:left="440" w:firstLine="428"/>
        <w:spacing w:after="0" w:line="255" w:lineRule="auto"/>
        <w:tabs>
          <w:tab w:leader="none" w:pos="111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Consolidated Net Income of the specified Person will be increased by the amount of dividends or similar contributions actually paid</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(or to the extent converted into cash) to the specified Person or any of its Restricted Subsidiaries that is a Subsidiary Guarantor, to the extent not already included therein;</w:t>
      </w:r>
    </w:p>
    <w:p>
      <w:pPr>
        <w:spacing w:after="0" w:line="81" w:lineRule="exact"/>
        <w:rPr>
          <w:rFonts w:ascii="Arial" w:cs="Arial" w:eastAsia="Arial" w:hAnsi="Arial"/>
          <w:sz w:val="18"/>
          <w:szCs w:val="18"/>
          <w:color w:val="auto"/>
        </w:rPr>
      </w:pPr>
    </w:p>
    <w:p>
      <w:pPr>
        <w:ind w:left="1120" w:hanging="252"/>
        <w:spacing w:after="0"/>
        <w:tabs>
          <w:tab w:leader="none" w:pos="11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117" w:lineRule="exact"/>
        <w:rPr>
          <w:rFonts w:ascii="Arial" w:cs="Arial" w:eastAsia="Arial" w:hAnsi="Arial"/>
          <w:sz w:val="18"/>
          <w:szCs w:val="18"/>
          <w:color w:val="auto"/>
        </w:rPr>
      </w:pPr>
    </w:p>
    <w:p>
      <w:pPr>
        <w:ind w:left="440" w:right="120" w:firstLine="428"/>
        <w:spacing w:after="0" w:line="286" w:lineRule="auto"/>
        <w:tabs>
          <w:tab w:leader="none" w:pos="1118" w:val="left"/>
        </w:tabs>
        <w:numPr>
          <w:ilvl w:val="0"/>
          <w:numId w:val="455"/>
        </w:numPr>
        <w:rPr>
          <w:rFonts w:ascii="Arial" w:cs="Arial" w:eastAsia="Arial" w:hAnsi="Arial"/>
          <w:sz w:val="17"/>
          <w:szCs w:val="17"/>
          <w:color w:val="auto"/>
        </w:rPr>
      </w:pPr>
      <w:r>
        <w:rPr>
          <w:rFonts w:ascii="Arial" w:cs="Arial" w:eastAsia="Arial" w:hAnsi="Arial"/>
          <w:sz w:val="17"/>
          <w:szCs w:val="17"/>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66"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13.02 hereof or such other address as to which the Trustee may give notice to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indentures or commercial paper facilities, in each case, with banks or other lenders</w:t>
      </w:r>
    </w:p>
    <w:p>
      <w:pPr>
        <w:spacing w:after="0" w:line="3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343" w:name="page344"/>
    <w:bookmarkEnd w:id="343"/>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Credit Facilities Documents</w:t>
      </w:r>
      <w:r>
        <w:rPr>
          <w:rFonts w:ascii="Arial" w:cs="Arial" w:eastAsia="Arial" w:hAnsi="Arial"/>
          <w:sz w:val="18"/>
          <w:szCs w:val="18"/>
          <w:color w:val="auto"/>
        </w:rPr>
        <w:t>” means the collective reference to any Credit Facilities, any notes issued pursuant thereto and the guarantees thereof, and the collateral or other documents relating thereto, as amended, supplemented, restated, renewed, refunded, replaced, restructured, repaid, refinanced or otherwise modified, in whole or in part, from time to time.</w:t>
      </w:r>
    </w:p>
    <w:p>
      <w:pPr>
        <w:spacing w:after="0" w:line="181"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Deutsche Bank Trust Company Americas, as custodian with respect to the Notes in global form, or any successor entity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Agreement</w:t>
      </w:r>
      <w:r>
        <w:rPr>
          <w:rFonts w:ascii="Arial" w:cs="Arial" w:eastAsia="Arial" w:hAnsi="Arial"/>
          <w:sz w:val="18"/>
          <w:szCs w:val="18"/>
          <w:color w:val="auto"/>
        </w:rPr>
        <w:t>” means the direct agreement dated November 26, 2013, in relation to (a) the Services and Right to Use Agreement and (b) the Reinvestment Agreement.</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Company may become obligated to pay upon the maturity of, or pursuant to any mandatory redemption provisions of, such Disqualified Stock, exclusive of accrued dividends.</w:t>
      </w:r>
    </w:p>
    <w:p>
      <w:pPr>
        <w:spacing w:after="0" w:line="178"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Dormant Subsidiary</w:t>
      </w:r>
      <w:r>
        <w:rPr>
          <w:rFonts w:ascii="Arial" w:cs="Arial" w:eastAsia="Arial" w:hAnsi="Arial"/>
          <w:sz w:val="16"/>
          <w:szCs w:val="16"/>
          <w:color w:val="auto"/>
        </w:rPr>
        <w:t>” means a Restricted Subsidiary of the Company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47"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62" w:lineRule="exact"/>
        <w:rPr>
          <w:sz w:val="20"/>
          <w:szCs w:val="20"/>
          <w:color w:val="auto"/>
        </w:rPr>
      </w:pPr>
    </w:p>
    <w:p>
      <w:pPr>
        <w:ind w:left="440" w:right="260" w:firstLine="428"/>
        <w:spacing w:after="0" w:line="277" w:lineRule="auto"/>
        <w:tabs>
          <w:tab w:leader="none" w:pos="111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460" w:firstLine="428"/>
        <w:spacing w:after="0" w:line="277" w:lineRule="auto"/>
        <w:tabs>
          <w:tab w:leader="none" w:pos="111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11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344" w:name="page345"/>
    <w:bookmarkEnd w:id="344"/>
    <w:p>
      <w:pPr>
        <w:ind w:left="440" w:right="40" w:firstLine="428"/>
        <w:spacing w:after="0" w:line="257" w:lineRule="auto"/>
        <w:tabs>
          <w:tab w:leader="none" w:pos="1118" w:val="left"/>
        </w:tabs>
        <w:numPr>
          <w:ilvl w:val="0"/>
          <w:numId w:val="4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any non-cash compensation charge arising from any grant of stock, stock options or other equity based awards;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Pre-Opening Expenses, to the extent such expense were deducted in computing Consolidated Net Income;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any goodwill or other intangible asset impairment charge;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on a consolidated basis and determined in accordance with U.S. GAAP.</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the Company will be added to Consolidated Net Income to compute EBITDA of the Company only to the extent that a corresponding amount was included in the calculation of Consolidated Net Income.</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sale or private issuance of Capital Stock (other than Disqualified Stock) of (1) the Company or (2) a direct or indirect 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right="12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the Company, any Subsidiary Guarantor or any Restricted Subsidiary of the Company that is a Significant Subsidiary, any (1) Casualty,</w:t>
      </w:r>
    </w:p>
    <w:p>
      <w:pPr>
        <w:spacing w:after="0" w:line="1" w:lineRule="exact"/>
        <w:rPr>
          <w:sz w:val="20"/>
          <w:szCs w:val="20"/>
          <w:color w:val="auto"/>
        </w:rPr>
      </w:pPr>
    </w:p>
    <w:p>
      <w:pPr>
        <w:ind w:right="120" w:firstLine="4"/>
        <w:spacing w:after="0" w:line="261" w:lineRule="auto"/>
        <w:tabs>
          <w:tab w:leader="none" w:pos="25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Condemnation or seizure (other than pursuant to foreclosure) or (3) settlement in lieu of clause (2) above, in each case having a fair market value in excess of US$20.0 million.</w:t>
      </w:r>
    </w:p>
    <w:p>
      <w:pPr>
        <w:spacing w:after="0" w:line="18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SEC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means the net cash proceeds received by the Company subsequent to the Issue Date from:</w:t>
      </w:r>
    </w:p>
    <w:p>
      <w:pPr>
        <w:spacing w:after="0" w:line="117" w:lineRule="exact"/>
        <w:rPr>
          <w:sz w:val="20"/>
          <w:szCs w:val="20"/>
          <w:color w:val="auto"/>
        </w:rPr>
      </w:pPr>
    </w:p>
    <w:p>
      <w:pPr>
        <w:ind w:left="1120" w:hanging="252"/>
        <w:spacing w:after="0"/>
        <w:tabs>
          <w:tab w:leader="none" w:pos="11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ind w:left="440" w:right="460" w:firstLine="428"/>
        <w:spacing w:after="0" w:line="264" w:lineRule="auto"/>
        <w:tabs>
          <w:tab w:leader="none" w:pos="1118"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issuance or sale (other than to a Subsidiary of the Company or to any Company or Subsidiary management equity plan or stock option plan or any other management or employee benefit plan or agreement) by the Company of shares of its Capital Stock (other than Disqualified Stock) or a share capital increase;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each case, designated as Excluded Contributions on the date on which such Excluded Contributions were received pursuant to an Officer’s Certificate, and excluded from the calculation set forth in Section 4.07(a)(4)(C)(ii)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45" w:name="page346"/>
    <w:bookmarkEnd w:id="345"/>
    <w:p>
      <w:pPr>
        <w:ind w:right="2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 Restricted Subsidiary of the Company which (a) is incorporated solely for the purpose of complying with the requirements of the government of Macau in connection with the conduct of the Permitted Business by the Company and its Restricted Subsidiaries, and</w:t>
      </w:r>
    </w:p>
    <w:p>
      <w:pPr>
        <w:jc w:val="both"/>
        <w:ind w:right="300" w:firstLine="4"/>
        <w:spacing w:after="0" w:line="323" w:lineRule="auto"/>
        <w:tabs>
          <w:tab w:leader="none" w:pos="25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39"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Studio City Company Notes</w:t>
      </w:r>
      <w:r>
        <w:rPr>
          <w:rFonts w:ascii="Arial" w:cs="Arial" w:eastAsia="Arial" w:hAnsi="Arial"/>
          <w:sz w:val="18"/>
          <w:szCs w:val="18"/>
          <w:color w:val="auto"/>
        </w:rPr>
        <w:t>” means the US$350,000,000 5.875% Senior Secured Notes due 2019 and the US$850,000,000 7.250% Senior Secured Notes due 2021 of Studio City Company Limited outstanding on the Issue Date.</w:t>
      </w:r>
    </w:p>
    <w:p>
      <w:pPr>
        <w:spacing w:after="0" w:line="170"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124"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440" w:right="360" w:firstLine="428"/>
        <w:spacing w:after="0" w:line="276" w:lineRule="auto"/>
        <w:tabs>
          <w:tab w:leader="none" w:pos="1118" w:val="left"/>
        </w:tabs>
        <w:numPr>
          <w:ilvl w:val="0"/>
          <w:numId w:val="463"/>
        </w:numPr>
        <w:rPr>
          <w:rFonts w:ascii="Arial" w:cs="Arial" w:eastAsia="Arial" w:hAnsi="Arial"/>
          <w:sz w:val="17"/>
          <w:szCs w:val="17"/>
          <w:color w:val="auto"/>
        </w:rPr>
      </w:pPr>
      <w:r>
        <w:rPr>
          <w:rFonts w:ascii="Arial" w:cs="Arial" w:eastAsia="Arial" w:hAnsi="Arial"/>
          <w:sz w:val="17"/>
          <w:szCs w:val="17"/>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64" w:lineRule="exact"/>
        <w:rPr>
          <w:rFonts w:ascii="Arial" w:cs="Arial" w:eastAsia="Arial" w:hAnsi="Arial"/>
          <w:sz w:val="17"/>
          <w:szCs w:val="17"/>
          <w:color w:val="auto"/>
        </w:rPr>
      </w:pPr>
    </w:p>
    <w:p>
      <w:pPr>
        <w:ind w:left="440" w:right="280" w:firstLine="428"/>
        <w:spacing w:after="0" w:line="277" w:lineRule="auto"/>
        <w:tabs>
          <w:tab w:leader="none" w:pos="111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EBITDA attributable to discontinued operations, as determined in accordance with U.S. GAAP, and operations or businesses (and ownership interests therein) disposed of prior to the Calculation Date, will be excluded;</w:t>
      </w:r>
    </w:p>
    <w:p>
      <w:pPr>
        <w:spacing w:after="0" w:line="62" w:lineRule="exact"/>
        <w:rPr>
          <w:rFonts w:ascii="Arial" w:cs="Arial" w:eastAsia="Arial" w:hAnsi="Arial"/>
          <w:sz w:val="18"/>
          <w:szCs w:val="18"/>
          <w:color w:val="auto"/>
        </w:rPr>
      </w:pPr>
    </w:p>
    <w:p>
      <w:pPr>
        <w:ind w:left="440" w:right="60" w:firstLine="428"/>
        <w:spacing w:after="0" w:line="312" w:lineRule="auto"/>
        <w:tabs>
          <w:tab w:leader="none" w:pos="1118"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38" w:lineRule="exact"/>
        <w:rPr>
          <w:rFonts w:ascii="Arial" w:cs="Arial" w:eastAsia="Arial" w:hAnsi="Arial"/>
          <w:sz w:val="16"/>
          <w:szCs w:val="16"/>
          <w:color w:val="auto"/>
        </w:rPr>
      </w:pPr>
    </w:p>
    <w:p>
      <w:pPr>
        <w:ind w:left="440" w:right="500" w:firstLine="428"/>
        <w:spacing w:after="0" w:line="277" w:lineRule="auto"/>
        <w:tabs>
          <w:tab w:leader="none" w:pos="111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440" w:right="320" w:firstLine="428"/>
        <w:spacing w:after="0" w:line="277" w:lineRule="auto"/>
        <w:tabs>
          <w:tab w:leader="none" w:pos="1118"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46" w:name="page347"/>
    <w:bookmarkEnd w:id="346"/>
    <w:p>
      <w:pPr>
        <w:ind w:left="440" w:firstLine="428"/>
        <w:spacing w:after="0" w:line="286" w:lineRule="auto"/>
        <w:tabs>
          <w:tab w:leader="none" w:pos="1118" w:val="left"/>
        </w:tabs>
        <w:numPr>
          <w:ilvl w:val="0"/>
          <w:numId w:val="4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left="440" w:right="80" w:firstLine="428"/>
        <w:spacing w:after="0" w:line="255" w:lineRule="auto"/>
        <w:tabs>
          <w:tab w:leader="none" w:pos="1118" w:val="left"/>
        </w:tabs>
        <w:numPr>
          <w:ilvl w:val="1"/>
          <w:numId w:val="465"/>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whether paid or accrued, including, without limitation, amortization of debt discount (but not (i) debt issuance costs, commissions, fees and expenses or (ii) amortization of discount on the Intercompany Note Proceeds Loans),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85" w:lineRule="exact"/>
        <w:rPr>
          <w:rFonts w:ascii="Arial" w:cs="Arial" w:eastAsia="Arial" w:hAnsi="Arial"/>
          <w:sz w:val="18"/>
          <w:szCs w:val="18"/>
          <w:color w:val="auto"/>
        </w:rPr>
      </w:pPr>
    </w:p>
    <w:p>
      <w:pPr>
        <w:ind w:left="1120" w:hanging="252"/>
        <w:spacing w:after="0"/>
        <w:tabs>
          <w:tab w:leader="none" w:pos="1120" w:val="left"/>
        </w:tabs>
        <w:numPr>
          <w:ilvl w:val="1"/>
          <w:numId w:val="465"/>
        </w:numPr>
        <w:rPr>
          <w:rFonts w:ascii="Arial" w:cs="Arial" w:eastAsia="Arial" w:hAnsi="Arial"/>
          <w:sz w:val="17"/>
          <w:szCs w:val="17"/>
          <w:color w:val="auto"/>
        </w:rPr>
      </w:pPr>
      <w:r>
        <w:rPr>
          <w:rFonts w:ascii="Arial" w:cs="Arial" w:eastAsia="Arial" w:hAnsi="Arial"/>
          <w:sz w:val="17"/>
          <w:szCs w:val="17"/>
          <w:color w:val="auto"/>
        </w:rPr>
        <w:t xml:space="preserve">the consolidated interest expense of such Person and its Restricted Subsidiaries that was capitalized during such period;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left="440" w:right="280" w:firstLine="428"/>
        <w:spacing w:after="0" w:line="291" w:lineRule="auto"/>
        <w:tabs>
          <w:tab w:leader="none" w:pos="1118" w:val="left"/>
        </w:tabs>
        <w:numPr>
          <w:ilvl w:val="1"/>
          <w:numId w:val="465"/>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(other than Indebtedness secured by a Lien of the type specified in clause</w:t>
      </w:r>
    </w:p>
    <w:p>
      <w:pPr>
        <w:ind w:left="780" w:hanging="336"/>
        <w:spacing w:after="0"/>
        <w:tabs>
          <w:tab w:leader="none" w:pos="7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of the definition of “Permitted Liens”), whether or not such Guarantee or Lien is called upon; </w:t>
      </w:r>
      <w:r>
        <w:rPr>
          <w:rFonts w:ascii="Arial" w:cs="Arial" w:eastAsia="Arial" w:hAnsi="Arial"/>
          <w:sz w:val="18"/>
          <w:szCs w:val="18"/>
          <w:i w:val="1"/>
          <w:iCs w:val="1"/>
          <w:color w:val="auto"/>
        </w:rPr>
        <w:t>plus</w:t>
      </w:r>
    </w:p>
    <w:p>
      <w:pPr>
        <w:spacing w:after="0" w:line="102" w:lineRule="exact"/>
        <w:rPr>
          <w:rFonts w:ascii="Arial" w:cs="Arial" w:eastAsia="Arial" w:hAnsi="Arial"/>
          <w:sz w:val="18"/>
          <w:szCs w:val="18"/>
          <w:color w:val="auto"/>
        </w:rPr>
      </w:pPr>
    </w:p>
    <w:p>
      <w:pPr>
        <w:ind w:left="440" w:right="60" w:firstLine="428"/>
        <w:spacing w:after="0" w:line="257" w:lineRule="auto"/>
        <w:tabs>
          <w:tab w:leader="none" w:pos="1118" w:val="left"/>
        </w:tabs>
        <w:numPr>
          <w:ilvl w:val="1"/>
          <w:numId w:val="466"/>
        </w:numPr>
        <w:rPr>
          <w:rFonts w:ascii="Arial" w:cs="Arial" w:eastAsia="Arial" w:hAnsi="Arial"/>
          <w:sz w:val="18"/>
          <w:szCs w:val="18"/>
          <w:color w:val="auto"/>
        </w:rPr>
      </w:pPr>
      <w:r>
        <w:rPr>
          <w:rFonts w:ascii="Arial" w:cs="Arial" w:eastAsia="Arial" w:hAnsi="Arial"/>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8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Authorities</w:t>
      </w:r>
      <w:r>
        <w:rPr>
          <w:rFonts w:ascii="Arial" w:cs="Arial" w:eastAsia="Arial" w:hAnsi="Arial"/>
          <w:sz w:val="18"/>
          <w:szCs w:val="18"/>
          <w:color w:val="auto"/>
        </w:rPr>
        <w:t>” means the applicable gaming board, commission, or other governmental gaming regulatory body or agency which (a) has, or may at any time after issuance of the Notes have, jurisdiction over the gaming activities (i) at the Studio City Casino, (ii) of Melco Resorts Macau (or any other operator of the Studio City Casino including Melco Resorts or any of its Affiliates), or (iii) of the Company or any of its Subsidiaries, or any successor to such authority or (b) is, or may at any time after the issuance of the Notes be, responsible for interpreting, administering and enforcing the Gaming Laws.</w:t>
      </w:r>
    </w:p>
    <w:p>
      <w:pPr>
        <w:spacing w:after="0" w:line="188"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Studio City Casino, (ii) of Melco Resorts Macau (or any other operator of the Studio City Casino including Melco Resorts or any of its Affiliates), or (iii) of the Company or any of its Subsidiaries in any jurisdiction, as in effect from time to time, including the policies, interpretations and administration thereof by the Gaming Authorities.</w:t>
      </w:r>
    </w:p>
    <w:p>
      <w:pPr>
        <w:spacing w:after="0" w:line="193"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Licenses</w:t>
      </w:r>
      <w:r>
        <w:rPr>
          <w:rFonts w:ascii="Arial" w:cs="Arial" w:eastAsia="Arial" w:hAnsi="Arial"/>
          <w:sz w:val="16"/>
          <w:szCs w:val="16"/>
          <w:color w:val="auto"/>
        </w:rPr>
        <w:t xml:space="preserve"> ” means any concession, subconcession, license, permit, franchise or other authorization at any time required under any Gaming Laws to own, lease, operate or otherwise conduct the gaming business (i) at Studio City Casino or (ii) of Melco Resorts Macau.</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347" w:name="page348"/>
    <w:bookmarkEnd w:id="347"/>
    <w:p>
      <w:pPr>
        <w:ind w:right="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Depository or its nominee, substantially in the form of Exhibit A hereto and that bears the Global Note Legend and that has the “Schedule of Exchanges of Interests in the Global Note” attached thereto, issued in accordance with Section 2.01, 2.06(b)(3), 2.06(b)(4), and with Section 2.06(d)(2) or 2.06(f) hereof.</w:t>
      </w:r>
    </w:p>
    <w:p>
      <w:pPr>
        <w:spacing w:after="0" w:line="18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 under:</w:t>
      </w:r>
    </w:p>
    <w:p>
      <w:pPr>
        <w:spacing w:after="0" w:line="103" w:lineRule="exact"/>
        <w:rPr>
          <w:sz w:val="20"/>
          <w:szCs w:val="20"/>
          <w:color w:val="auto"/>
        </w:rPr>
      </w:pPr>
    </w:p>
    <w:p>
      <w:pPr>
        <w:ind w:left="440" w:right="340" w:firstLine="428"/>
        <w:spacing w:after="0" w:line="277" w:lineRule="auto"/>
        <w:tabs>
          <w:tab w:leader="none" w:pos="111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Incur</w:t>
      </w:r>
      <w:r>
        <w:rPr>
          <w:rFonts w:ascii="Arial" w:cs="Arial" w:eastAsia="Arial" w:hAnsi="Arial"/>
          <w:sz w:val="17"/>
          <w:szCs w:val="17"/>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 Indebtedness or Capital Stock otherwise Incurred by a Person before it becomes a Restricted Subsidiary of the Company shall be deemed to be Incurred at the time at which such Person becomes a Restricted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1120" w:hanging="252"/>
        <w:spacing w:after="0"/>
        <w:tabs>
          <w:tab w:leader="none" w:pos="11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3" w:right="439" w:bottom="1440" w:gutter="0" w:footer="0" w:header="0"/>
        </w:sectPr>
      </w:pPr>
    </w:p>
    <w:bookmarkStart w:id="348" w:name="page349"/>
    <w:bookmarkEnd w:id="348"/>
    <w:p>
      <w:pPr>
        <w:ind w:left="440" w:firstLine="428"/>
        <w:spacing w:after="0" w:line="277" w:lineRule="auto"/>
        <w:tabs>
          <w:tab w:leader="none" w:pos="1118"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representing the balance deferred and unpaid of the purchase price of any property or services due more than one year after such property is acquired or such services are completed;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7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Notwithstanding the foregoing, “Indebtedness” will not include (i) any capital commitments, deposits or advances from customers or any contingent obligations to refund payments (including deposits) to customers (or any guarantee thereof), (ii) obligations of the Company or a Restricted Subsidiary of the Company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Arial" w:cs="Arial" w:eastAsia="Arial" w:hAnsi="Arial"/>
          <w:sz w:val="16"/>
          <w:szCs w:val="16"/>
          <w:i w:val="1"/>
          <w:iCs w:val="1"/>
          <w:color w:val="auto"/>
        </w:rPr>
        <w:t>provided that</w:t>
      </w:r>
      <w:r>
        <w:rPr>
          <w:rFonts w:ascii="Arial" w:cs="Arial" w:eastAsia="Arial" w:hAnsi="Arial"/>
          <w:sz w:val="16"/>
          <w:szCs w:val="16"/>
          <w:color w:val="auto"/>
        </w:rPr>
        <w:t>, in each case of clause (i) and (ii), such Indebtedness is not reflected as borrowings on the consolidated balance sheet of the Company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Company or a Restricted Subsidiary in the ordinary course of business solely in connection with, or in respect of, the obligations of the Company or a Restricted Subsidiary under any operating lease.</w:t>
      </w:r>
    </w:p>
    <w:p>
      <w:pPr>
        <w:spacing w:after="0" w:line="173"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87" w:lineRule="exact"/>
        <w:rPr>
          <w:sz w:val="20"/>
          <w:szCs w:val="20"/>
          <w:color w:val="auto"/>
        </w:rPr>
      </w:pPr>
    </w:p>
    <w:p>
      <w:pPr>
        <w:ind w:left="1860" w:right="560" w:hanging="425"/>
        <w:spacing w:after="0" w:line="264" w:lineRule="auto"/>
        <w:tabs>
          <w:tab w:leader="none" w:pos="18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86" w:lineRule="exact"/>
        <w:rPr>
          <w:rFonts w:ascii="Arial" w:cs="Arial" w:eastAsia="Arial" w:hAnsi="Arial"/>
          <w:sz w:val="18"/>
          <w:szCs w:val="18"/>
          <w:color w:val="auto"/>
        </w:rPr>
      </w:pPr>
    </w:p>
    <w:p>
      <w:pPr>
        <w:ind w:left="1860" w:right="40" w:hanging="425"/>
        <w:spacing w:after="0" w:line="264" w:lineRule="auto"/>
        <w:tabs>
          <w:tab w:leader="none" w:pos="18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86" w:lineRule="exact"/>
        <w:rPr>
          <w:rFonts w:ascii="Arial" w:cs="Arial" w:eastAsia="Arial" w:hAnsi="Arial"/>
          <w:sz w:val="18"/>
          <w:szCs w:val="18"/>
          <w:color w:val="auto"/>
        </w:rPr>
      </w:pPr>
    </w:p>
    <w:p>
      <w:pPr>
        <w:ind w:left="1860" w:right="280" w:hanging="425"/>
        <w:spacing w:after="0" w:line="308" w:lineRule="auto"/>
        <w:tabs>
          <w:tab w:leader="none" w:pos="18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Financial Advisor</w:t>
      </w:r>
      <w:r>
        <w:rPr>
          <w:rFonts w:ascii="Arial" w:cs="Arial" w:eastAsia="Arial" w:hAnsi="Arial"/>
          <w:sz w:val="18"/>
          <w:szCs w:val="18"/>
          <w:color w:val="auto"/>
        </w:rPr>
        <w:t>” means accounting, appraisal or investment banking firm of international standing.</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49" w:name="page350"/>
    <w:bookmarkEnd w:id="3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the first US$600,000,000 aggregate principal amount of Notes issued under this Indenture on the date hereof.</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Deutsche Bank AG, Singapore Branch or Australia, New Zealand Banking Group Limited, Bank of Communications Co., Ltd. Macau Branch, BOC Asia Limited, Industrial and Commercial Bank of China (Asia) Limited, Industrial and Commercial Bank of China (Macau) Limited and Mizuho Securities USA LLC.</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Intercompany Note Proceeds Loans</w:t>
      </w:r>
      <w:r>
        <w:rPr>
          <w:rFonts w:ascii="Arial" w:cs="Arial" w:eastAsia="Arial" w:hAnsi="Arial"/>
          <w:sz w:val="17"/>
          <w:szCs w:val="17"/>
          <w:color w:val="auto"/>
        </w:rPr>
        <w:t>” means the one or more intercompany loans between the Company and its Subsidiaries pursuant to which the Company on-lends to its Subsidiaries the net proceeds from the issuance of the 2020 Notes in accordance with the terms of the definitive documents with respect to the 2020 Notes, including in connection with any extension, additional issuance or refinancing thereof.</w:t>
      </w:r>
    </w:p>
    <w:p>
      <w:pPr>
        <w:spacing w:after="0" w:line="166"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apply at any time the Notes receive (i) a rating equal to or higher than BBB- (or the equivalent) from S&amp;P and (ii) a rating equal to or higher than Baa3 (or the equivalent) from Moody’s.</w:t>
      </w:r>
    </w:p>
    <w:p>
      <w:pPr>
        <w:spacing w:after="0" w:line="170"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(other than any Additional Notes) are originally issued.</w:t>
      </w:r>
    </w:p>
    <w:p>
      <w:pPr>
        <w:spacing w:after="0" w:line="22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 Concession</w:t>
      </w:r>
      <w:r>
        <w:rPr>
          <w:rFonts w:ascii="Arial" w:cs="Arial" w:eastAsia="Arial" w:hAnsi="Arial"/>
          <w:sz w:val="17"/>
          <w:szCs w:val="17"/>
          <w:color w:val="auto"/>
        </w:rPr>
        <w:t>” means the land concession by way of lease, for a period of 25 years, subject to renewal as of October 17, 2001 for a plot of land situated in Cotai, Macau, described with the Macau Immovable Property Registry under No. 23059 and registered in Studio City Developments Limited’s name under inscription no. 26642 of Book F, titled by Dispatch of the Secretary for Public Works and Transportation no. 100/2001 of October 9, 2001, published in the Macau Official Gazette no. 42 of October 17,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and including any other amendments from time to time to such land concession.</w:t>
      </w:r>
    </w:p>
    <w:p>
      <w:pPr>
        <w:spacing w:after="0" w:line="17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the City of New York, New York, Hong Kong, Macau,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50" w:name="page351"/>
    <w:bookmarkEnd w:id="350"/>
    <w:p>
      <w:pPr>
        <w:ind w:right="4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w:t>
      </w:r>
      <w:r>
        <w:rPr>
          <w:rFonts w:ascii="Arial" w:cs="Arial" w:eastAsia="Arial" w:hAnsi="Arial"/>
          <w:sz w:val="18"/>
          <w:szCs w:val="18"/>
          <w:color w:val="auto"/>
        </w:rPr>
        <w:t>” means Melco Resorts &amp; Entertainment Limited, an exempted company incorporated with limited liability under the laws of the Cayman Islands.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Macau</w:t>
      </w:r>
      <w:r>
        <w:rPr>
          <w:rFonts w:ascii="Arial" w:cs="Arial" w:eastAsia="Arial" w:hAnsi="Arial"/>
          <w:sz w:val="18"/>
          <w:szCs w:val="18"/>
          <w:color w:val="auto"/>
        </w:rPr>
        <w:t>” means Melco Resorts (Macau) Limited, a Macau company.</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Parties</w:t>
      </w:r>
      <w:r>
        <w:rPr>
          <w:rFonts w:ascii="Arial" w:cs="Arial" w:eastAsia="Arial" w:hAnsi="Arial"/>
          <w:sz w:val="18"/>
          <w:szCs w:val="18"/>
          <w:color w:val="auto"/>
        </w:rPr>
        <w:t>” means COD Resorts Limited, Altira Resorts Limited, Melco Resorts (Macau) Limited, MPEL Services Limited, Golden Future (Management Services) Limited, MPEL Properties (Macau) Limited, Melco Resorts Security Services Limited, Melco Resorts Travel Limited, MCE Transportation Limited, MCE Transportation Two Limited and any other Person which accedes to the MSA as a “</w:t>
      </w:r>
      <w:r>
        <w:rPr>
          <w:rFonts w:ascii="Arial" w:cs="Arial" w:eastAsia="Arial" w:hAnsi="Arial"/>
          <w:sz w:val="18"/>
          <w:szCs w:val="18"/>
          <w:i w:val="1"/>
          <w:iCs w:val="1"/>
          <w:color w:val="auto"/>
        </w:rPr>
        <w:t>Melco Crown Party</w:t>
      </w:r>
      <w:r>
        <w:rPr>
          <w:rFonts w:ascii="Arial" w:cs="Arial" w:eastAsia="Arial" w:hAnsi="Arial"/>
          <w:sz w:val="18"/>
          <w:szCs w:val="18"/>
          <w:color w:val="auto"/>
        </w:rPr>
        <w:t>” pursuant to terms thereof; and a “</w:t>
      </w:r>
      <w:r>
        <w:rPr>
          <w:rFonts w:ascii="Arial" w:cs="Arial" w:eastAsia="Arial" w:hAnsi="Arial"/>
          <w:sz w:val="18"/>
          <w:szCs w:val="18"/>
          <w:i w:val="1"/>
          <w:iCs w:val="1"/>
          <w:color w:val="auto"/>
        </w:rPr>
        <w:t>Melco Resorts Party</w:t>
      </w:r>
      <w:r>
        <w:rPr>
          <w:rFonts w:ascii="Arial" w:cs="Arial" w:eastAsia="Arial" w:hAnsi="Arial"/>
          <w:sz w:val="18"/>
          <w:szCs w:val="18"/>
          <w:color w:val="auto"/>
        </w:rPr>
        <w:t>” means any of them.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MSA</w:t>
      </w:r>
      <w:r>
        <w:rPr>
          <w:rFonts w:ascii="Arial" w:cs="Arial" w:eastAsia="Arial" w:hAnsi="Arial"/>
          <w:sz w:val="16"/>
          <w:szCs w:val="16"/>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Company or the relevant Restricted Subsidiary than those that would have been obtained in an arm’s length commercial transaction, as amended, modified, supplemented, extended, replaced or renewed from time to time.</w:t>
      </w:r>
    </w:p>
    <w:p>
      <w:pPr>
        <w:spacing w:after="0" w:line="16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of such Person, determined in accordance with U.S. GAAP and before any reduction in respect of Preferred Stock dividends, excluding, however:</w:t>
      </w:r>
    </w:p>
    <w:p>
      <w:pPr>
        <w:spacing w:after="0" w:line="62" w:lineRule="exact"/>
        <w:rPr>
          <w:sz w:val="20"/>
          <w:szCs w:val="20"/>
          <w:color w:val="auto"/>
        </w:rPr>
      </w:pPr>
    </w:p>
    <w:p>
      <w:pPr>
        <w:ind w:left="1120" w:hanging="252"/>
        <w:spacing w:after="0"/>
        <w:tabs>
          <w:tab w:leader="none" w:pos="1120" w:val="left"/>
        </w:tabs>
        <w:numPr>
          <w:ilvl w:val="1"/>
          <w:numId w:val="471"/>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(or loss), realized in connection with: (a) any Asset Sale; or</w:t>
      </w:r>
    </w:p>
    <w:p>
      <w:pPr>
        <w:spacing w:after="0" w:line="46" w:lineRule="exact"/>
        <w:rPr>
          <w:rFonts w:ascii="Arial" w:cs="Arial" w:eastAsia="Arial" w:hAnsi="Arial"/>
          <w:sz w:val="16"/>
          <w:szCs w:val="16"/>
          <w:color w:val="auto"/>
        </w:rPr>
      </w:pPr>
    </w:p>
    <w:p>
      <w:pPr>
        <w:ind w:left="440" w:right="180" w:firstLine="4"/>
        <w:spacing w:after="0" w:line="261" w:lineRule="auto"/>
        <w:tabs>
          <w:tab w:leader="none" w:pos="69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disposition of any securities by such Person or any of its Restricted Subsidiaries or the extinguishment, repurchase or cancellation of any Indebtedness of such Person or any of its Restricted Subsidiaries; and</w:t>
      </w:r>
    </w:p>
    <w:p>
      <w:pPr>
        <w:spacing w:after="0" w:line="75" w:lineRule="exact"/>
        <w:rPr>
          <w:rFonts w:ascii="Arial" w:cs="Arial" w:eastAsia="Arial" w:hAnsi="Arial"/>
          <w:sz w:val="18"/>
          <w:szCs w:val="18"/>
          <w:color w:val="auto"/>
        </w:rPr>
      </w:pPr>
    </w:p>
    <w:p>
      <w:pPr>
        <w:ind w:left="1120" w:hanging="252"/>
        <w:spacing w:after="0"/>
        <w:tabs>
          <w:tab w:leader="none" w:pos="112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51" w:name="page352"/>
    <w:bookmarkEnd w:id="3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440" w:right="580" w:firstLine="428"/>
        <w:spacing w:after="0" w:line="291" w:lineRule="auto"/>
        <w:tabs>
          <w:tab w:leader="none" w:pos="1118" w:val="left"/>
        </w:tabs>
        <w:numPr>
          <w:ilvl w:val="1"/>
          <w:numId w:val="473"/>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w:t>
      </w:r>
    </w:p>
    <w:p>
      <w:pPr>
        <w:ind w:left="680" w:hanging="236"/>
        <w:spacing w:after="0"/>
        <w:tabs>
          <w:tab w:leader="none" w:pos="68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constitutes the lender, other than, in the case of (a) and (b), Indebtedness incurred pursuant to Section 4.09(b)(15) hereof; and</w:t>
      </w:r>
    </w:p>
    <w:p>
      <w:pPr>
        <w:spacing w:after="0" w:line="102" w:lineRule="exact"/>
        <w:rPr>
          <w:rFonts w:ascii="Arial" w:cs="Arial" w:eastAsia="Arial" w:hAnsi="Arial"/>
          <w:sz w:val="18"/>
          <w:szCs w:val="18"/>
          <w:color w:val="auto"/>
        </w:rPr>
      </w:pPr>
    </w:p>
    <w:p>
      <w:pPr>
        <w:ind w:left="440" w:right="60" w:firstLine="428"/>
        <w:spacing w:after="0" w:line="277" w:lineRule="auto"/>
        <w:tabs>
          <w:tab w:leader="none" w:pos="1118" w:val="left"/>
        </w:tabs>
        <w:numPr>
          <w:ilvl w:val="1"/>
          <w:numId w:val="47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 (other than to the Equity Interests of any Unrestricted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 Guarantee</w:t>
      </w:r>
      <w:r>
        <w:rPr>
          <w:rFonts w:ascii="Arial" w:cs="Arial" w:eastAsia="Arial" w:hAnsi="Arial"/>
          <w:sz w:val="17"/>
          <w:szCs w:val="17"/>
          <w:color w:val="auto"/>
        </w:rPr>
        <w:t>” means the Guarantee by each Subsidiary Guarantor of the Company’s Obligations under this Indenture and the Notes.</w:t>
      </w:r>
    </w:p>
    <w:p>
      <w:pPr>
        <w:spacing w:after="0" w:line="23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January 29, 2019 in respect of the Notes.</w:t>
      </w:r>
    </w:p>
    <w:p>
      <w:pPr>
        <w:spacing w:after="0" w:line="225"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the Chairman of the Board, Chief Executive Officer, Property Chief Financial Officer, President, any Executive Vice President, Senior Vice President or Vice President, Treasurer or Secretary of the Company or any Directors of the Board or any Person acting in that capacity.</w:t>
      </w:r>
    </w:p>
    <w:p>
      <w:pPr>
        <w:spacing w:after="0" w:line="124"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Company by an Officer of the Company which meets the requirements of Section 13.05 hereof.</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acceptable to the Trustee that meets the requirements of Section 13.05 hereof. The counsel may be an employee of or counsel to the Company.</w:t>
      </w:r>
    </w:p>
    <w:p>
      <w:pPr>
        <w:spacing w:after="0" w:line="170"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 means, with respect to the Depositary, Euroclear or Clearstream, Luxembourg, a Person who has an account with the Depositary, Euroclear or Clearstream, Luxembourg, respectively (and, with respect to DTC, shall include Euroclear and Clearstream, Luxembourg).</w:t>
      </w:r>
    </w:p>
    <w:p>
      <w:pPr>
        <w:spacing w:after="0" w:line="12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(1) any businesses, services or activities engaged in by the Company or any of its Restricted Subsidiaries on the Issue Date,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680" w:hanging="252"/>
        <w:spacing w:after="0"/>
        <w:tabs>
          <w:tab w:leader="none" w:pos="6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w:t>
      </w:r>
    </w:p>
    <w:p>
      <w:pPr>
        <w:spacing w:after="0" w:line="130" w:lineRule="exact"/>
        <w:rPr>
          <w:rFonts w:ascii="Arial" w:cs="Arial" w:eastAsia="Arial" w:hAnsi="Arial"/>
          <w:sz w:val="18"/>
          <w:szCs w:val="18"/>
          <w:color w:val="auto"/>
        </w:rPr>
      </w:pPr>
    </w:p>
    <w:p>
      <w:pPr>
        <w:ind w:left="1420" w:hanging="425"/>
        <w:spacing w:after="0"/>
        <w:tabs>
          <w:tab w:leader="none" w:pos="14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30" w:lineRule="exact"/>
        <w:rPr>
          <w:rFonts w:ascii="Arial" w:cs="Arial" w:eastAsia="Arial" w:hAnsi="Arial"/>
          <w:sz w:val="18"/>
          <w:szCs w:val="18"/>
          <w:color w:val="auto"/>
        </w:rPr>
      </w:pPr>
    </w:p>
    <w:p>
      <w:pPr>
        <w:ind w:left="1420" w:right="40" w:hanging="425"/>
        <w:spacing w:after="0" w:line="277" w:lineRule="auto"/>
        <w:tabs>
          <w:tab w:leader="none" w:pos="14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62" w:lineRule="exact"/>
        <w:rPr>
          <w:rFonts w:ascii="Arial" w:cs="Arial" w:eastAsia="Arial" w:hAnsi="Arial"/>
          <w:sz w:val="18"/>
          <w:szCs w:val="18"/>
          <w:color w:val="auto"/>
        </w:rPr>
      </w:pPr>
    </w:p>
    <w:p>
      <w:pPr>
        <w:ind w:right="840" w:firstLine="428"/>
        <w:spacing w:after="0" w:line="277" w:lineRule="auto"/>
        <w:tabs>
          <w:tab w:leader="none" w:pos="67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62" w:lineRule="exact"/>
        <w:rPr>
          <w:rFonts w:ascii="Arial" w:cs="Arial" w:eastAsia="Arial" w:hAnsi="Arial"/>
          <w:sz w:val="18"/>
          <w:szCs w:val="18"/>
          <w:color w:val="auto"/>
        </w:rPr>
      </w:pPr>
    </w:p>
    <w:p>
      <w:pPr>
        <w:ind w:right="680" w:firstLine="428"/>
        <w:spacing w:after="0" w:line="277" w:lineRule="auto"/>
        <w:tabs>
          <w:tab w:leader="none" w:pos="67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acquisition of assets or Capital Stock in exchange for the issuance of Equity Interests (other than Disqualified Stock) of the Company;</w:t>
      </w:r>
    </w:p>
    <w:p>
      <w:pPr>
        <w:spacing w:after="0" w:line="62" w:lineRule="exact"/>
        <w:rPr>
          <w:rFonts w:ascii="Arial" w:cs="Arial" w:eastAsia="Arial" w:hAnsi="Arial"/>
          <w:sz w:val="18"/>
          <w:szCs w:val="18"/>
          <w:color w:val="auto"/>
        </w:rPr>
      </w:pPr>
    </w:p>
    <w:p>
      <w:pPr>
        <w:ind w:right="40" w:firstLine="428"/>
        <w:spacing w:after="0" w:line="259" w:lineRule="auto"/>
        <w:tabs>
          <w:tab w:leader="none" w:pos="67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640" w:firstLine="428"/>
        <w:spacing w:after="0" w:line="308" w:lineRule="auto"/>
        <w:tabs>
          <w:tab w:leader="none" w:pos="678" w:val="left"/>
        </w:tabs>
        <w:numPr>
          <w:ilvl w:val="0"/>
          <w:numId w:val="475"/>
        </w:numPr>
        <w:rPr>
          <w:rFonts w:ascii="Arial" w:cs="Arial" w:eastAsia="Arial" w:hAnsi="Arial"/>
          <w:sz w:val="17"/>
          <w:szCs w:val="17"/>
          <w:color w:val="auto"/>
        </w:rPr>
      </w:pPr>
      <w:r>
        <w:rPr>
          <w:rFonts w:ascii="Arial" w:cs="Arial" w:eastAsia="Arial" w:hAnsi="Arial"/>
          <w:sz w:val="17"/>
          <w:szCs w:val="17"/>
          <w:color w:val="auto"/>
        </w:rPr>
        <w:t>loans or advances to employees, officers, or directors made in the ordinary course of business of the Company or any Restricted Subsidiary of the Company in an aggregate principal amount not to exceed US$2.0 million at any one time outstanding;</w:t>
      </w:r>
    </w:p>
    <w:p>
      <w:pPr>
        <w:spacing w:after="0" w:line="38" w:lineRule="exact"/>
        <w:rPr>
          <w:rFonts w:ascii="Arial" w:cs="Arial" w:eastAsia="Arial" w:hAnsi="Arial"/>
          <w:sz w:val="17"/>
          <w:szCs w:val="17"/>
          <w:color w:val="auto"/>
        </w:rPr>
      </w:pPr>
    </w:p>
    <w:p>
      <w:pPr>
        <w:ind w:left="680" w:hanging="252"/>
        <w:spacing w:after="0"/>
        <w:tabs>
          <w:tab w:leader="none" w:pos="6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firstLine="428"/>
        <w:spacing w:after="0" w:line="276" w:lineRule="auto"/>
        <w:tabs>
          <w:tab w:leader="none" w:pos="768"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64" w:lineRule="exact"/>
        <w:rPr>
          <w:rFonts w:ascii="Arial" w:cs="Arial" w:eastAsia="Arial" w:hAnsi="Arial"/>
          <w:sz w:val="17"/>
          <w:szCs w:val="17"/>
          <w:color w:val="auto"/>
        </w:rPr>
      </w:pPr>
    </w:p>
    <w:p>
      <w:pPr>
        <w:ind w:left="760" w:hanging="332"/>
        <w:spacing w:after="0"/>
        <w:tabs>
          <w:tab w:leader="none" w:pos="76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advances to contractors and suppliers and accounts, trade and notes receivables created or acquired in the ordinary course of business;</w:t>
      </w:r>
    </w:p>
    <w:p>
      <w:pPr>
        <w:spacing w:after="0" w:line="140" w:lineRule="exact"/>
        <w:rPr>
          <w:rFonts w:ascii="Arial" w:cs="Arial" w:eastAsia="Arial" w:hAnsi="Arial"/>
          <w:sz w:val="16"/>
          <w:szCs w:val="16"/>
          <w:color w:val="auto"/>
        </w:rPr>
      </w:pPr>
    </w:p>
    <w:p>
      <w:pPr>
        <w:ind w:right="300" w:firstLine="428"/>
        <w:spacing w:after="0" w:line="277" w:lineRule="auto"/>
        <w:tabs>
          <w:tab w:leader="none" w:pos="76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receivables owing to the Company or any of its Restricted Subsidiaries if created or acquired in the ordinary course of business and payable or dischargeable in accordance with customary trade terms;</w:t>
      </w:r>
    </w:p>
    <w:p>
      <w:pPr>
        <w:spacing w:after="0" w:line="62" w:lineRule="exact"/>
        <w:rPr>
          <w:rFonts w:ascii="Arial" w:cs="Arial" w:eastAsia="Arial" w:hAnsi="Arial"/>
          <w:sz w:val="18"/>
          <w:szCs w:val="18"/>
          <w:color w:val="auto"/>
        </w:rPr>
      </w:pPr>
    </w:p>
    <w:p>
      <w:pPr>
        <w:ind w:right="40" w:firstLine="428"/>
        <w:spacing w:after="0" w:line="259" w:lineRule="auto"/>
        <w:tabs>
          <w:tab w:leader="none" w:pos="76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xml:space="preserve">any Investment existing on the Issue Date or made pursuant to binding commitments in effect on the Issue Date or an Investment consisting of any extension, modification or renewal of any Investment existing on the Issue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Investment may be increased (x) as required by the terms of such Investment as in existence on the Issue Date or (y) as otherwise permitted under this Indenture;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80" w:top="273" w:right="479" w:bottom="1440" w:gutter="0" w:footer="0" w:header="0"/>
        </w:sectPr>
      </w:pPr>
    </w:p>
    <w:bookmarkStart w:id="353" w:name="page354"/>
    <w:bookmarkEnd w:id="353"/>
    <w:p>
      <w:pPr>
        <w:ind w:right="260" w:firstLine="428"/>
        <w:spacing w:after="0" w:line="264"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Company or any Restricted Subsidiary of the Company;</w:t>
      </w:r>
    </w:p>
    <w:p>
      <w:pPr>
        <w:spacing w:after="0" w:line="73" w:lineRule="exact"/>
        <w:rPr>
          <w:rFonts w:ascii="Arial" w:cs="Arial" w:eastAsia="Arial" w:hAnsi="Arial"/>
          <w:sz w:val="18"/>
          <w:szCs w:val="18"/>
          <w:color w:val="auto"/>
        </w:rPr>
      </w:pPr>
    </w:p>
    <w:p>
      <w:pPr>
        <w:ind w:right="240" w:firstLine="428"/>
        <w:spacing w:after="0" w:line="264"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deposits made by the Company or any Restricted Subsidiary of the Company in the ordinary course of business to comply with statutory or regulatory obligations (including land grants) to maintain deposits for the purposes specified by the applicable statute or regulation (including land grants) from time to time;</w:t>
      </w:r>
    </w:p>
    <w:p>
      <w:pPr>
        <w:spacing w:after="0" w:line="73" w:lineRule="exact"/>
        <w:rPr>
          <w:rFonts w:ascii="Arial" w:cs="Arial" w:eastAsia="Arial" w:hAnsi="Arial"/>
          <w:sz w:val="18"/>
          <w:szCs w:val="18"/>
          <w:color w:val="auto"/>
        </w:rPr>
      </w:pPr>
    </w:p>
    <w:p>
      <w:pPr>
        <w:ind w:right="740" w:firstLine="428"/>
        <w:spacing w:after="0" w:line="342" w:lineRule="auto"/>
        <w:tabs>
          <w:tab w:leader="none" w:pos="768"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any Investment consisting of a Guarantee permitted by Section 4.09 hereof and performance guarantees that do not constitute Indebtedness entered into by the Company or any Restricted Subsidiary of the Company in the ordinary course of business;</w:t>
      </w:r>
    </w:p>
    <w:p>
      <w:pPr>
        <w:spacing w:after="0" w:line="15" w:lineRule="exact"/>
        <w:rPr>
          <w:rFonts w:ascii="Arial" w:cs="Arial" w:eastAsia="Arial" w:hAnsi="Arial"/>
          <w:sz w:val="16"/>
          <w:szCs w:val="16"/>
          <w:color w:val="auto"/>
        </w:rPr>
      </w:pPr>
    </w:p>
    <w:p>
      <w:pPr>
        <w:ind w:firstLine="428"/>
        <w:spacing w:after="0" w:line="264"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licenses of intellectual property rights granted by the Company or any Restricted Subsidiary of the Company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grant does not interfere in any material respect with the ordinary conduct of the business of such Person;</w:t>
      </w:r>
    </w:p>
    <w:p>
      <w:pPr>
        <w:spacing w:after="0" w:line="73" w:lineRule="exact"/>
        <w:rPr>
          <w:rFonts w:ascii="Arial" w:cs="Arial" w:eastAsia="Arial" w:hAnsi="Arial"/>
          <w:sz w:val="18"/>
          <w:szCs w:val="18"/>
          <w:color w:val="auto"/>
        </w:rPr>
      </w:pPr>
    </w:p>
    <w:p>
      <w:pPr>
        <w:ind w:right="180" w:firstLine="428"/>
        <w:spacing w:after="0" w:line="277"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62" w:lineRule="exact"/>
        <w:rPr>
          <w:rFonts w:ascii="Arial" w:cs="Arial" w:eastAsia="Arial" w:hAnsi="Arial"/>
          <w:sz w:val="18"/>
          <w:szCs w:val="18"/>
          <w:color w:val="auto"/>
        </w:rPr>
      </w:pPr>
    </w:p>
    <w:p>
      <w:pPr>
        <w:ind w:firstLine="428"/>
        <w:spacing w:after="0" w:line="277"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Investments held by a Person that becomes a Restricted Subsidiary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Investments were not acquired in contemplation of the acquisition of such Person;</w:t>
      </w:r>
    </w:p>
    <w:p>
      <w:pPr>
        <w:spacing w:after="0" w:line="62" w:lineRule="exact"/>
        <w:rPr>
          <w:rFonts w:ascii="Arial" w:cs="Arial" w:eastAsia="Arial" w:hAnsi="Arial"/>
          <w:sz w:val="18"/>
          <w:szCs w:val="18"/>
          <w:color w:val="auto"/>
        </w:rPr>
      </w:pPr>
    </w:p>
    <w:p>
      <w:pPr>
        <w:ind w:left="780" w:hanging="352"/>
        <w:spacing w:after="0"/>
        <w:tabs>
          <w:tab w:leader="none" w:pos="7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an Investment in an Unrestricted Subsidiary consisting solely of an Investment in another Unrestricted Subsidiary;</w:t>
      </w:r>
    </w:p>
    <w:p>
      <w:pPr>
        <w:spacing w:after="0" w:line="117" w:lineRule="exact"/>
        <w:rPr>
          <w:rFonts w:ascii="Arial" w:cs="Arial" w:eastAsia="Arial" w:hAnsi="Arial"/>
          <w:sz w:val="18"/>
          <w:szCs w:val="18"/>
          <w:color w:val="auto"/>
        </w:rPr>
      </w:pPr>
    </w:p>
    <w:p>
      <w:pPr>
        <w:ind w:right="320" w:firstLine="428"/>
        <w:spacing w:after="0" w:line="277"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pledges or deposits (x) with respect to leases or utilities provided to third parties in the ordinary course of business or (y) otherwise described in the definition of “Permitted Liens”;</w:t>
      </w:r>
    </w:p>
    <w:p>
      <w:pPr>
        <w:spacing w:after="0" w:line="62" w:lineRule="exact"/>
        <w:rPr>
          <w:rFonts w:ascii="Arial" w:cs="Arial" w:eastAsia="Arial" w:hAnsi="Arial"/>
          <w:sz w:val="18"/>
          <w:szCs w:val="18"/>
          <w:color w:val="auto"/>
        </w:rPr>
      </w:pPr>
    </w:p>
    <w:p>
      <w:pPr>
        <w:ind w:right="200" w:firstLine="428"/>
        <w:spacing w:after="0" w:line="277"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Investments (other than Permitted Investments) made with Excluded Contributions;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amount of Excluded Contributions made will not be included in the calculation of Section 4.07(a)(4)(C)(ii) hereof;</w:t>
      </w:r>
    </w:p>
    <w:p>
      <w:pPr>
        <w:spacing w:after="0" w:line="62" w:lineRule="exact"/>
        <w:rPr>
          <w:rFonts w:ascii="Arial" w:cs="Arial" w:eastAsia="Arial" w:hAnsi="Arial"/>
          <w:sz w:val="18"/>
          <w:szCs w:val="18"/>
          <w:color w:val="auto"/>
        </w:rPr>
      </w:pPr>
    </w:p>
    <w:p>
      <w:pPr>
        <w:ind w:right="360" w:firstLine="428"/>
        <w:spacing w:after="0" w:line="277"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arrangements with other Persons; and</w:t>
      </w:r>
    </w:p>
    <w:p>
      <w:pPr>
        <w:spacing w:after="0" w:line="62" w:lineRule="exact"/>
        <w:rPr>
          <w:rFonts w:ascii="Arial" w:cs="Arial" w:eastAsia="Arial" w:hAnsi="Arial"/>
          <w:sz w:val="18"/>
          <w:szCs w:val="18"/>
          <w:color w:val="auto"/>
        </w:rPr>
      </w:pPr>
    </w:p>
    <w:p>
      <w:pPr>
        <w:ind w:right="80" w:firstLine="428"/>
        <w:spacing w:after="0" w:line="264" w:lineRule="auto"/>
        <w:tabs>
          <w:tab w:leader="none" w:pos="768"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(24) under the Indenture that are at the time outstanding not to exceed US$5.0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80" w:hanging="252"/>
        <w:spacing w:after="0"/>
        <w:tabs>
          <w:tab w:leader="none" w:pos="6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Liens to secure Indebtedness permitted by Section 4.09(b)(1)(i)(x) and Section 4.09(b)(3)(a) hereof;</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(including any Additional Notes) or the Note Guarantees;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Liens in favor of the Company or the Subsidiary Guarantors;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354" w:name="page355"/>
    <w:bookmarkEnd w:id="354"/>
    <w:p>
      <w:pPr>
        <w:ind w:right="200" w:firstLine="428"/>
        <w:spacing w:after="0" w:line="312" w:lineRule="auto"/>
        <w:tabs>
          <w:tab w:leader="none" w:pos="678" w:val="left"/>
        </w:tabs>
        <w:numPr>
          <w:ilvl w:val="0"/>
          <w:numId w:val="4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on property of a Person existing at the time such Person is merged with or into or consolidated with the Company or any Subsidiary of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Liens were not created in connection with, or in contemplation of, such merger or consolidation and do not extend to any assets other than those of the Person merged into or consolidated with the Company or the Subsidiary;</w:t>
      </w:r>
    </w:p>
    <w:p>
      <w:pPr>
        <w:spacing w:after="0" w:line="38" w:lineRule="exact"/>
        <w:rPr>
          <w:rFonts w:ascii="Arial" w:cs="Arial" w:eastAsia="Arial" w:hAnsi="Arial"/>
          <w:sz w:val="16"/>
          <w:szCs w:val="16"/>
          <w:color w:val="auto"/>
        </w:rPr>
      </w:pPr>
    </w:p>
    <w:p>
      <w:pPr>
        <w:ind w:right="140" w:firstLine="428"/>
        <w:spacing w:after="0" w:line="308" w:lineRule="auto"/>
        <w:tabs>
          <w:tab w:leader="none" w:pos="678"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Liens on property (including Capital Stock) existing at the time of acquisition of the property by the Company or any Subsidiary of the Company;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Liens were in existence prior to, such acquisition, and not incurred in contemplation of, such acquisition;</w:t>
      </w:r>
    </w:p>
    <w:p>
      <w:pPr>
        <w:spacing w:after="0" w:line="38" w:lineRule="exact"/>
        <w:rPr>
          <w:rFonts w:ascii="Arial" w:cs="Arial" w:eastAsia="Arial" w:hAnsi="Arial"/>
          <w:sz w:val="17"/>
          <w:szCs w:val="17"/>
          <w:color w:val="auto"/>
        </w:rPr>
      </w:pPr>
    </w:p>
    <w:p>
      <w:pPr>
        <w:ind w:right="120" w:firstLine="428"/>
        <w:spacing w:after="0" w:line="302" w:lineRule="auto"/>
        <w:tabs>
          <w:tab w:leader="none" w:pos="678" w:val="left"/>
        </w:tabs>
        <w:numPr>
          <w:ilvl w:val="0"/>
          <w:numId w:val="478"/>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46" w:lineRule="exact"/>
        <w:rPr>
          <w:rFonts w:ascii="Arial" w:cs="Arial" w:eastAsia="Arial" w:hAnsi="Arial"/>
          <w:sz w:val="16"/>
          <w:szCs w:val="16"/>
          <w:color w:val="auto"/>
        </w:rPr>
      </w:pPr>
    </w:p>
    <w:p>
      <w:pPr>
        <w:ind w:right="200" w:firstLine="428"/>
        <w:spacing w:after="0" w:line="264" w:lineRule="auto"/>
        <w:tabs>
          <w:tab w:leader="none" w:pos="67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Section 4.09(b)(4) covering only the assets acquired with or financed by such Indebtedness and directly related assets such as proceeds (including insurance proceeds), improvements, replacements and substitutions thereto;</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jc w:val="both"/>
        <w:ind w:right="240" w:firstLine="428"/>
        <w:spacing w:after="0" w:line="264" w:lineRule="auto"/>
        <w:tabs>
          <w:tab w:leader="none" w:pos="67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is required in conformity with U.S. GAAP has been made therefor;</w:t>
      </w:r>
    </w:p>
    <w:p>
      <w:pPr>
        <w:spacing w:after="0" w:line="73" w:lineRule="exact"/>
        <w:rPr>
          <w:rFonts w:ascii="Arial" w:cs="Arial" w:eastAsia="Arial" w:hAnsi="Arial"/>
          <w:sz w:val="18"/>
          <w:szCs w:val="18"/>
          <w:color w:val="auto"/>
        </w:rPr>
      </w:pPr>
    </w:p>
    <w:p>
      <w:pPr>
        <w:ind w:right="380" w:firstLine="428"/>
        <w:spacing w:after="0" w:line="277" w:lineRule="auto"/>
        <w:tabs>
          <w:tab w:leader="none" w:pos="76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suppliers’ and mechanics’ Liens, in each case, incurred in the ordinary course of business;</w:t>
      </w:r>
    </w:p>
    <w:p>
      <w:pPr>
        <w:spacing w:after="0" w:line="62" w:lineRule="exact"/>
        <w:rPr>
          <w:rFonts w:ascii="Arial" w:cs="Arial" w:eastAsia="Arial" w:hAnsi="Arial"/>
          <w:sz w:val="18"/>
          <w:szCs w:val="18"/>
          <w:color w:val="auto"/>
        </w:rPr>
      </w:pPr>
    </w:p>
    <w:p>
      <w:pPr>
        <w:ind w:firstLine="428"/>
        <w:spacing w:after="0" w:line="259" w:lineRule="auto"/>
        <w:tabs>
          <w:tab w:leader="none" w:pos="761" w:val="left"/>
        </w:tabs>
        <w:numPr>
          <w:ilvl w:val="0"/>
          <w:numId w:val="478"/>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780" w:hanging="352"/>
        <w:spacing w:after="0"/>
        <w:tabs>
          <w:tab w:leader="none" w:pos="78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Liens to secure any Permitted Refinancing Indebtedness permitted to be Incurred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w:t>
      </w:r>
    </w:p>
    <w:p>
      <w:pPr>
        <w:spacing w:after="0" w:line="142" w:lineRule="exact"/>
        <w:rPr>
          <w:rFonts w:ascii="Arial" w:cs="Arial" w:eastAsia="Arial" w:hAnsi="Arial"/>
          <w:sz w:val="17"/>
          <w:szCs w:val="17"/>
          <w:color w:val="auto"/>
        </w:rPr>
      </w:pPr>
    </w:p>
    <w:p>
      <w:pPr>
        <w:ind w:left="1420" w:right="60" w:hanging="425"/>
        <w:spacing w:after="0" w:line="264" w:lineRule="auto"/>
        <w:tabs>
          <w:tab w:leader="none" w:pos="14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86" w:lineRule="exact"/>
        <w:rPr>
          <w:rFonts w:ascii="Arial" w:cs="Arial" w:eastAsia="Arial" w:hAnsi="Arial"/>
          <w:sz w:val="18"/>
          <w:szCs w:val="18"/>
          <w:color w:val="auto"/>
        </w:rPr>
      </w:pPr>
    </w:p>
    <w:p>
      <w:pPr>
        <w:ind w:left="1420" w:hanging="425"/>
        <w:spacing w:after="0" w:line="312" w:lineRule="auto"/>
        <w:tabs>
          <w:tab w:leader="none" w:pos="1420" w:val="left"/>
        </w:tabs>
        <w:numPr>
          <w:ilvl w:val="1"/>
          <w:numId w:val="478"/>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38" w:lineRule="exact"/>
        <w:rPr>
          <w:rFonts w:ascii="Arial" w:cs="Arial" w:eastAsia="Arial" w:hAnsi="Arial"/>
          <w:sz w:val="16"/>
          <w:szCs w:val="16"/>
          <w:color w:val="auto"/>
        </w:rPr>
      </w:pPr>
    </w:p>
    <w:p>
      <w:pPr>
        <w:ind w:right="320" w:firstLine="428"/>
        <w:spacing w:after="0" w:line="277" w:lineRule="auto"/>
        <w:tabs>
          <w:tab w:leader="none" w:pos="76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Liens securing Hedging Obligations so long as the related Indebtedness is, and is permitted to be under this Indenture, secured by a Lien on the same assets or property securing such Hedging Obligations;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355" w:name="page356"/>
    <w:bookmarkEnd w:id="355"/>
    <w:p>
      <w:pPr>
        <w:ind w:right="300" w:firstLine="428"/>
        <w:spacing w:after="0" w:line="288" w:lineRule="auto"/>
        <w:tabs>
          <w:tab w:leader="none" w:pos="768" w:val="left"/>
        </w:tabs>
        <w:numPr>
          <w:ilvl w:val="1"/>
          <w:numId w:val="4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that are contractual rights of set-off (i) relating to the establishment of depository relations with banks not given in connection with the money borrowed, (ii) relating to pooled deposit or sweep accounts of the Company or any of its Restricted Subsidiaries to permit satisfaction of overdraft or similar obligations incurred in the ordinary course of business of the Company and its Restricted Subsidiaries or</w:t>
      </w:r>
    </w:p>
    <w:p>
      <w:pPr>
        <w:ind w:right="460" w:firstLine="4"/>
        <w:spacing w:after="0" w:line="261" w:lineRule="auto"/>
        <w:tabs>
          <w:tab w:leader="none" w:pos="31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relating to purchase orders and other agreements entered into with customers of the Company or any of its Restricted Subsidiaries in the ordinary course of business;</w:t>
      </w:r>
    </w:p>
    <w:p>
      <w:pPr>
        <w:spacing w:after="0" w:line="75" w:lineRule="exact"/>
        <w:rPr>
          <w:rFonts w:ascii="Arial" w:cs="Arial" w:eastAsia="Arial" w:hAnsi="Arial"/>
          <w:sz w:val="18"/>
          <w:szCs w:val="18"/>
          <w:color w:val="auto"/>
        </w:rPr>
      </w:pPr>
    </w:p>
    <w:p>
      <w:pPr>
        <w:ind w:right="120" w:firstLine="428"/>
        <w:spacing w:after="0" w:line="264"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shall be required in conformity with U.S. GAAP shall have been made therefor;</w:t>
      </w:r>
    </w:p>
    <w:p>
      <w:pPr>
        <w:spacing w:after="0" w:line="73" w:lineRule="exact"/>
        <w:rPr>
          <w:rFonts w:ascii="Arial" w:cs="Arial" w:eastAsia="Arial" w:hAnsi="Arial"/>
          <w:sz w:val="18"/>
          <w:szCs w:val="18"/>
          <w:color w:val="auto"/>
        </w:rPr>
      </w:pPr>
    </w:p>
    <w:p>
      <w:pPr>
        <w:ind w:left="780" w:hanging="352"/>
        <w:spacing w:after="0"/>
        <w:tabs>
          <w:tab w:leader="none" w:pos="7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granted to the Trustee for its compensation and indemnities pursuant to this Indenture;</w:t>
      </w:r>
    </w:p>
    <w:p>
      <w:pPr>
        <w:spacing w:after="0" w:line="117" w:lineRule="exact"/>
        <w:rPr>
          <w:rFonts w:ascii="Arial" w:cs="Arial" w:eastAsia="Arial" w:hAnsi="Arial"/>
          <w:sz w:val="18"/>
          <w:szCs w:val="18"/>
          <w:color w:val="auto"/>
        </w:rPr>
      </w:pPr>
    </w:p>
    <w:p>
      <w:pPr>
        <w:ind w:right="100" w:firstLine="428"/>
        <w:spacing w:after="0" w:line="277"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62" w:lineRule="exact"/>
        <w:rPr>
          <w:rFonts w:ascii="Arial" w:cs="Arial" w:eastAsia="Arial" w:hAnsi="Arial"/>
          <w:sz w:val="18"/>
          <w:szCs w:val="18"/>
          <w:color w:val="auto"/>
        </w:rPr>
      </w:pPr>
    </w:p>
    <w:p>
      <w:pPr>
        <w:ind w:right="120" w:firstLine="428"/>
        <w:spacing w:after="0" w:line="264"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Company or any of its Restricted Subsidiaries securing obligations in respect of bankers’ acceptances issued or created to facilitate the purchase, shipment or storage of such inventory or other goods in the ordinary course of business;</w:t>
      </w:r>
    </w:p>
    <w:p>
      <w:pPr>
        <w:spacing w:after="0" w:line="73" w:lineRule="exact"/>
        <w:rPr>
          <w:rFonts w:ascii="Arial" w:cs="Arial" w:eastAsia="Arial" w:hAnsi="Arial"/>
          <w:sz w:val="18"/>
          <w:szCs w:val="18"/>
          <w:color w:val="auto"/>
        </w:rPr>
      </w:pPr>
    </w:p>
    <w:p>
      <w:pPr>
        <w:ind w:right="460" w:firstLine="428"/>
        <w:spacing w:after="0" w:line="277"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 for the sale of goods in the ordinary course of business;</w:t>
      </w:r>
    </w:p>
    <w:p>
      <w:pPr>
        <w:spacing w:after="0" w:line="62" w:lineRule="exact"/>
        <w:rPr>
          <w:rFonts w:ascii="Arial" w:cs="Arial" w:eastAsia="Arial" w:hAnsi="Arial"/>
          <w:sz w:val="18"/>
          <w:szCs w:val="18"/>
          <w:color w:val="auto"/>
        </w:rPr>
      </w:pPr>
    </w:p>
    <w:p>
      <w:pPr>
        <w:ind w:firstLine="428"/>
        <w:spacing w:after="0" w:line="259"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extend to any assets of the Company or any of its Restricted Subsidiaries other than the assets subject to such agreements or contracts;</w:t>
      </w:r>
    </w:p>
    <w:p>
      <w:pPr>
        <w:spacing w:after="0" w:line="78" w:lineRule="exact"/>
        <w:rPr>
          <w:rFonts w:ascii="Arial" w:cs="Arial" w:eastAsia="Arial" w:hAnsi="Arial"/>
          <w:sz w:val="18"/>
          <w:szCs w:val="18"/>
          <w:color w:val="auto"/>
        </w:rPr>
      </w:pPr>
    </w:p>
    <w:p>
      <w:pPr>
        <w:ind w:left="780" w:hanging="352"/>
        <w:spacing w:after="0"/>
        <w:tabs>
          <w:tab w:leader="none" w:pos="7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on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117" w:lineRule="exact"/>
        <w:rPr>
          <w:rFonts w:ascii="Arial" w:cs="Arial" w:eastAsia="Arial" w:hAnsi="Arial"/>
          <w:sz w:val="18"/>
          <w:szCs w:val="18"/>
          <w:color w:val="auto"/>
        </w:rPr>
      </w:pPr>
    </w:p>
    <w:p>
      <w:pPr>
        <w:ind w:right="560" w:firstLine="428"/>
        <w:spacing w:after="0" w:line="308" w:lineRule="auto"/>
        <w:tabs>
          <w:tab w:leader="none" w:pos="768" w:val="left"/>
        </w:tabs>
        <w:numPr>
          <w:ilvl w:val="1"/>
          <w:numId w:val="480"/>
        </w:numPr>
        <w:rPr>
          <w:rFonts w:ascii="Arial" w:cs="Arial" w:eastAsia="Arial" w:hAnsi="Arial"/>
          <w:sz w:val="17"/>
          <w:szCs w:val="17"/>
          <w:color w:val="auto"/>
        </w:rPr>
      </w:pPr>
      <w:r>
        <w:rPr>
          <w:rFonts w:ascii="Arial" w:cs="Arial" w:eastAsia="Arial" w:hAnsi="Arial"/>
          <w:sz w:val="17"/>
          <w:szCs w:val="17"/>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38" w:lineRule="exact"/>
        <w:rPr>
          <w:rFonts w:ascii="Arial" w:cs="Arial" w:eastAsia="Arial" w:hAnsi="Arial"/>
          <w:sz w:val="17"/>
          <w:szCs w:val="17"/>
          <w:color w:val="auto"/>
        </w:rPr>
      </w:pPr>
    </w:p>
    <w:p>
      <w:pPr>
        <w:ind w:right="760" w:firstLine="428"/>
        <w:spacing w:after="0" w:line="277"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any joint ventures which are not Restricted Subsidiaries of the Company securing obligations of such joint ventures;</w:t>
      </w:r>
    </w:p>
    <w:p>
      <w:pPr>
        <w:spacing w:after="0" w:line="62" w:lineRule="exact"/>
        <w:rPr>
          <w:rFonts w:ascii="Arial" w:cs="Arial" w:eastAsia="Arial" w:hAnsi="Arial"/>
          <w:sz w:val="18"/>
          <w:szCs w:val="18"/>
          <w:color w:val="auto"/>
        </w:rPr>
      </w:pPr>
    </w:p>
    <w:p>
      <w:pPr>
        <w:ind w:left="780" w:hanging="352"/>
        <w:spacing w:after="0"/>
        <w:tabs>
          <w:tab w:leader="none" w:pos="7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4.09(b)(17) hereof;</w:t>
      </w:r>
    </w:p>
    <w:p>
      <w:pPr>
        <w:spacing w:after="0" w:line="117" w:lineRule="exact"/>
        <w:rPr>
          <w:rFonts w:ascii="Arial" w:cs="Arial" w:eastAsia="Arial" w:hAnsi="Arial"/>
          <w:sz w:val="18"/>
          <w:szCs w:val="18"/>
          <w:color w:val="auto"/>
        </w:rPr>
      </w:pPr>
    </w:p>
    <w:p>
      <w:pPr>
        <w:ind w:right="40" w:firstLine="428"/>
        <w:spacing w:after="0" w:line="277"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US$5.0 million at any one time outstanding; and</w:t>
      </w:r>
    </w:p>
    <w:p>
      <w:pPr>
        <w:spacing w:after="0" w:line="62" w:lineRule="exact"/>
        <w:rPr>
          <w:rFonts w:ascii="Arial" w:cs="Arial" w:eastAsia="Arial" w:hAnsi="Arial"/>
          <w:sz w:val="18"/>
          <w:szCs w:val="18"/>
          <w:color w:val="auto"/>
        </w:rPr>
      </w:pPr>
    </w:p>
    <w:p>
      <w:pPr>
        <w:ind w:right="160" w:firstLine="428"/>
        <w:spacing w:after="0" w:line="259" w:lineRule="auto"/>
        <w:tabs>
          <w:tab w:leader="none" w:pos="768" w:val="left"/>
        </w:tabs>
        <w:numPr>
          <w:ilvl w:val="1"/>
          <w:numId w:val="480"/>
        </w:numPr>
        <w:rPr>
          <w:rFonts w:ascii="Arial" w:cs="Arial" w:eastAsia="Arial" w:hAnsi="Arial"/>
          <w:sz w:val="18"/>
          <w:szCs w:val="18"/>
          <w:color w:val="auto"/>
        </w:rPr>
      </w:pPr>
      <w:r>
        <w:rPr>
          <w:rFonts w:ascii="Arial" w:cs="Arial" w:eastAsia="Arial" w:hAnsi="Arial"/>
          <w:sz w:val="18"/>
          <w:szCs w:val="18"/>
          <w:color w:val="auto"/>
        </w:rPr>
        <w:t>Liens securing obligations under a debt service reserve account or interest reserve account (including all dividends, instruments, cash and Cash Equivalents and other property, as applicable, on deposit in such account) established for the benefit of creditors securing Indebtedness to the extent such debt service reserve account or interest reserve account is established in the ordinary course of business consistent with past practice.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3" w:right="439" w:bottom="1440" w:gutter="0" w:footer="0" w:header="0"/>
        </w:sectPr>
      </w:pPr>
    </w:p>
    <w:bookmarkStart w:id="356" w:name="page357"/>
    <w:bookmarkEnd w:id="356"/>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3" w:lineRule="exact"/>
        <w:rPr>
          <w:sz w:val="20"/>
          <w:szCs w:val="20"/>
          <w:color w:val="auto"/>
        </w:rPr>
      </w:pPr>
    </w:p>
    <w:p>
      <w:pPr>
        <w:jc w:val="both"/>
        <w:ind w:left="440" w:right="40" w:firstLine="428"/>
        <w:spacing w:after="0" w:line="286" w:lineRule="auto"/>
        <w:tabs>
          <w:tab w:leader="none" w:pos="111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57" w:lineRule="exact"/>
        <w:rPr>
          <w:rFonts w:ascii="Arial" w:cs="Arial" w:eastAsia="Arial" w:hAnsi="Arial"/>
          <w:sz w:val="17"/>
          <w:szCs w:val="17"/>
          <w:color w:val="auto"/>
        </w:rPr>
      </w:pPr>
    </w:p>
    <w:p>
      <w:pPr>
        <w:ind w:left="440" w:right="60" w:firstLine="428"/>
        <w:spacing w:after="0" w:line="264" w:lineRule="auto"/>
        <w:tabs>
          <w:tab w:leader="none" w:pos="1118" w:val="left"/>
        </w:tabs>
        <w:numPr>
          <w:ilvl w:val="0"/>
          <w:numId w:val="481"/>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73" w:lineRule="exact"/>
        <w:rPr>
          <w:rFonts w:ascii="Arial" w:cs="Arial" w:eastAsia="Arial" w:hAnsi="Arial"/>
          <w:sz w:val="18"/>
          <w:szCs w:val="18"/>
          <w:color w:val="auto"/>
        </w:rPr>
      </w:pPr>
    </w:p>
    <w:p>
      <w:pPr>
        <w:ind w:left="440" w:right="360" w:firstLine="428"/>
        <w:spacing w:after="0" w:line="302" w:lineRule="auto"/>
        <w:tabs>
          <w:tab w:leader="none" w:pos="1118" w:val="left"/>
        </w:tabs>
        <w:numPr>
          <w:ilvl w:val="0"/>
          <w:numId w:val="481"/>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defeased or discharged is subordinated in right of payment to the Notes or the Note Guarantees, such Permitted Refinancing Indebtedness has a final maturity date later than the final maturity date of, and is subordinated in right of payment to, the Notes and the Note Guarantees on terms at least as favorable to the Holders as those contained in the documentation governing the Indebtedness being renewed, refunded, refinanced, replaced, defeased or discharged; and</w:t>
      </w:r>
    </w:p>
    <w:p>
      <w:pPr>
        <w:spacing w:after="0" w:line="46" w:lineRule="exact"/>
        <w:rPr>
          <w:rFonts w:ascii="Arial" w:cs="Arial" w:eastAsia="Arial" w:hAnsi="Arial"/>
          <w:sz w:val="16"/>
          <w:szCs w:val="16"/>
          <w:color w:val="auto"/>
        </w:rPr>
      </w:pPr>
    </w:p>
    <w:p>
      <w:pPr>
        <w:ind w:left="440" w:right="480" w:firstLine="428"/>
        <w:spacing w:after="0" w:line="277" w:lineRule="auto"/>
        <w:tabs>
          <w:tab w:leader="none" w:pos="1118" w:val="left"/>
        </w:tabs>
        <w:numPr>
          <w:ilvl w:val="0"/>
          <w:numId w:val="481"/>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renewed, refunded, refinanced, replaced, defeased or discharged.</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w:t>
      </w:r>
      <w:r>
        <w:rPr>
          <w:rFonts w:ascii="Arial" w:cs="Arial" w:eastAsia="Arial" w:hAnsi="Arial"/>
          <w:sz w:val="18"/>
          <w:szCs w:val="18"/>
          <w:color w:val="auto"/>
        </w:rPr>
        <w:t>” means the approximately 477,110 gross square-meter complex on the Site which contains retail, hotel, gaming, entertainment, food and beverage outlets and entertainment studios and other facilities.</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development of the remainder of the Site, which is expected to include one or more types of Permitted Business and will be developed in accordance with the applicable governmental requirements regarding the Site.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Stock</w:t>
      </w:r>
      <w:r>
        <w:rPr>
          <w:rFonts w:ascii="Arial" w:cs="Arial" w:eastAsia="Arial" w:hAnsi="Arial"/>
          <w:sz w:val="17"/>
          <w:szCs w:val="17"/>
          <w:color w:val="auto"/>
        </w:rPr>
        <w:t>” means any Equity Interest with preferential right of payment of dividends or upon liquidation, dissolution, or winding up.</w:t>
      </w:r>
    </w:p>
    <w:p>
      <w:pPr>
        <w:spacing w:after="0" w:line="23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Pre-Opening Expenses</w:t>
      </w:r>
      <w:r>
        <w:rPr>
          <w:rFonts w:ascii="Arial" w:cs="Arial" w:eastAsia="Arial" w:hAnsi="Arial"/>
          <w:sz w:val="18"/>
          <w:szCs w:val="18"/>
          <w:color w:val="auto"/>
        </w:rPr>
        <w:t>” means, with respect to any fiscal period, the amount of expenses (other than interest expense) incurred with respect to capital projects that are classified as “pre-opening expenses” on the applicable financial statements of the Company and its Restricted Subsidiaries for such period, prepared in accordance with U.S. GAAP.</w:t>
      </w:r>
    </w:p>
    <w:p>
      <w:pPr>
        <w:spacing w:after="0" w:line="181" w:lineRule="exact"/>
        <w:rPr>
          <w:sz w:val="20"/>
          <w:szCs w:val="20"/>
          <w:color w:val="auto"/>
        </w:rPr>
      </w:pPr>
    </w:p>
    <w:p>
      <w:pPr>
        <w:jc w:val="both"/>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2.06(f)(1) hereof to be placed on all Notes issued under this Indenture except where otherwise permitted by the provisions of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Phase I and the Phase II Project.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57" w:name="page358"/>
    <w:bookmarkEnd w:id="357"/>
    <w:p>
      <w:pPr>
        <w:ind w:right="4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Regulation S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(subject to a maximum denomination of US$500 million) to the outstanding principal amount of the Notes sold in reliance on Rule 903 of Regulation S.</w:t>
      </w:r>
    </w:p>
    <w:p>
      <w:pPr>
        <w:spacing w:after="0" w:line="147"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Reinvestment Agreement</w:t>
      </w:r>
      <w:r>
        <w:rPr>
          <w:rFonts w:ascii="Arial" w:cs="Arial" w:eastAsia="Arial" w:hAnsi="Arial"/>
          <w:sz w:val="17"/>
          <w:szCs w:val="17"/>
          <w:color w:val="auto"/>
        </w:rPr>
        <w:t>” means the reimbursement agreement dated June 15, 2012, between Melco Resorts Macau and Studio City Entertainment Limited,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r>
        <w:rPr>
          <w:rFonts w:ascii="Arial" w:cs="Arial" w:eastAsia="Arial" w:hAnsi="Arial"/>
          <w:sz w:val="18"/>
          <w:szCs w:val="18"/>
          <w:i w:val="1"/>
          <w:iCs w:val="1"/>
          <w:color w:val="auto"/>
        </w:rPr>
        <w:t>:</w:t>
      </w:r>
    </w:p>
    <w:p>
      <w:pPr>
        <w:spacing w:after="0" w:line="225" w:lineRule="exact"/>
        <w:rPr>
          <w:sz w:val="20"/>
          <w:szCs w:val="20"/>
          <w:color w:val="auto"/>
        </w:rPr>
      </w:pPr>
    </w:p>
    <w:p>
      <w:pPr>
        <w:ind w:left="1120" w:hanging="252"/>
        <w:spacing w:after="0"/>
        <w:tabs>
          <w:tab w:leader="none" w:pos="11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controlling stockholder or majority-owned Subsidiary of Melco Resorts; or</w:t>
      </w:r>
    </w:p>
    <w:p>
      <w:pPr>
        <w:spacing w:after="0" w:line="117" w:lineRule="exact"/>
        <w:rPr>
          <w:rFonts w:ascii="Arial" w:cs="Arial" w:eastAsia="Arial" w:hAnsi="Arial"/>
          <w:sz w:val="18"/>
          <w:szCs w:val="18"/>
          <w:color w:val="auto"/>
        </w:rPr>
      </w:pPr>
    </w:p>
    <w:p>
      <w:pPr>
        <w:ind w:left="440" w:right="80" w:firstLine="428"/>
        <w:spacing w:after="0" w:line="264" w:lineRule="auto"/>
        <w:tabs>
          <w:tab w:leader="none" w:pos="1118"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Responsible Officer,</w:t>
      </w:r>
      <w:r>
        <w:rPr>
          <w:rFonts w:ascii="Arial" w:cs="Arial" w:eastAsia="Arial" w:hAnsi="Arial"/>
          <w:sz w:val="17"/>
          <w:szCs w:val="17"/>
          <w:color w:val="auto"/>
        </w:rPr>
        <w:t>” when used with respect to the Trustee, means any officer within the Corporate Trust Office of the Trustee (or any successor group of the Trustee) with direct responsibility for the administration of this Indenture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Sharing Agreement</w:t>
      </w:r>
      <w:r>
        <w:rPr>
          <w:rFonts w:ascii="Arial" w:cs="Arial" w:eastAsia="Arial" w:hAnsi="Arial"/>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58" w:name="page359"/>
    <w:bookmarkEnd w:id="35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United States Securities Act of 1933, as amended, and the rules and regulations of the SEC promulgated thereunder.</w:t>
      </w:r>
    </w:p>
    <w:p>
      <w:pPr>
        <w:spacing w:after="0" w:line="24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means the amended and restated senior secured credit facilities dated November 30, 2016 among Studio City Company Limited, the guarantors named therein, the financial institutions named as lenders therein and the agent for such lenders, including any related notes, guarantees, collateral documents, instruments and agreements executed in connection therewith, as such facilities may be amended, restated, modified, renewed, supplemented, replaced or refinanced from time to time.</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Services and Right to Use Agreement</w:t>
      </w:r>
      <w:r>
        <w:rPr>
          <w:rFonts w:ascii="Arial" w:cs="Arial" w:eastAsia="Arial" w:hAnsi="Arial"/>
          <w:sz w:val="18"/>
          <w:szCs w:val="18"/>
          <w:color w:val="auto"/>
        </w:rPr>
        <w:t>” means the services and right to use agreement originally dated May 11, 2007 and as amended and restated on June 15, 2012, executed with Studio City Entertainment Limited (formerly named MSC Diversões, Limitada and New Cotai Entertainment (Macau) Limited), a wholly owned indirect subsidiary of the Company,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SGX-ST</w:t>
      </w:r>
      <w:r>
        <w:rPr>
          <w:rFonts w:ascii="Arial" w:cs="Arial" w:eastAsia="Arial" w:hAnsi="Arial"/>
          <w:sz w:val="18"/>
          <w:szCs w:val="18"/>
          <w:color w:val="auto"/>
        </w:rPr>
        <w:t>” means the Singapore Exchange Securities Trading Limited or its successor.</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Subordinated Debt</w:t>
      </w:r>
      <w:r>
        <w:rPr>
          <w:rFonts w:ascii="Arial" w:cs="Arial" w:eastAsia="Arial" w:hAnsi="Arial"/>
          <w:sz w:val="18"/>
          <w:szCs w:val="18"/>
          <w:color w:val="auto"/>
        </w:rPr>
        <w:t xml:space="preserve">” means, collectively, any debt provided to the Company by any direct or indirect parent holding company of the Company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Shareholder Subordinated Debt:</w:t>
      </w:r>
    </w:p>
    <w:p>
      <w:pPr>
        <w:spacing w:after="0" w:line="79" w:lineRule="exact"/>
        <w:rPr>
          <w:sz w:val="20"/>
          <w:szCs w:val="20"/>
          <w:color w:val="auto"/>
        </w:rPr>
      </w:pPr>
    </w:p>
    <w:p>
      <w:pPr>
        <w:jc w:val="both"/>
        <w:ind w:left="440" w:right="100" w:firstLine="428"/>
        <w:spacing w:after="0" w:line="286" w:lineRule="auto"/>
        <w:tabs>
          <w:tab w:leader="none" w:pos="1118" w:val="left"/>
        </w:tabs>
        <w:numPr>
          <w:ilvl w:val="0"/>
          <w:numId w:val="483"/>
        </w:numPr>
        <w:rPr>
          <w:rFonts w:ascii="Arial" w:cs="Arial" w:eastAsia="Arial" w:hAnsi="Arial"/>
          <w:sz w:val="17"/>
          <w:szCs w:val="17"/>
          <w:color w:val="auto"/>
        </w:rPr>
      </w:pPr>
      <w:r>
        <w:rPr>
          <w:rFonts w:ascii="Arial" w:cs="Arial" w:eastAsia="Arial" w:hAnsi="Arial"/>
          <w:sz w:val="17"/>
          <w:szCs w:val="17"/>
          <w:color w:val="auto"/>
        </w:rPr>
        <w:t>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Company (other than Disqualified Stock) or for any other security or instrument meeting the requirements of the definition);</w:t>
      </w:r>
    </w:p>
    <w:p>
      <w:pPr>
        <w:spacing w:after="0" w:line="57" w:lineRule="exact"/>
        <w:rPr>
          <w:rFonts w:ascii="Arial" w:cs="Arial" w:eastAsia="Arial" w:hAnsi="Arial"/>
          <w:sz w:val="17"/>
          <w:szCs w:val="17"/>
          <w:color w:val="auto"/>
        </w:rPr>
      </w:pPr>
    </w:p>
    <w:p>
      <w:pPr>
        <w:ind w:left="440" w:right="40" w:firstLine="428"/>
        <w:spacing w:after="0" w:line="277" w:lineRule="auto"/>
        <w:tabs>
          <w:tab w:leader="none" w:pos="111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require the payment of cash interest prior to the first anniversary of the maturity of the Notes;</w:t>
      </w:r>
    </w:p>
    <w:p>
      <w:pPr>
        <w:spacing w:after="0" w:line="62" w:lineRule="exact"/>
        <w:rPr>
          <w:rFonts w:ascii="Arial" w:cs="Arial" w:eastAsia="Arial" w:hAnsi="Arial"/>
          <w:sz w:val="18"/>
          <w:szCs w:val="18"/>
          <w:color w:val="auto"/>
        </w:rPr>
      </w:pPr>
    </w:p>
    <w:p>
      <w:pPr>
        <w:jc w:val="both"/>
        <w:ind w:left="440" w:right="60" w:firstLine="428"/>
        <w:spacing w:after="0" w:line="264" w:lineRule="auto"/>
        <w:tabs>
          <w:tab w:leader="none" w:pos="111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73" w:lineRule="exact"/>
        <w:rPr>
          <w:rFonts w:ascii="Arial" w:cs="Arial" w:eastAsia="Arial" w:hAnsi="Arial"/>
          <w:sz w:val="18"/>
          <w:szCs w:val="18"/>
          <w:color w:val="auto"/>
        </w:rPr>
      </w:pPr>
    </w:p>
    <w:p>
      <w:pPr>
        <w:ind w:left="440" w:right="740" w:firstLine="428"/>
        <w:spacing w:after="0" w:line="277" w:lineRule="auto"/>
        <w:tabs>
          <w:tab w:leader="none" w:pos="111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is not secured by a Lien on any assets of the Company or a Restricted Subsidiary of the Company and is not guaranteed by any Subsidiary of the Company;</w:t>
      </w:r>
    </w:p>
    <w:p>
      <w:pPr>
        <w:spacing w:after="0" w:line="62" w:lineRule="exact"/>
        <w:rPr>
          <w:rFonts w:ascii="Arial" w:cs="Arial" w:eastAsia="Arial" w:hAnsi="Arial"/>
          <w:sz w:val="18"/>
          <w:szCs w:val="18"/>
          <w:color w:val="auto"/>
        </w:rPr>
      </w:pPr>
    </w:p>
    <w:p>
      <w:pPr>
        <w:ind w:left="440" w:right="1020" w:firstLine="428"/>
        <w:spacing w:after="0" w:line="277" w:lineRule="auto"/>
        <w:tabs>
          <w:tab w:leader="none" w:pos="111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is subordinated in right of payment to the prior payment in full in cash of the Notes in the event of any default, bankruptcy, reorganization, liquidation, winding up or other disposition of assets of the Company;</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restrict the payment of amounts due in respect of the Notes or compliance by the Company with its obligations under the Notes, the Note Guarantees, and this Indenture;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does not (including upon the happening of an event) constitute Voting Stock; and</w:t>
      </w:r>
    </w:p>
    <w:p>
      <w:pPr>
        <w:spacing w:after="0" w:line="117"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483"/>
        </w:numPr>
        <w:rPr>
          <w:rFonts w:ascii="Arial" w:cs="Arial" w:eastAsia="Arial" w:hAnsi="Arial"/>
          <w:sz w:val="18"/>
          <w:szCs w:val="18"/>
          <w:color w:val="auto"/>
        </w:rPr>
      </w:pPr>
      <w:r>
        <w:rPr>
          <w:rFonts w:ascii="Arial" w:cs="Arial" w:eastAsia="Arial" w:hAnsi="Arial"/>
          <w:sz w:val="18"/>
          <w:szCs w:val="18"/>
          <w:color w:val="auto"/>
        </w:rPr>
        <w:t>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59" w:name="page360"/>
    <w:bookmarkEnd w:id="359"/>
    <w:p>
      <w:pPr>
        <w:ind w:right="4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Site</w:t>
      </w:r>
      <w:r>
        <w:rPr>
          <w:rFonts w:ascii="Arial" w:cs="Arial" w:eastAsia="Arial" w:hAnsi="Arial"/>
          <w:sz w:val="18"/>
          <w:szCs w:val="18"/>
          <w:color w:val="auto"/>
        </w:rPr>
        <w:t>” means an approximately 130,789 square meter parcel of land in the reclaimed area between Taipa and Coloane Island (Cotai), Lotes G300, G310 and G400, registered with the Macau Real Estate Registry under no. 23059.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Put Option Triggering Event</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28"/>
        <w:spacing w:after="0" w:line="259" w:lineRule="auto"/>
        <w:tabs>
          <w:tab w:leader="none" w:pos="1118"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event after which the Gaming License or other permits or authorizations as are necessary for the operation of the Studio City Casino in substantially the same manner and scope as operations are conducted at the Issue Date cease to be in full force and effect, for a period of ten consecutive days or more, and such event has a material adverse effect on the financial condition, business, properties, or results of operations of the Company and its Subsidiaries, taken as a whole; or</w:t>
      </w:r>
    </w:p>
    <w:p>
      <w:pPr>
        <w:spacing w:after="0" w:line="78" w:lineRule="exact"/>
        <w:rPr>
          <w:rFonts w:ascii="Arial" w:cs="Arial" w:eastAsia="Arial" w:hAnsi="Arial"/>
          <w:sz w:val="18"/>
          <w:szCs w:val="18"/>
          <w:color w:val="auto"/>
        </w:rPr>
      </w:pPr>
    </w:p>
    <w:p>
      <w:pPr>
        <w:ind w:left="440" w:firstLine="428"/>
        <w:spacing w:after="0" w:line="257" w:lineRule="auto"/>
        <w:tabs>
          <w:tab w:leader="none" w:pos="1118" w:val="left"/>
        </w:tabs>
        <w:numPr>
          <w:ilvl w:val="0"/>
          <w:numId w:val="484"/>
        </w:numPr>
        <w:rPr>
          <w:rFonts w:ascii="Arial" w:cs="Arial" w:eastAsia="Arial" w:hAnsi="Arial"/>
          <w:sz w:val="18"/>
          <w:szCs w:val="18"/>
          <w:color w:val="auto"/>
        </w:rPr>
      </w:pPr>
      <w:r>
        <w:rPr>
          <w:rFonts w:ascii="Arial" w:cs="Arial" w:eastAsia="Arial" w:hAnsi="Arial"/>
          <w:sz w:val="18"/>
          <w:szCs w:val="18"/>
          <w:color w:val="auto"/>
        </w:rPr>
        <w:t xml:space="preserve">the termination, rescission, revocation or modification of any Gaming License which has had a material adverse effect on the financial condition, business, properties, or results of operations of the Company and its Subsidiaries, taken as a whole, excluding any termination or rescission resulting from or in connection with any renewal, tender or other process conducted by the government of Macau in connection with the granting or renewal of any Gaming License;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renewal, tender or other process results in the granting or renewal of the relevant Gaming License.</w:t>
      </w:r>
    </w:p>
    <w:p>
      <w:pPr>
        <w:spacing w:after="0" w:line="188"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xml:space="preserve"> ”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Casino</w:t>
      </w:r>
      <w:r>
        <w:rPr>
          <w:rFonts w:ascii="Arial" w:cs="Arial" w:eastAsia="Arial" w:hAnsi="Arial"/>
          <w:sz w:val="18"/>
          <w:szCs w:val="18"/>
          <w:color w:val="auto"/>
        </w:rPr>
        <w:t>” means any casino, gaming business or activities conducted at the Site.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Studio City International</w:t>
      </w:r>
      <w:r>
        <w:rPr>
          <w:rFonts w:ascii="Arial" w:cs="Arial" w:eastAsia="Arial" w:hAnsi="Arial"/>
          <w:sz w:val="18"/>
          <w:szCs w:val="18"/>
          <w:color w:val="auto"/>
        </w:rPr>
        <w:t>” means Studio City International Holdings Limited, an exempted company incorporated with limited liability under the laws of the British Virgin Island.</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Parties</w:t>
      </w:r>
      <w:r>
        <w:rPr>
          <w:rFonts w:ascii="Arial" w:cs="Arial" w:eastAsia="Arial" w:hAnsi="Arial"/>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Subordinated Indebtedness</w:t>
      </w:r>
      <w:r>
        <w:rPr>
          <w:rFonts w:ascii="Arial" w:cs="Arial" w:eastAsia="Arial" w:hAnsi="Arial"/>
          <w:sz w:val="17"/>
          <w:szCs w:val="17"/>
          <w:color w:val="auto"/>
        </w:rPr>
        <w:t>” means (a) with respect to the Company, any Indebtedness of the Company which is by its terms subordinated in right of payment to the Notes, and (b) with respect to any Subsidiary Guarantor, any Indebtedness of such Subsidiary Guarantor which is by its terms subordinated in right of payment to such Subsidiary Guarantor’s Obligations in respect of its Note Guarantee.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right="20" w:firstLine="428"/>
        <w:spacing w:after="0" w:line="286" w:lineRule="auto"/>
        <w:tabs>
          <w:tab w:leader="none" w:pos="1118" w:val="left"/>
        </w:tabs>
        <w:numPr>
          <w:ilvl w:val="0"/>
          <w:numId w:val="486"/>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60" w:name="page361"/>
    <w:bookmarkEnd w:id="360"/>
    <w:p>
      <w:pPr>
        <w:ind w:left="1120" w:hanging="252"/>
        <w:spacing w:after="0"/>
        <w:tabs>
          <w:tab w:leader="none" w:pos="1120" w:val="left"/>
        </w:tabs>
        <w:numPr>
          <w:ilvl w:val="1"/>
          <w:numId w:val="4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w:t>
      </w:r>
      <w:r>
        <w:rPr>
          <w:rFonts w:ascii="Arial" w:cs="Arial" w:eastAsia="Arial" w:hAnsi="Arial"/>
          <w:sz w:val="17"/>
          <w:szCs w:val="17"/>
          <w:color w:val="auto"/>
        </w:rPr>
        <w:t xml:space="preserve"> ” means each of (1) Studio City Investments Limited, Studio City Company Limited, Studio City Holdings Two Limited, Studio City Holdings Three Limited, Studio City Holdings Four Limited, Studio City Entertainment Limited, Studio City Services Limited, Studio City Hotels Limited, SCP Holdings Limited, Studio City Hospitality and Services Limited, SCIP Holdings Limited, SCP One Limited, SCP Two Limited, Studio City Developments Limited, Studio City Retail Services Limited and Studio City (HK) Two Limited and (2) any other Subsidiary of the Company that provides a Note Guarantee in accordance with the provisions of this Indenture, and their respective successors and assigns, in each case, until the Note Guarantee of such Person has been released in accordance with the provisions of this Indenture.</w:t>
      </w:r>
    </w:p>
    <w:p>
      <w:pPr>
        <w:spacing w:after="0" w:line="17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as of any date, the consolidated total assets of the Company and its Restricted Subsidiaries in accordance with U.S. GAAP as shown on the most recent balance sheet of such Person.</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offering of the Notes and the offer to purchase and/or redemption, as the case may be, of the 2020 Notes as described in the Offering Memorandum.</w:t>
      </w:r>
    </w:p>
    <w:p>
      <w:pPr>
        <w:spacing w:after="0" w:line="170"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as of any redemption date, the yield to maturity as of such redemption date of United States Treasury securities with a constant maturity (as compiled and published in the most recent Federal Reserve Statistical Release H. 15 (519) that has become publicly available at least two business days prior to the redemption date (or, if such Statistical Release is no longer published, any publicly available source of similar market data)) most nearly equal to the period from the redemption date to February 11, 2021; provided, however, that if the period from the redemption date to February 11, 2021 is less than one year, the weekly average yield on actually traded United States Treasury securities adjusted to a constant maturity of one year will be used.</w:t>
      </w:r>
    </w:p>
    <w:p>
      <w:pPr>
        <w:spacing w:after="0" w:line="193"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Deutsche Bank Trust Company Americas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of the Company as an Unrestricted Subsidiary pursuant to a resolution of the Board of Directors, but only to the extent that such Subsidiary:</w:t>
      </w:r>
    </w:p>
    <w:p>
      <w:pPr>
        <w:spacing w:after="0" w:line="62" w:lineRule="exact"/>
        <w:rPr>
          <w:sz w:val="20"/>
          <w:szCs w:val="20"/>
          <w:color w:val="auto"/>
        </w:rPr>
      </w:pPr>
    </w:p>
    <w:p>
      <w:pPr>
        <w:ind w:left="1120" w:hanging="252"/>
        <w:spacing w:after="0"/>
        <w:tabs>
          <w:tab w:leader="none" w:pos="112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440" w:firstLine="428"/>
        <w:spacing w:after="0" w:line="312" w:lineRule="auto"/>
        <w:tabs>
          <w:tab w:leader="none" w:pos="1118" w:val="left"/>
        </w:tabs>
        <w:numPr>
          <w:ilvl w:val="1"/>
          <w:numId w:val="489"/>
        </w:numPr>
        <w:rPr>
          <w:rFonts w:ascii="Arial" w:cs="Arial" w:eastAsia="Arial" w:hAnsi="Arial"/>
          <w:sz w:val="16"/>
          <w:szCs w:val="16"/>
          <w:color w:val="auto"/>
        </w:rPr>
      </w:pPr>
      <w:r>
        <w:rPr>
          <w:rFonts w:ascii="Arial" w:cs="Arial" w:eastAsia="Arial" w:hAnsi="Arial"/>
          <w:sz w:val="16"/>
          <w:szCs w:val="16"/>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38" w:lineRule="exact"/>
        <w:rPr>
          <w:rFonts w:ascii="Arial" w:cs="Arial" w:eastAsia="Arial" w:hAnsi="Arial"/>
          <w:sz w:val="16"/>
          <w:szCs w:val="16"/>
          <w:color w:val="auto"/>
        </w:rPr>
      </w:pPr>
    </w:p>
    <w:p>
      <w:pPr>
        <w:jc w:val="both"/>
        <w:ind w:left="440" w:right="220" w:firstLine="428"/>
        <w:spacing w:after="0" w:line="264" w:lineRule="auto"/>
        <w:tabs>
          <w:tab w:leader="none" w:pos="1118"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361" w:name="page362"/>
    <w:bookmarkEnd w:id="361"/>
    <w:p>
      <w:pPr>
        <w:ind w:left="440" w:right="680" w:firstLine="428"/>
        <w:spacing w:after="0" w:line="277" w:lineRule="auto"/>
        <w:tabs>
          <w:tab w:leader="none" w:pos="1118" w:val="left"/>
        </w:tabs>
        <w:numPr>
          <w:ilvl w:val="0"/>
          <w:numId w:val="4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w:t>
      </w:r>
    </w:p>
    <w:p>
      <w:pPr>
        <w:spacing w:after="0" w:line="117" w:lineRule="exact"/>
        <w:rPr>
          <w:sz w:val="20"/>
          <w:szCs w:val="20"/>
          <w:color w:val="auto"/>
        </w:rPr>
      </w:pPr>
    </w:p>
    <w:p>
      <w:pPr>
        <w:ind w:left="1120" w:hanging="252"/>
        <w:spacing w:after="0"/>
        <w:tabs>
          <w:tab w:leader="none" w:pos="11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117" w:lineRule="exact"/>
        <w:rPr>
          <w:rFonts w:ascii="Arial" w:cs="Arial" w:eastAsia="Arial" w:hAnsi="Arial"/>
          <w:sz w:val="18"/>
          <w:szCs w:val="18"/>
          <w:color w:val="auto"/>
        </w:rPr>
      </w:pPr>
    </w:p>
    <w:p>
      <w:pPr>
        <w:ind w:left="440" w:firstLine="428"/>
        <w:spacing w:after="0" w:line="308" w:lineRule="auto"/>
        <w:tabs>
          <w:tab w:leader="none" w:pos="1118" w:val="left"/>
        </w:tabs>
        <w:numPr>
          <w:ilvl w:val="0"/>
          <w:numId w:val="491"/>
        </w:numPr>
        <w:rPr>
          <w:rFonts w:ascii="Arial" w:cs="Arial" w:eastAsia="Arial" w:hAnsi="Arial"/>
          <w:sz w:val="17"/>
          <w:szCs w:val="17"/>
          <w:color w:val="auto"/>
        </w:rPr>
      </w:pPr>
      <w:r>
        <w:rPr>
          <w:rFonts w:ascii="Arial" w:cs="Arial" w:eastAsia="Arial" w:hAnsi="Arial"/>
          <w:sz w:val="17"/>
          <w:szCs w:val="17"/>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47"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 xml:space="preserve">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depository receipt from any amount received by the custodian in respect of the U.S. Government Obligations or the specific payment of principal of or interest on the U.S. Government Obligations evidenced by such depository receipt.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440" w:right="40" w:firstLine="428"/>
        <w:spacing w:after="0" w:line="264" w:lineRule="auto"/>
        <w:tabs>
          <w:tab w:leader="none" w:pos="111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is any Wholly-Owned Subsidiary that is a Restricted Subsidiary.</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252" w:lineRule="exact"/>
        <w:rPr>
          <w:sz w:val="20"/>
          <w:szCs w:val="20"/>
          <w:color w:val="auto"/>
        </w:rPr>
      </w:pPr>
    </w:p>
    <w:tbl>
      <w:tblPr>
        <w:tblLayout w:type="fixed"/>
        <w:tblInd w:w="1780" w:type="dxa"/>
        <w:tblCellMar>
          <w:top w:w="0" w:type="dxa"/>
          <w:left w:w="0" w:type="dxa"/>
          <w:bottom w:w="0" w:type="dxa"/>
          <w:right w:w="0" w:type="dxa"/>
        </w:tblCellMar>
      </w:tblPr>
      <w:tr>
        <w:trPr>
          <w:trHeight w:val="225"/>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4960" w:type="dxa"/>
            <w:vAlign w:val="bottom"/>
            <w:vMerge w:val="restart"/>
          </w:tcPr>
          <w:p>
            <w:pPr>
              <w:spacing w:after="0"/>
              <w:rPr>
                <w:sz w:val="19"/>
                <w:szCs w:val="19"/>
                <w:color w:val="auto"/>
              </w:rPr>
            </w:pPr>
          </w:p>
        </w:tc>
        <w:tc>
          <w:tcPr>
            <w:tcW w:w="2200" w:type="dxa"/>
            <w:vAlign w:val="bottom"/>
            <w:gridSpan w:val="3"/>
          </w:tcPr>
          <w:p>
            <w:pPr>
              <w:jc w:val="center"/>
              <w:ind w:left="1230"/>
              <w:spacing w:after="0"/>
              <w:rPr>
                <w:sz w:val="20"/>
                <w:szCs w:val="20"/>
                <w:color w:val="auto"/>
              </w:rPr>
            </w:pPr>
            <w:r>
              <w:rPr>
                <w:rFonts w:ascii="Arial" w:cs="Arial" w:eastAsia="Arial" w:hAnsi="Arial"/>
                <w:sz w:val="18"/>
                <w:szCs w:val="18"/>
                <w:color w:val="auto"/>
                <w:w w:val="93"/>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1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Subsidiary Guarantor Enforcement Sale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parent companies</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Guaranteed Obligations</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Amount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Period</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Jurisdiction</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Put Option Offer”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“Special Put Option Payment”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20" w:hanging="252"/>
        <w:spacing w:after="0"/>
        <w:tabs>
          <w:tab w:leader="none" w:pos="11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U.S. GAAP;</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63" w:name="page364"/>
    <w:bookmarkEnd w:id="36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p>
      <w:pPr>
        <w:spacing w:after="0" w:line="117" w:lineRule="exact"/>
        <w:rPr>
          <w:sz w:val="20"/>
          <w:szCs w:val="20"/>
          <w:color w:val="auto"/>
        </w:rPr>
      </w:pPr>
    </w:p>
    <w:p>
      <w:pPr>
        <w:ind w:right="40" w:firstLine="444"/>
        <w:spacing w:after="0" w:line="264" w:lineRule="auto"/>
        <w:tabs>
          <w:tab w:leader="none" w:pos="685" w:val="left"/>
        </w:tabs>
        <w:numPr>
          <w:ilvl w:val="0"/>
          <w:numId w:val="49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will be dated the date of its authentication. The Notes shall be in denominations of US$200,000 and integral multiples of US$1,000 in excess thereof.</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9" w:lineRule="exact"/>
        <w:rPr>
          <w:sz w:val="20"/>
          <w:szCs w:val="20"/>
          <w:color w:val="auto"/>
        </w:rPr>
      </w:pPr>
    </w:p>
    <w:p>
      <w:pPr>
        <w:ind w:firstLine="444"/>
        <w:spacing w:after="0" w:line="290" w:lineRule="auto"/>
        <w:tabs>
          <w:tab w:leader="none" w:pos="695" w:val="left"/>
        </w:tabs>
        <w:numPr>
          <w:ilvl w:val="0"/>
          <w:numId w:val="495"/>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 thereon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Paying Agent, Trustee or the Registrar, at the direction of the Trustee, in accordance with instructions given by the Holder thereof as required by Section 2.06 hereof.</w:t>
      </w:r>
    </w:p>
    <w:p>
      <w:pPr>
        <w:spacing w:after="0" w:line="58" w:lineRule="exact"/>
        <w:rPr>
          <w:rFonts w:ascii="Arial" w:cs="Arial" w:eastAsia="Arial" w:hAnsi="Arial"/>
          <w:sz w:val="16"/>
          <w:szCs w:val="16"/>
          <w:color w:val="auto"/>
        </w:rPr>
      </w:pPr>
    </w:p>
    <w:p>
      <w:pPr>
        <w:ind w:right="200" w:firstLine="444"/>
        <w:spacing w:after="0" w:line="259" w:lineRule="auto"/>
        <w:tabs>
          <w:tab w:leader="none" w:pos="685" w:val="left"/>
        </w:tabs>
        <w:numPr>
          <w:ilvl w:val="0"/>
          <w:numId w:val="495"/>
        </w:numPr>
        <w:rPr>
          <w:rFonts w:ascii="Arial" w:cs="Arial" w:eastAsia="Arial" w:hAnsi="Arial"/>
          <w:sz w:val="18"/>
          <w:szCs w:val="18"/>
          <w:color w:val="auto"/>
        </w:rPr>
      </w:pPr>
      <w:r>
        <w:rPr>
          <w:rFonts w:ascii="Arial" w:cs="Arial" w:eastAsia="Arial" w:hAnsi="Arial"/>
          <w:sz w:val="18"/>
          <w:szCs w:val="18"/>
          <w:i w:val="1"/>
          <w:iCs w:val="1"/>
          <w:color w:val="auto"/>
        </w:rPr>
        <w:t xml:space="preserve">Euroclear and Clearstream, Luxembourg Procedures Applicable. </w:t>
      </w:r>
      <w:r>
        <w:rPr>
          <w:rFonts w:ascii="Arial" w:cs="Arial" w:eastAsia="Arial" w:hAnsi="Arial"/>
          <w:sz w:val="18"/>
          <w:szCs w:val="18"/>
          <w:color w:val="auto"/>
        </w:rPr>
        <w:t>The provisions of the “Operating Procedures of the Euroclear System”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Governing Use of Euroclear” and the “General Terms and Conditions—Clearstream Banking, Luxembourg” and “Customer Handbook” of Clearstream, Luxembourg will be applicable to transfers of beneficial interests in the Regulation S Global Note that are held by Participants through Euroclear or Clearstream, Luxembourg.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 xml:space="preserve">The Company may issue additional notes under the Indenture from time to time after the Issue Date. Any issuance of Additional Notes shall be subject to all of the covenants described under Article 4 of this Indenture, including Section 4.09 hereof. The Notes and any Additional Notes subsequently issued under this Indenture will be treated as a single class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Additional Notes are not fungible with the Notes for U.S. federal income tax purposes, such Additional Notes will have a separate CUSIP, ISIN or other identifying number.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364" w:name="page365"/>
    <w:bookmarkEnd w:id="364"/>
    <w:p>
      <w:pPr>
        <w:jc w:val="both"/>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will, upon receipt of a written order of the Company signed by an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87" w:lineRule="exact"/>
        <w:rPr>
          <w:sz w:val="20"/>
          <w:szCs w:val="20"/>
          <w:color w:val="auto"/>
        </w:rPr>
      </w:pPr>
    </w:p>
    <w:p>
      <w:pPr>
        <w:jc w:val="both"/>
        <w:ind w:right="400" w:firstLine="441"/>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Paying Agent and Transfer Agent.</w:t>
      </w:r>
    </w:p>
    <w:p>
      <w:pPr>
        <w:spacing w:after="0" w:line="117"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 xml:space="preserve">The Company will maintain an office or agency where Notes may be presented for registration of transfer or for exchange (“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Company will also maintain a transfer agent (the “</w:t>
      </w:r>
      <w:r>
        <w:rPr>
          <w:rFonts w:ascii="Arial" w:cs="Arial" w:eastAsia="Arial" w:hAnsi="Arial"/>
          <w:sz w:val="16"/>
          <w:szCs w:val="16"/>
          <w:i w:val="1"/>
          <w:iCs w:val="1"/>
          <w:color w:val="auto"/>
        </w:rPr>
        <w:t>Transfer Agent</w:t>
      </w:r>
      <w:r>
        <w:rPr>
          <w:rFonts w:ascii="Arial" w:cs="Arial" w:eastAsia="Arial" w:hAnsi="Arial"/>
          <w:sz w:val="16"/>
          <w:szCs w:val="16"/>
          <w:color w:val="auto"/>
        </w:rPr>
        <w:t>”). The Registrar will keep a register of the Notes and of their transfer and exchange. The Transfer Agent shall perform the functions of a transfer agent. The Company may appoint one or more co-registrars, one or more additional transfer agents and one or more additional paying agents. The term “Registrar” includes any co-registrar and the term “Paying Agent” includes any additional paying agent. The Company may change any Paying Agent, the Transfer Agent or Registrar without notice to any Holder and shall so notify the Trustee and each Paying Agent thereof in writing of the name and address of any Agent not a party to this Indenture. If the Company fails to appoint or maintain another entity as Registrar, Transfer Agent or Paying Agent, the Trustee shall act as such. The Company or any of its Subsidiaries may act as Paying Agent or Registrar.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Company initially appoints Deutsche Bank Trust Company Americas to act as the Registrar, Transfer Agent and Paying Agent and to act as Custodian, with respect to the Global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Paying Agent to Hold Money in Trust.</w:t>
      </w:r>
    </w:p>
    <w:p>
      <w:pPr>
        <w:spacing w:after="0" w:line="117"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Holder Lists.</w:t>
      </w:r>
    </w:p>
    <w:p>
      <w:pPr>
        <w:spacing w:after="0" w:line="11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p>
    <w:p>
      <w:pPr>
        <w:spacing w:after="0" w:line="117" w:lineRule="exact"/>
        <w:rPr>
          <w:sz w:val="20"/>
          <w:szCs w:val="20"/>
          <w:color w:val="auto"/>
        </w:rPr>
      </w:pPr>
    </w:p>
    <w:p>
      <w:pPr>
        <w:ind w:right="260" w:firstLine="444"/>
        <w:spacing w:after="0" w:line="312" w:lineRule="auto"/>
        <w:tabs>
          <w:tab w:leader="none" w:pos="685" w:val="left"/>
        </w:tabs>
        <w:numPr>
          <w:ilvl w:val="0"/>
          <w:numId w:val="496"/>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65" w:name="page366"/>
    <w:bookmarkEnd w:id="365"/>
    <w:p>
      <w:pPr>
        <w:jc w:val="both"/>
        <w:ind w:left="440" w:right="40" w:firstLine="428"/>
        <w:spacing w:after="0" w:line="264" w:lineRule="auto"/>
        <w:tabs>
          <w:tab w:leader="none" w:pos="1118" w:val="left"/>
        </w:tabs>
        <w:numPr>
          <w:ilvl w:val="0"/>
          <w:numId w:val="4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3" w:lineRule="exact"/>
        <w:rPr>
          <w:rFonts w:ascii="Arial" w:cs="Arial" w:eastAsia="Arial" w:hAnsi="Arial"/>
          <w:sz w:val="18"/>
          <w:szCs w:val="18"/>
          <w:color w:val="auto"/>
        </w:rPr>
      </w:pPr>
    </w:p>
    <w:p>
      <w:pPr>
        <w:ind w:left="440" w:right="120" w:firstLine="428"/>
        <w:spacing w:after="0" w:line="277" w:lineRule="auto"/>
        <w:tabs>
          <w:tab w:leader="none" w:pos="111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w:t>
      </w:r>
    </w:p>
    <w:p>
      <w:pPr>
        <w:spacing w:after="0" w:line="2" w:lineRule="exact"/>
        <w:rPr>
          <w:sz w:val="20"/>
          <w:szCs w:val="20"/>
          <w:color w:val="auto"/>
        </w:rPr>
      </w:pPr>
    </w:p>
    <w:p>
      <w:pPr>
        <w:ind w:left="240" w:hanging="236"/>
        <w:spacing w:after="0"/>
        <w:tabs>
          <w:tab w:leader="none" w:pos="24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or (f) hereof.</w:t>
      </w:r>
    </w:p>
    <w:p>
      <w:pPr>
        <w:spacing w:after="0" w:line="102" w:lineRule="exact"/>
        <w:rPr>
          <w:rFonts w:ascii="Arial" w:cs="Arial" w:eastAsia="Arial" w:hAnsi="Arial"/>
          <w:sz w:val="18"/>
          <w:szCs w:val="18"/>
          <w:color w:val="auto"/>
        </w:rPr>
      </w:pPr>
    </w:p>
    <w:p>
      <w:pPr>
        <w:ind w:right="80" w:firstLine="444"/>
        <w:spacing w:after="0" w:line="257" w:lineRule="auto"/>
        <w:tabs>
          <w:tab w:leader="none" w:pos="695" w:val="left"/>
        </w:tabs>
        <w:numPr>
          <w:ilvl w:val="1"/>
          <w:numId w:val="498"/>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80" w:lineRule="exact"/>
        <w:rPr>
          <w:rFonts w:ascii="Arial" w:cs="Arial" w:eastAsia="Arial" w:hAnsi="Arial"/>
          <w:sz w:val="18"/>
          <w:szCs w:val="18"/>
          <w:color w:val="auto"/>
        </w:rPr>
      </w:pPr>
    </w:p>
    <w:p>
      <w:pPr>
        <w:ind w:left="440" w:firstLine="428"/>
        <w:spacing w:after="0" w:line="255" w:lineRule="auto"/>
        <w:tabs>
          <w:tab w:leader="none" w:pos="1118" w:val="left"/>
        </w:tabs>
        <w:numPr>
          <w:ilvl w:val="2"/>
          <w:numId w:val="498"/>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Restricted Global Note may be transferred to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81" w:lineRule="exact"/>
        <w:rPr>
          <w:rFonts w:ascii="Arial" w:cs="Arial" w:eastAsia="Arial" w:hAnsi="Arial"/>
          <w:sz w:val="18"/>
          <w:szCs w:val="18"/>
          <w:color w:val="auto"/>
        </w:rPr>
      </w:pPr>
    </w:p>
    <w:p>
      <w:pPr>
        <w:ind w:left="440" w:right="180" w:firstLine="428"/>
        <w:spacing w:after="0" w:line="342" w:lineRule="auto"/>
        <w:tabs>
          <w:tab w:leader="none" w:pos="1118" w:val="left"/>
        </w:tabs>
        <w:numPr>
          <w:ilvl w:val="2"/>
          <w:numId w:val="498"/>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that are not subject to Section 2.06(b)(1) above, the transferor of such beneficial interest must deliver to the Registrar either:</w:t>
      </w:r>
    </w:p>
    <w:p>
      <w:pPr>
        <w:spacing w:after="0" w:line="15" w:lineRule="exact"/>
        <w:rPr>
          <w:rFonts w:ascii="Arial" w:cs="Arial" w:eastAsia="Arial" w:hAnsi="Arial"/>
          <w:sz w:val="16"/>
          <w:szCs w:val="16"/>
          <w:color w:val="auto"/>
        </w:rPr>
      </w:pPr>
    </w:p>
    <w:p>
      <w:pPr>
        <w:ind w:left="1580" w:hanging="289"/>
        <w:spacing w:after="0"/>
        <w:tabs>
          <w:tab w:leader="none" w:pos="1580" w:val="left"/>
        </w:tabs>
        <w:numPr>
          <w:ilvl w:val="3"/>
          <w:numId w:val="498"/>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40" w:right="120" w:firstLine="380"/>
        <w:spacing w:after="0" w:line="264" w:lineRule="auto"/>
        <w:tabs>
          <w:tab w:leader="none" w:pos="2038" w:val="left"/>
        </w:tabs>
        <w:numPr>
          <w:ilvl w:val="4"/>
          <w:numId w:val="498"/>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3" w:right="439" w:bottom="1440" w:gutter="0" w:footer="0" w:header="0"/>
        </w:sectPr>
      </w:pPr>
    </w:p>
    <w:bookmarkStart w:id="366" w:name="page367"/>
    <w:bookmarkEnd w:id="366"/>
    <w:p>
      <w:pPr>
        <w:ind w:left="1440" w:right="160" w:firstLine="380"/>
        <w:spacing w:after="0" w:line="277" w:lineRule="auto"/>
        <w:tabs>
          <w:tab w:leader="none" w:pos="2088" w:val="left"/>
        </w:tabs>
        <w:numPr>
          <w:ilvl w:val="1"/>
          <w:numId w:val="4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given in accordance with the Applicable Procedures containing information regarding the Participant account to be credited with such increase; or</w:t>
      </w:r>
    </w:p>
    <w:p>
      <w:pPr>
        <w:spacing w:after="0" w:line="62" w:lineRule="exact"/>
        <w:rPr>
          <w:rFonts w:ascii="Arial" w:cs="Arial" w:eastAsia="Arial" w:hAnsi="Arial"/>
          <w:sz w:val="18"/>
          <w:szCs w:val="18"/>
          <w:color w:val="auto"/>
        </w:rPr>
      </w:pPr>
    </w:p>
    <w:p>
      <w:pPr>
        <w:ind w:left="1720" w:hanging="284"/>
        <w:spacing w:after="0"/>
        <w:tabs>
          <w:tab w:leader="none" w:pos="172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40" w:right="480" w:firstLine="380"/>
        <w:spacing w:after="0" w:line="264" w:lineRule="auto"/>
        <w:tabs>
          <w:tab w:leader="none" w:pos="2038" w:val="left"/>
        </w:tabs>
        <w:numPr>
          <w:ilvl w:val="1"/>
          <w:numId w:val="500"/>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3" w:lineRule="exact"/>
        <w:rPr>
          <w:rFonts w:ascii="Arial" w:cs="Arial" w:eastAsia="Arial" w:hAnsi="Arial"/>
          <w:sz w:val="18"/>
          <w:szCs w:val="18"/>
          <w:color w:val="auto"/>
        </w:rPr>
      </w:pPr>
    </w:p>
    <w:p>
      <w:pPr>
        <w:ind w:left="1440" w:right="420" w:firstLine="380"/>
        <w:spacing w:after="0" w:line="277" w:lineRule="auto"/>
        <w:tabs>
          <w:tab w:leader="none" w:pos="2088" w:val="left"/>
        </w:tabs>
        <w:numPr>
          <w:ilvl w:val="1"/>
          <w:numId w:val="500"/>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73" w:lineRule="exact"/>
        <w:rPr>
          <w:sz w:val="20"/>
          <w:szCs w:val="20"/>
          <w:color w:val="auto"/>
        </w:rPr>
      </w:pPr>
    </w:p>
    <w:p>
      <w:pPr>
        <w:ind w:left="440" w:firstLine="428"/>
        <w:spacing w:after="0" w:line="264" w:lineRule="auto"/>
        <w:tabs>
          <w:tab w:leader="none" w:pos="1118" w:val="left"/>
        </w:tabs>
        <w:numPr>
          <w:ilvl w:val="0"/>
          <w:numId w:val="501"/>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Person who takes delivery thereof in the form of a beneficial interest in another Restricted Global Note if the transfer complies with the requirements of Section 2.06(b)(2) above and the Registrar receives the following:</w:t>
      </w:r>
    </w:p>
    <w:p>
      <w:pPr>
        <w:spacing w:after="0" w:line="73" w:lineRule="exact"/>
        <w:rPr>
          <w:rFonts w:ascii="Arial" w:cs="Arial" w:eastAsia="Arial" w:hAnsi="Arial"/>
          <w:sz w:val="18"/>
          <w:szCs w:val="18"/>
          <w:color w:val="auto"/>
        </w:rPr>
      </w:pPr>
    </w:p>
    <w:p>
      <w:pPr>
        <w:ind w:left="880" w:right="180" w:firstLine="411"/>
        <w:spacing w:after="0" w:line="277" w:lineRule="auto"/>
        <w:tabs>
          <w:tab w:leader="none" w:pos="158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62" w:lineRule="exact"/>
        <w:rPr>
          <w:rFonts w:ascii="Arial" w:cs="Arial" w:eastAsia="Arial" w:hAnsi="Arial"/>
          <w:sz w:val="18"/>
          <w:szCs w:val="18"/>
          <w:color w:val="auto"/>
        </w:rPr>
      </w:pPr>
    </w:p>
    <w:p>
      <w:pPr>
        <w:ind w:left="880" w:right="340" w:firstLine="411"/>
        <w:spacing w:after="0" w:line="277" w:lineRule="auto"/>
        <w:tabs>
          <w:tab w:leader="none" w:pos="1570" w:val="left"/>
        </w:tabs>
        <w:numPr>
          <w:ilvl w:val="1"/>
          <w:numId w:val="501"/>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62" w:lineRule="exact"/>
        <w:rPr>
          <w:rFonts w:ascii="Arial" w:cs="Arial" w:eastAsia="Arial" w:hAnsi="Arial"/>
          <w:sz w:val="18"/>
          <w:szCs w:val="18"/>
          <w:color w:val="auto"/>
        </w:rPr>
      </w:pPr>
    </w:p>
    <w:p>
      <w:pPr>
        <w:ind w:left="440" w:right="80" w:firstLine="428"/>
        <w:spacing w:after="0" w:line="279" w:lineRule="auto"/>
        <w:tabs>
          <w:tab w:leader="none" w:pos="1118"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63" w:lineRule="exact"/>
        <w:rPr>
          <w:rFonts w:ascii="Arial" w:cs="Arial" w:eastAsia="Arial" w:hAnsi="Arial"/>
          <w:sz w:val="17"/>
          <w:szCs w:val="17"/>
          <w:color w:val="auto"/>
        </w:rPr>
      </w:pPr>
    </w:p>
    <w:p>
      <w:pPr>
        <w:jc w:val="both"/>
        <w:ind w:left="1440" w:right="460" w:firstLine="380"/>
        <w:spacing w:after="0" w:line="264" w:lineRule="auto"/>
        <w:tabs>
          <w:tab w:leader="none" w:pos="2038" w:val="left"/>
        </w:tabs>
        <w:numPr>
          <w:ilvl w:val="2"/>
          <w:numId w:val="501"/>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73" w:lineRule="exact"/>
        <w:rPr>
          <w:rFonts w:ascii="Arial" w:cs="Arial" w:eastAsia="Arial" w:hAnsi="Arial"/>
          <w:sz w:val="18"/>
          <w:szCs w:val="18"/>
          <w:color w:val="auto"/>
        </w:rPr>
      </w:pPr>
    </w:p>
    <w:p>
      <w:pPr>
        <w:ind w:left="1440" w:right="60" w:firstLine="380"/>
        <w:spacing w:after="0" w:line="264" w:lineRule="auto"/>
        <w:tabs>
          <w:tab w:leader="none" w:pos="2088" w:val="left"/>
        </w:tabs>
        <w:numPr>
          <w:ilvl w:val="2"/>
          <w:numId w:val="501"/>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3" w:lineRule="exact"/>
        <w:rPr>
          <w:sz w:val="20"/>
          <w:szCs w:val="20"/>
          <w:color w:val="auto"/>
        </w:rPr>
      </w:pPr>
    </w:p>
    <w:p>
      <w:pPr>
        <w:ind w:left="880" w:right="220"/>
        <w:spacing w:after="0" w:line="259" w:lineRule="auto"/>
        <w:rPr>
          <w:sz w:val="20"/>
          <w:szCs w:val="20"/>
          <w:color w:val="auto"/>
        </w:rPr>
      </w:pPr>
      <w:r>
        <w:rPr>
          <w:rFonts w:ascii="Arial" w:cs="Arial" w:eastAsia="Arial" w:hAnsi="Arial"/>
          <w:sz w:val="18"/>
          <w:szCs w:val="18"/>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3" w:right="459" w:bottom="1440" w:gutter="0" w:footer="0" w:header="0"/>
        </w:sectPr>
      </w:pPr>
    </w:p>
    <w:bookmarkStart w:id="367" w:name="page368"/>
    <w:bookmarkEnd w:id="367"/>
    <w:p>
      <w:pPr>
        <w:ind w:right="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18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62" w:lineRule="exact"/>
        <w:rPr>
          <w:sz w:val="20"/>
          <w:szCs w:val="20"/>
          <w:color w:val="auto"/>
        </w:rPr>
      </w:pPr>
    </w:p>
    <w:p>
      <w:pPr>
        <w:ind w:left="680" w:hanging="236"/>
        <w:spacing w:after="0"/>
        <w:tabs>
          <w:tab w:leader="none" w:pos="680" w:val="left"/>
        </w:tabs>
        <w:numPr>
          <w:ilvl w:val="0"/>
          <w:numId w:val="502"/>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86" w:lineRule="auto"/>
        <w:tabs>
          <w:tab w:leader="none" w:pos="1118" w:val="left"/>
        </w:tabs>
        <w:numPr>
          <w:ilvl w:val="1"/>
          <w:numId w:val="502"/>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Restricted Definitive Notes. </w:t>
      </w:r>
      <w:r>
        <w:rPr>
          <w:rFonts w:ascii="Arial" w:cs="Arial" w:eastAsia="Arial" w:hAnsi="Arial"/>
          <w:sz w:val="17"/>
          <w:szCs w:val="17"/>
          <w:color w:val="auto"/>
        </w:rPr>
        <w:t>If any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57" w:lineRule="exact"/>
        <w:rPr>
          <w:rFonts w:ascii="Arial" w:cs="Arial" w:eastAsia="Arial" w:hAnsi="Arial"/>
          <w:sz w:val="17"/>
          <w:szCs w:val="17"/>
          <w:color w:val="auto"/>
        </w:rPr>
      </w:pPr>
    </w:p>
    <w:p>
      <w:pPr>
        <w:ind w:left="880" w:right="100" w:firstLine="411"/>
        <w:spacing w:after="0" w:line="342" w:lineRule="auto"/>
        <w:tabs>
          <w:tab w:leader="none" w:pos="1580" w:val="left"/>
        </w:tabs>
        <w:numPr>
          <w:ilvl w:val="2"/>
          <w:numId w:val="502"/>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5" w:lineRule="exact"/>
        <w:rPr>
          <w:rFonts w:ascii="Arial" w:cs="Arial" w:eastAsia="Arial" w:hAnsi="Arial"/>
          <w:sz w:val="16"/>
          <w:szCs w:val="16"/>
          <w:color w:val="auto"/>
        </w:rPr>
      </w:pPr>
    </w:p>
    <w:p>
      <w:pPr>
        <w:ind w:left="880" w:right="20" w:firstLine="411"/>
        <w:spacing w:after="0" w:line="277" w:lineRule="auto"/>
        <w:tabs>
          <w:tab w:leader="none" w:pos="1570" w:val="left"/>
        </w:tabs>
        <w:numPr>
          <w:ilvl w:val="2"/>
          <w:numId w:val="50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880" w:right="20" w:firstLine="411"/>
        <w:spacing w:after="0" w:line="277" w:lineRule="auto"/>
        <w:tabs>
          <w:tab w:leader="none" w:pos="1570" w:val="left"/>
        </w:tabs>
        <w:numPr>
          <w:ilvl w:val="2"/>
          <w:numId w:val="50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880" w:right="60" w:firstLine="411"/>
        <w:spacing w:after="0" w:line="342" w:lineRule="auto"/>
        <w:tabs>
          <w:tab w:leader="none" w:pos="1580" w:val="left"/>
        </w:tabs>
        <w:numPr>
          <w:ilvl w:val="2"/>
          <w:numId w:val="502"/>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5" w:lineRule="exact"/>
        <w:rPr>
          <w:rFonts w:ascii="Arial" w:cs="Arial" w:eastAsia="Arial" w:hAnsi="Arial"/>
          <w:sz w:val="16"/>
          <w:szCs w:val="16"/>
          <w:color w:val="auto"/>
        </w:rPr>
      </w:pPr>
    </w:p>
    <w:p>
      <w:pPr>
        <w:ind w:left="880" w:right="480" w:firstLine="411"/>
        <w:spacing w:after="0" w:line="277" w:lineRule="auto"/>
        <w:tabs>
          <w:tab w:leader="none" w:pos="1560" w:val="left"/>
        </w:tabs>
        <w:numPr>
          <w:ilvl w:val="2"/>
          <w:numId w:val="50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880" w:right="120" w:firstLine="411"/>
        <w:spacing w:after="0" w:line="277" w:lineRule="auto"/>
        <w:tabs>
          <w:tab w:leader="none" w:pos="1550" w:val="left"/>
        </w:tabs>
        <w:numPr>
          <w:ilvl w:val="2"/>
          <w:numId w:val="502"/>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68" w:name="page369"/>
    <w:bookmarkEnd w:id="368"/>
    <w:p>
      <w:pPr>
        <w:ind w:right="180" w:firstLine="428"/>
        <w:spacing w:after="0" w:line="286" w:lineRule="auto"/>
        <w:tabs>
          <w:tab w:leader="none" w:pos="678" w:val="left"/>
        </w:tabs>
        <w:numPr>
          <w:ilvl w:val="0"/>
          <w:numId w:val="50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Beneficial Interests in Restricted Global Notes to Unrestricted Definitive Notes. </w:t>
      </w:r>
      <w:r>
        <w:rPr>
          <w:rFonts w:ascii="Arial" w:cs="Arial" w:eastAsia="Arial" w:hAnsi="Arial"/>
          <w:sz w:val="17"/>
          <w:szCs w:val="17"/>
          <w:color w:val="auto"/>
        </w:rPr>
        <w:t>A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57" w:lineRule="exact"/>
        <w:rPr>
          <w:rFonts w:ascii="Arial" w:cs="Arial" w:eastAsia="Arial" w:hAnsi="Arial"/>
          <w:sz w:val="17"/>
          <w:szCs w:val="17"/>
          <w:color w:val="auto"/>
        </w:rPr>
      </w:pPr>
    </w:p>
    <w:p>
      <w:pPr>
        <w:ind w:left="1000" w:right="180" w:firstLine="380"/>
        <w:spacing w:after="0" w:line="291" w:lineRule="auto"/>
        <w:tabs>
          <w:tab w:leader="none" w:pos="1598" w:val="left"/>
        </w:tabs>
        <w:numPr>
          <w:ilvl w:val="2"/>
          <w:numId w:val="503"/>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in the form of Exhibit C hereto, including the certifications in item (1)</w:t>
      </w:r>
    </w:p>
    <w:p>
      <w:pPr>
        <w:ind w:left="1260" w:hanging="264"/>
        <w:spacing w:after="0"/>
        <w:tabs>
          <w:tab w:leader="none" w:pos="126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thereof; or</w:t>
      </w:r>
    </w:p>
    <w:p>
      <w:pPr>
        <w:spacing w:after="0" w:line="102" w:lineRule="exact"/>
        <w:rPr>
          <w:rFonts w:ascii="Arial" w:cs="Arial" w:eastAsia="Arial" w:hAnsi="Arial"/>
          <w:sz w:val="18"/>
          <w:szCs w:val="18"/>
          <w:color w:val="auto"/>
        </w:rPr>
      </w:pPr>
    </w:p>
    <w:p>
      <w:pPr>
        <w:jc w:val="both"/>
        <w:ind w:left="1000" w:right="80" w:firstLine="380"/>
        <w:spacing w:after="0" w:line="264" w:lineRule="auto"/>
        <w:tabs>
          <w:tab w:leader="none" w:pos="1648" w:val="left"/>
        </w:tabs>
        <w:numPr>
          <w:ilvl w:val="2"/>
          <w:numId w:val="504"/>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3"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firstLine="428"/>
        <w:spacing w:after="0" w:line="270" w:lineRule="auto"/>
        <w:tabs>
          <w:tab w:leader="none" w:pos="678" w:val="left"/>
        </w:tabs>
        <w:numPr>
          <w:ilvl w:val="1"/>
          <w:numId w:val="505"/>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Unrestricted Global Notes to Unrestricted Definitive Notes. </w:t>
      </w:r>
      <w:r>
        <w:rPr>
          <w:rFonts w:ascii="Arial" w:cs="Arial" w:eastAsia="Arial" w:hAnsi="Arial"/>
          <w:sz w:val="17"/>
          <w:szCs w:val="17"/>
          <w:color w:val="auto"/>
        </w:rPr>
        <w:t>If any Holder of a beneficial interest in an</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69" w:lineRule="exact"/>
        <w:rPr>
          <w:rFonts w:ascii="Arial" w:cs="Arial" w:eastAsia="Arial" w:hAnsi="Arial"/>
          <w:sz w:val="17"/>
          <w:szCs w:val="17"/>
          <w:color w:val="auto"/>
        </w:rPr>
      </w:pPr>
    </w:p>
    <w:p>
      <w:pPr>
        <w:ind w:left="260" w:hanging="256"/>
        <w:spacing w:after="0"/>
        <w:tabs>
          <w:tab w:leader="none" w:pos="260" w:val="left"/>
        </w:tabs>
        <w:numPr>
          <w:ilvl w:val="0"/>
          <w:numId w:val="506"/>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428"/>
        <w:spacing w:after="0" w:line="259" w:lineRule="auto"/>
        <w:tabs>
          <w:tab w:leader="none" w:pos="678" w:val="left"/>
        </w:tabs>
        <w:numPr>
          <w:ilvl w:val="1"/>
          <w:numId w:val="506"/>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 proposes to</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440" w:right="300" w:firstLine="411"/>
        <w:spacing w:after="0" w:line="308" w:lineRule="auto"/>
        <w:tabs>
          <w:tab w:leader="none" w:pos="1140" w:val="left"/>
        </w:tabs>
        <w:numPr>
          <w:ilvl w:val="2"/>
          <w:numId w:val="506"/>
        </w:numPr>
        <w:rPr>
          <w:rFonts w:ascii="Arial" w:cs="Arial" w:eastAsia="Arial" w:hAnsi="Arial"/>
          <w:sz w:val="17"/>
          <w:szCs w:val="17"/>
          <w:color w:val="auto"/>
        </w:rPr>
      </w:pPr>
      <w:r>
        <w:rPr>
          <w:rFonts w:ascii="Arial" w:cs="Arial" w:eastAsia="Arial" w:hAnsi="Arial"/>
          <w:sz w:val="17"/>
          <w:szCs w:val="17"/>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38" w:lineRule="exact"/>
        <w:rPr>
          <w:rFonts w:ascii="Arial" w:cs="Arial" w:eastAsia="Arial" w:hAnsi="Arial"/>
          <w:sz w:val="17"/>
          <w:szCs w:val="17"/>
          <w:color w:val="auto"/>
        </w:rPr>
      </w:pPr>
    </w:p>
    <w:p>
      <w:pPr>
        <w:ind w:left="440" w:right="20" w:firstLine="411"/>
        <w:spacing w:after="0" w:line="277" w:lineRule="auto"/>
        <w:tabs>
          <w:tab w:leader="none" w:pos="1130" w:val="left"/>
        </w:tabs>
        <w:numPr>
          <w:ilvl w:val="2"/>
          <w:numId w:val="506"/>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880" w:top="274" w:right="439" w:bottom="1440" w:gutter="0" w:footer="0" w:header="0"/>
        </w:sectPr>
      </w:pPr>
    </w:p>
    <w:bookmarkStart w:id="369" w:name="page370"/>
    <w:bookmarkEnd w:id="369"/>
    <w:p>
      <w:pPr>
        <w:ind w:left="880" w:firstLine="411"/>
        <w:spacing w:after="0" w:line="277" w:lineRule="auto"/>
        <w:tabs>
          <w:tab w:leader="none" w:pos="1570" w:val="left"/>
        </w:tabs>
        <w:numPr>
          <w:ilvl w:val="0"/>
          <w:numId w:val="5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880" w:right="80" w:firstLine="411"/>
        <w:spacing w:after="0" w:line="264" w:lineRule="auto"/>
        <w:tabs>
          <w:tab w:leader="none" w:pos="15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73" w:lineRule="exact"/>
        <w:rPr>
          <w:rFonts w:ascii="Arial" w:cs="Arial" w:eastAsia="Arial" w:hAnsi="Arial"/>
          <w:sz w:val="18"/>
          <w:szCs w:val="18"/>
          <w:color w:val="auto"/>
        </w:rPr>
      </w:pPr>
    </w:p>
    <w:p>
      <w:pPr>
        <w:ind w:left="880" w:right="60" w:firstLine="411"/>
        <w:spacing w:after="0" w:line="277" w:lineRule="auto"/>
        <w:tabs>
          <w:tab w:leader="none" w:pos="15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880" w:right="300" w:firstLine="411"/>
        <w:spacing w:after="0" w:line="277" w:lineRule="auto"/>
        <w:tabs>
          <w:tab w:leader="none" w:pos="155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62"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color w:val="auto"/>
        </w:rPr>
        <w:t>the Trustee will cancel the Restricted Definitive Note, increase or cause to be increased the aggregate principal amount of the appropriate Restricted Global Note.</w:t>
      </w:r>
    </w:p>
    <w:p>
      <w:pPr>
        <w:spacing w:after="0" w:line="62" w:lineRule="exact"/>
        <w:rPr>
          <w:sz w:val="20"/>
          <w:szCs w:val="20"/>
          <w:color w:val="auto"/>
        </w:rPr>
      </w:pPr>
    </w:p>
    <w:p>
      <w:pPr>
        <w:ind w:left="440" w:right="80" w:firstLine="428"/>
        <w:spacing w:after="0" w:line="286" w:lineRule="auto"/>
        <w:tabs>
          <w:tab w:leader="none" w:pos="1118" w:val="left"/>
        </w:tabs>
        <w:numPr>
          <w:ilvl w:val="0"/>
          <w:numId w:val="508"/>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Beneficial Interests in Unrestricted Global Notes. </w:t>
      </w:r>
      <w:r>
        <w:rPr>
          <w:rFonts w:ascii="Arial" w:cs="Arial" w:eastAsia="Arial" w:hAnsi="Arial"/>
          <w:sz w:val="17"/>
          <w:szCs w:val="17"/>
          <w:color w:val="auto"/>
        </w:rPr>
        <w:t>A Holder of a Restricted Definitive Note may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57" w:lineRule="exact"/>
        <w:rPr>
          <w:rFonts w:ascii="Arial" w:cs="Arial" w:eastAsia="Arial" w:hAnsi="Arial"/>
          <w:sz w:val="17"/>
          <w:szCs w:val="17"/>
          <w:color w:val="auto"/>
        </w:rPr>
      </w:pPr>
    </w:p>
    <w:p>
      <w:pPr>
        <w:ind w:left="1440" w:right="180" w:firstLine="380"/>
        <w:spacing w:after="0" w:line="308" w:lineRule="auto"/>
        <w:tabs>
          <w:tab w:leader="none" w:pos="2038" w:val="left"/>
        </w:tabs>
        <w:numPr>
          <w:ilvl w:val="1"/>
          <w:numId w:val="508"/>
        </w:numPr>
        <w:rPr>
          <w:rFonts w:ascii="Arial" w:cs="Arial" w:eastAsia="Arial" w:hAnsi="Arial"/>
          <w:sz w:val="17"/>
          <w:szCs w:val="17"/>
          <w:color w:val="auto"/>
        </w:rPr>
      </w:pPr>
      <w:r>
        <w:rPr>
          <w:rFonts w:ascii="Arial" w:cs="Arial" w:eastAsia="Arial" w:hAnsi="Arial"/>
          <w:sz w:val="17"/>
          <w:szCs w:val="17"/>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38" w:lineRule="exact"/>
        <w:rPr>
          <w:rFonts w:ascii="Arial" w:cs="Arial" w:eastAsia="Arial" w:hAnsi="Arial"/>
          <w:sz w:val="17"/>
          <w:szCs w:val="17"/>
          <w:color w:val="auto"/>
        </w:rPr>
      </w:pPr>
    </w:p>
    <w:p>
      <w:pPr>
        <w:ind w:left="1440" w:right="320" w:firstLine="380"/>
        <w:spacing w:after="0" w:line="264" w:lineRule="auto"/>
        <w:tabs>
          <w:tab w:leader="none" w:pos="2088" w:val="left"/>
        </w:tabs>
        <w:numPr>
          <w:ilvl w:val="1"/>
          <w:numId w:val="508"/>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3" w:lineRule="exact"/>
        <w:rPr>
          <w:sz w:val="20"/>
          <w:szCs w:val="20"/>
          <w:color w:val="auto"/>
        </w:rPr>
      </w:pPr>
    </w:p>
    <w:p>
      <w:pPr>
        <w:ind w:left="880" w:right="2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Upon satisfaction of the conditions in this Section 2.06(d)(2), the Trustee will cancel the Definitive Notes and increase or cause to be increased the aggregate principal amount of the Unrestricted Global Note.</w:t>
      </w:r>
    </w:p>
    <w:p>
      <w:pPr>
        <w:spacing w:after="0" w:line="62" w:lineRule="exact"/>
        <w:rPr>
          <w:sz w:val="20"/>
          <w:szCs w:val="20"/>
          <w:color w:val="auto"/>
        </w:rPr>
      </w:pPr>
    </w:p>
    <w:p>
      <w:pPr>
        <w:ind w:left="440" w:right="100" w:firstLine="428"/>
        <w:spacing w:after="0" w:line="257" w:lineRule="auto"/>
        <w:tabs>
          <w:tab w:leader="none" w:pos="1118" w:val="left"/>
        </w:tabs>
        <w:numPr>
          <w:ilvl w:val="0"/>
          <w:numId w:val="509"/>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70" w:name="page371"/>
    <w:bookmarkEnd w:id="370"/>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such exchange or transfer from a Definitive Note to a beneficial interest is effected pursuant to subparagraphs (1)(B), (1)(D) or</w:t>
      </w:r>
    </w:p>
    <w:p>
      <w:pPr>
        <w:spacing w:after="0" w:line="35" w:lineRule="exact"/>
        <w:rPr>
          <w:sz w:val="20"/>
          <w:szCs w:val="20"/>
          <w:color w:val="auto"/>
        </w:rPr>
      </w:pPr>
    </w:p>
    <w:p>
      <w:pPr>
        <w:ind w:left="420" w:right="400" w:firstLine="4"/>
        <w:spacing w:after="0" w:line="255" w:lineRule="auto"/>
        <w:tabs>
          <w:tab w:leader="none" w:pos="67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90" w:lineRule="exact"/>
        <w:rPr>
          <w:sz w:val="20"/>
          <w:szCs w:val="20"/>
          <w:color w:val="auto"/>
        </w:rPr>
      </w:pPr>
    </w:p>
    <w:p>
      <w:pPr>
        <w:ind w:left="-20" w:right="40" w:firstLine="444"/>
        <w:spacing w:after="0" w:line="255" w:lineRule="auto"/>
        <w:tabs>
          <w:tab w:leader="none" w:pos="665" w:val="left"/>
        </w:tabs>
        <w:numPr>
          <w:ilvl w:val="0"/>
          <w:numId w:val="511"/>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Notes for Definitive Notes. </w:t>
      </w:r>
      <w:r>
        <w:rPr>
          <w:rFonts w:ascii="Arial" w:cs="Arial" w:eastAsia="Arial" w:hAnsi="Arial"/>
          <w:sz w:val="18"/>
          <w:szCs w:val="18"/>
          <w:color w:val="auto"/>
        </w:rPr>
        <w:t>Upon request by a Holder of Definitive Notes and such Holder’s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85" w:lineRule="exact"/>
        <w:rPr>
          <w:rFonts w:ascii="Arial" w:cs="Arial" w:eastAsia="Arial" w:hAnsi="Arial"/>
          <w:sz w:val="18"/>
          <w:szCs w:val="18"/>
          <w:color w:val="auto"/>
        </w:rPr>
      </w:pPr>
    </w:p>
    <w:p>
      <w:pPr>
        <w:ind w:left="420" w:right="360" w:firstLine="428"/>
        <w:spacing w:after="0" w:line="308" w:lineRule="auto"/>
        <w:tabs>
          <w:tab w:leader="none" w:pos="1098" w:val="left"/>
        </w:tabs>
        <w:numPr>
          <w:ilvl w:val="1"/>
          <w:numId w:val="511"/>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Restricted Definitive Notes. </w:t>
      </w:r>
      <w:r>
        <w:rPr>
          <w:rFonts w:ascii="Arial" w:cs="Arial" w:eastAsia="Arial" w:hAnsi="Arial"/>
          <w:sz w:val="17"/>
          <w:szCs w:val="17"/>
          <w:color w:val="auto"/>
        </w:rPr>
        <w:t>Any Restricted Definitive Note may be transferred to and registered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name of Persons who take delivery thereof in the form of a Restricted Definitive Note if the Registrar receives the following:</w:t>
      </w:r>
    </w:p>
    <w:p>
      <w:pPr>
        <w:spacing w:after="0" w:line="38" w:lineRule="exact"/>
        <w:rPr>
          <w:rFonts w:ascii="Arial" w:cs="Arial" w:eastAsia="Arial" w:hAnsi="Arial"/>
          <w:sz w:val="17"/>
          <w:szCs w:val="17"/>
          <w:color w:val="auto"/>
        </w:rPr>
      </w:pPr>
    </w:p>
    <w:p>
      <w:pPr>
        <w:ind w:left="860" w:right="260" w:firstLine="411"/>
        <w:spacing w:after="0" w:line="277" w:lineRule="auto"/>
        <w:tabs>
          <w:tab w:leader="none" w:pos="156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860" w:right="40" w:firstLine="411"/>
        <w:spacing w:after="0" w:line="277" w:lineRule="auto"/>
        <w:tabs>
          <w:tab w:leader="none" w:pos="155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860" w:right="80" w:firstLine="411"/>
        <w:spacing w:after="0" w:line="264" w:lineRule="auto"/>
        <w:tabs>
          <w:tab w:leader="none" w:pos="155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B hereto, including the certifications and certificates required by item (3) thereof, if applicable.</w:t>
      </w:r>
    </w:p>
    <w:p>
      <w:pPr>
        <w:spacing w:after="0" w:line="73" w:lineRule="exact"/>
        <w:rPr>
          <w:rFonts w:ascii="Arial" w:cs="Arial" w:eastAsia="Arial" w:hAnsi="Arial"/>
          <w:sz w:val="18"/>
          <w:szCs w:val="18"/>
          <w:color w:val="auto"/>
        </w:rPr>
      </w:pPr>
    </w:p>
    <w:p>
      <w:pPr>
        <w:ind w:left="420" w:right="40" w:firstLine="428"/>
        <w:spacing w:after="0" w:line="264" w:lineRule="auto"/>
        <w:tabs>
          <w:tab w:leader="none" w:pos="1098" w:val="left"/>
        </w:tabs>
        <w:numPr>
          <w:ilvl w:val="1"/>
          <w:numId w:val="511"/>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 thereof for</w:t>
      </w:r>
      <w:r>
        <w:rPr>
          <w:rFonts w:ascii="Arial" w:cs="Arial" w:eastAsia="Arial" w:hAnsi="Arial"/>
          <w:sz w:val="18"/>
          <w:szCs w:val="18"/>
          <w:i w:val="1"/>
          <w:iCs w:val="1"/>
          <w:color w:val="auto"/>
        </w:rPr>
        <w:t xml:space="preserve"> </w:t>
      </w:r>
      <w:r>
        <w:rPr>
          <w:rFonts w:ascii="Arial" w:cs="Arial" w:eastAsia="Arial" w:hAnsi="Arial"/>
          <w:sz w:val="18"/>
          <w:szCs w:val="18"/>
          <w:color w:val="auto"/>
        </w:rPr>
        <w:t>an Unrestricted Definitive Note or transferred to a Person or Persons who take delivery thereof in the form of an Unrestricted Definitive Note if the Registrar receives the following:</w:t>
      </w:r>
    </w:p>
    <w:p>
      <w:pPr>
        <w:spacing w:after="0" w:line="73" w:lineRule="exact"/>
        <w:rPr>
          <w:rFonts w:ascii="Arial" w:cs="Arial" w:eastAsia="Arial" w:hAnsi="Arial"/>
          <w:sz w:val="18"/>
          <w:szCs w:val="18"/>
          <w:color w:val="auto"/>
        </w:rPr>
      </w:pPr>
    </w:p>
    <w:p>
      <w:pPr>
        <w:ind w:left="1420" w:right="300" w:firstLine="380"/>
        <w:spacing w:after="0" w:line="308" w:lineRule="auto"/>
        <w:tabs>
          <w:tab w:leader="none" w:pos="2018" w:val="left"/>
        </w:tabs>
        <w:numPr>
          <w:ilvl w:val="3"/>
          <w:numId w:val="511"/>
        </w:numPr>
        <w:rPr>
          <w:rFonts w:ascii="Arial" w:cs="Arial" w:eastAsia="Arial" w:hAnsi="Arial"/>
          <w:sz w:val="17"/>
          <w:szCs w:val="17"/>
          <w:color w:val="auto"/>
        </w:rPr>
      </w:pPr>
      <w:r>
        <w:rPr>
          <w:rFonts w:ascii="Arial" w:cs="Arial" w:eastAsia="Arial" w:hAnsi="Arial"/>
          <w:sz w:val="17"/>
          <w:szCs w:val="17"/>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38" w:lineRule="exact"/>
        <w:rPr>
          <w:rFonts w:ascii="Arial" w:cs="Arial" w:eastAsia="Arial" w:hAnsi="Arial"/>
          <w:sz w:val="17"/>
          <w:szCs w:val="17"/>
          <w:color w:val="auto"/>
        </w:rPr>
      </w:pPr>
    </w:p>
    <w:p>
      <w:pPr>
        <w:ind w:left="1420" w:firstLine="380"/>
        <w:spacing w:after="0" w:line="264" w:lineRule="auto"/>
        <w:tabs>
          <w:tab w:leader="none" w:pos="2068" w:val="left"/>
        </w:tabs>
        <w:numPr>
          <w:ilvl w:val="3"/>
          <w:numId w:val="511"/>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3" w:lineRule="exact"/>
        <w:rPr>
          <w:sz w:val="20"/>
          <w:szCs w:val="20"/>
          <w:color w:val="auto"/>
        </w:rPr>
      </w:pPr>
    </w:p>
    <w:p>
      <w:pPr>
        <w:ind w:left="860" w:right="160"/>
        <w:spacing w:after="0" w:line="312" w:lineRule="auto"/>
        <w:rPr>
          <w:sz w:val="20"/>
          <w:szCs w:val="20"/>
          <w:color w:val="auto"/>
        </w:rPr>
      </w:pPr>
      <w:r>
        <w:rPr>
          <w:rFonts w:ascii="Arial" w:cs="Arial" w:eastAsia="Arial" w:hAnsi="Arial"/>
          <w:sz w:val="16"/>
          <w:szCs w:val="16"/>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9" w:lineRule="exact"/>
        <w:rPr>
          <w:sz w:val="20"/>
          <w:szCs w:val="20"/>
          <w:color w:val="auto"/>
        </w:rPr>
      </w:pPr>
    </w:p>
    <w:p>
      <w:pPr>
        <w:ind w:left="420" w:right="200" w:firstLine="428"/>
        <w:spacing w:after="0" w:line="264" w:lineRule="auto"/>
        <w:tabs>
          <w:tab w:leader="none" w:pos="1098" w:val="left"/>
        </w:tabs>
        <w:numPr>
          <w:ilvl w:val="0"/>
          <w:numId w:val="512"/>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60" w:top="273" w:right="439" w:bottom="1440" w:gutter="0" w:footer="0" w:header="0"/>
        </w:sectPr>
      </w:pPr>
    </w:p>
    <w:bookmarkStart w:id="371" w:name="page372"/>
    <w:bookmarkEnd w:id="371"/>
    <w:p>
      <w:pPr>
        <w:ind w:firstLine="444"/>
        <w:spacing w:after="0" w:line="277" w:lineRule="auto"/>
        <w:tabs>
          <w:tab w:leader="none" w:pos="665" w:val="left"/>
        </w:tabs>
        <w:numPr>
          <w:ilvl w:val="0"/>
          <w:numId w:val="5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Legends. </w:t>
      </w:r>
      <w:r>
        <w:rPr>
          <w:rFonts w:ascii="Arial" w:cs="Arial" w:eastAsia="Arial" w:hAnsi="Arial"/>
          <w:sz w:val="18"/>
          <w:szCs w:val="18"/>
          <w:color w:val="auto"/>
        </w:rPr>
        <w:t>The following legends will appear on the face of all Global Notes and Definitive Notes issued under this Indenture unless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stated otherwise in the applicable provisions of this Indenture.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Private Placement Legend.</w:t>
      </w:r>
    </w:p>
    <w:p>
      <w:pPr>
        <w:spacing w:after="0" w:line="117" w:lineRule="exact"/>
        <w:rPr>
          <w:rFonts w:ascii="Arial" w:cs="Arial" w:eastAsia="Arial" w:hAnsi="Arial"/>
          <w:sz w:val="18"/>
          <w:szCs w:val="18"/>
          <w:color w:val="auto"/>
        </w:rPr>
      </w:pPr>
    </w:p>
    <w:p>
      <w:pPr>
        <w:ind w:left="880" w:right="580" w:firstLine="411"/>
        <w:spacing w:after="0" w:line="277" w:lineRule="auto"/>
        <w:tabs>
          <w:tab w:leader="none" w:pos="1580" w:val="left"/>
        </w:tabs>
        <w:numPr>
          <w:ilvl w:val="2"/>
          <w:numId w:val="513"/>
        </w:numPr>
        <w:rPr>
          <w:rFonts w:ascii="Arial" w:cs="Arial" w:eastAsia="Arial" w:hAnsi="Arial"/>
          <w:sz w:val="18"/>
          <w:szCs w:val="18"/>
          <w:color w:val="auto"/>
        </w:rPr>
      </w:pPr>
      <w:r>
        <w:rPr>
          <w:rFonts w:ascii="Arial" w:cs="Arial" w:eastAsia="Arial" w:hAnsi="Arial"/>
          <w:sz w:val="18"/>
          <w:szCs w:val="18"/>
          <w:color w:val="auto"/>
        </w:rPr>
        <w:t>Except as permitted by subparagraph (C) below, each 144A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AT ANY TIME THE COMPANY DETERMINES IN GOOD FAITH THAT A HOLDER OR BENEFICIAL OWNER OF THIS SECURITY OR BENEFICIAL INTERESTS HEREIN IS IN BREACH, AT THE TIME GIVEN, OF ANY OF THE TRANSFER RESTRICTIONS SET FORTH HEREIN AND IN THE INDENTURE, THE COMPANY SHALL REQUIRE SUCH HOLDER TO TRANSFER THIS SECURITY (OR INTEREST HEREIN) TO A TRANSFEREE ACCEPTABLE TO THE COMPANY WHO IS ABLE TO AND WHO DOES SATISFY ALL OF THE REQUIREMENTS SET FORTH HEREIN AND IN THE INDENTURE. PENDING SUCH TRANSFER, SUCH HOLDER WILL BE DEEMED NOT TO BE THE HOLDER OF THIS SECURITY (OR INTEREST HEREIN) FOR ANY PURPOSE, INCLUDING BUT NOT LIMITED TO RECEIPT OF PRINCIPAL AND INTEREST PAYMENTS ON THE SECURITY, AND SUCH HOLDER WILL BE DEEMED TO HAVE NO INTEREST WHATSOEVER IN THE SECURITY EXCEPT AS OTHERWISE REQUIRED TO SELL ITS INTEREST THEREIN AS DESCRIBED HEREIN.</w:t>
      </w:r>
    </w:p>
    <w:p>
      <w:pPr>
        <w:spacing w:after="0" w:line="17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ONE YEAR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1" w:lineRule="exact"/>
        <w:rPr>
          <w:sz w:val="20"/>
          <w:szCs w:val="20"/>
          <w:color w:val="auto"/>
        </w:rPr>
      </w:pPr>
    </w:p>
    <w:p>
      <w:pPr>
        <w:ind w:right="20" w:firstLine="4"/>
        <w:spacing w:after="0" w:line="265" w:lineRule="auto"/>
        <w:tabs>
          <w:tab w:leader="none" w:pos="275" w:val="left"/>
        </w:tabs>
        <w:numPr>
          <w:ilvl w:val="0"/>
          <w:numId w:val="514"/>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spacing w:after="0" w:line="1" w:lineRule="exact"/>
        <w:rPr>
          <w:rFonts w:ascii="Arial" w:cs="Arial" w:eastAsia="Arial" w:hAnsi="Arial"/>
          <w:sz w:val="17"/>
          <w:szCs w:val="17"/>
          <w:color w:val="auto"/>
        </w:rPr>
      </w:pPr>
    </w:p>
    <w:p>
      <w:pPr>
        <w:ind w:right="20" w:firstLine="4"/>
        <w:spacing w:after="0" w:line="252" w:lineRule="auto"/>
        <w:tabs>
          <w:tab w:leader="none" w:pos="22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3" w:right="479" w:bottom="1440" w:gutter="0" w:footer="0" w:header="0"/>
        </w:sectPr>
      </w:pPr>
    </w:p>
    <w:bookmarkStart w:id="372" w:name="page373"/>
    <w:bookmarkEnd w:id="372"/>
    <w:p>
      <w:pPr>
        <w:ind w:left="880" w:right="40" w:firstLine="411"/>
        <w:spacing w:after="0" w:line="277" w:lineRule="auto"/>
        <w:tabs>
          <w:tab w:leader="none" w:pos="1570" w:val="left"/>
        </w:tabs>
        <w:numPr>
          <w:ilvl w:val="0"/>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permitted by subparagraph (C) below, each Regulation S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40 DAYS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1" w:lineRule="exact"/>
        <w:rPr>
          <w:sz w:val="20"/>
          <w:szCs w:val="20"/>
          <w:color w:val="auto"/>
        </w:rPr>
      </w:pPr>
    </w:p>
    <w:p>
      <w:pPr>
        <w:ind w:right="20" w:firstLine="4"/>
        <w:spacing w:after="0" w:line="265" w:lineRule="auto"/>
        <w:tabs>
          <w:tab w:leader="none" w:pos="275" w:val="left"/>
        </w:tabs>
        <w:numPr>
          <w:ilvl w:val="0"/>
          <w:numId w:val="517"/>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spacing w:after="0" w:line="1" w:lineRule="exact"/>
        <w:rPr>
          <w:rFonts w:ascii="Arial" w:cs="Arial" w:eastAsia="Arial" w:hAnsi="Arial"/>
          <w:sz w:val="17"/>
          <w:szCs w:val="17"/>
          <w:color w:val="auto"/>
        </w:rPr>
      </w:pPr>
    </w:p>
    <w:p>
      <w:pPr>
        <w:ind w:firstLine="4"/>
        <w:spacing w:after="0" w:line="252" w:lineRule="auto"/>
        <w:tabs>
          <w:tab w:leader="none" w:pos="22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373" w:name="page374"/>
    <w:bookmarkEnd w:id="373"/>
    <w:p>
      <w:pPr>
        <w:ind w:left="880" w:right="80" w:firstLine="411"/>
        <w:spacing w:after="0" w:line="264" w:lineRule="auto"/>
        <w:tabs>
          <w:tab w:leader="none" w:pos="1570" w:val="left"/>
        </w:tabs>
        <w:numPr>
          <w:ilvl w:val="1"/>
          <w:numId w:val="5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any Global Note or Definitive Note issued pursuant to subparagraphs (b)(4), (c)(2), (d)(2), (d)(3), (e)(2) or (e)(3) of this Section 2.06 (and all Notes issued in exchange therefor or substitution thereof) will not bear the Private Placement Legend.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520"/>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85" w:lineRule="exact"/>
        <w:rPr>
          <w:sz w:val="20"/>
          <w:szCs w:val="20"/>
          <w:color w:val="auto"/>
        </w:rPr>
      </w:pPr>
    </w:p>
    <w:p>
      <w:pPr>
        <w:ind w:right="80" w:firstLine="444"/>
        <w:spacing w:after="0" w:line="270" w:lineRule="auto"/>
        <w:tabs>
          <w:tab w:leader="none" w:pos="695" w:val="left"/>
        </w:tabs>
        <w:numPr>
          <w:ilvl w:val="0"/>
          <w:numId w:val="521"/>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Notes. </w:t>
      </w:r>
      <w:r>
        <w:rPr>
          <w:rFonts w:ascii="Arial" w:cs="Arial" w:eastAsia="Arial" w:hAnsi="Arial"/>
          <w:sz w:val="17"/>
          <w:szCs w:val="17"/>
          <w:color w:val="auto"/>
        </w:rPr>
        <w:t>At such time as all beneficial interests in a particular Global Note have been exchanged for</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374" w:name="page375"/>
    <w:bookmarkEnd w:id="374"/>
    <w:p>
      <w:pPr>
        <w:ind w:left="260" w:hanging="256"/>
        <w:spacing w:after="0"/>
        <w:tabs>
          <w:tab w:leader="none" w:pos="2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 Relating to Transfers and Exchanges.</w:t>
      </w:r>
    </w:p>
    <w:p>
      <w:pPr>
        <w:spacing w:after="0" w:line="117" w:lineRule="exact"/>
        <w:rPr>
          <w:rFonts w:ascii="Arial" w:cs="Arial" w:eastAsia="Arial" w:hAnsi="Arial"/>
          <w:sz w:val="18"/>
          <w:szCs w:val="18"/>
          <w:color w:val="auto"/>
        </w:rPr>
      </w:pPr>
    </w:p>
    <w:p>
      <w:pPr>
        <w:ind w:right="520" w:firstLine="428"/>
        <w:spacing w:after="0" w:line="342" w:lineRule="auto"/>
        <w:tabs>
          <w:tab w:leader="none" w:pos="678" w:val="left"/>
        </w:tabs>
        <w:numPr>
          <w:ilvl w:val="1"/>
          <w:numId w:val="522"/>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5" w:lineRule="exact"/>
        <w:rPr>
          <w:rFonts w:ascii="Arial" w:cs="Arial" w:eastAsia="Arial" w:hAnsi="Arial"/>
          <w:sz w:val="16"/>
          <w:szCs w:val="16"/>
          <w:color w:val="auto"/>
        </w:rPr>
      </w:pPr>
    </w:p>
    <w:p>
      <w:pPr>
        <w:ind w:right="60" w:firstLine="428"/>
        <w:spacing w:after="0" w:line="259" w:lineRule="auto"/>
        <w:tabs>
          <w:tab w:leader="none" w:pos="678" w:val="left"/>
        </w:tabs>
        <w:numPr>
          <w:ilvl w:val="1"/>
          <w:numId w:val="522"/>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3.09, 4.10, 4.15 and 9.05 hereof).</w:t>
      </w:r>
    </w:p>
    <w:p>
      <w:pPr>
        <w:spacing w:after="0" w:line="78" w:lineRule="exact"/>
        <w:rPr>
          <w:rFonts w:ascii="Arial" w:cs="Arial" w:eastAsia="Arial" w:hAnsi="Arial"/>
          <w:sz w:val="18"/>
          <w:szCs w:val="18"/>
          <w:color w:val="auto"/>
        </w:rPr>
      </w:pPr>
    </w:p>
    <w:p>
      <w:pPr>
        <w:ind w:right="20" w:firstLine="428"/>
        <w:spacing w:after="0" w:line="277" w:lineRule="auto"/>
        <w:tabs>
          <w:tab w:leader="none" w:pos="678"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right="60" w:firstLine="428"/>
        <w:spacing w:after="0" w:line="264" w:lineRule="auto"/>
        <w:tabs>
          <w:tab w:leader="none" w:pos="678"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440" w:right="100" w:firstLine="411"/>
        <w:spacing w:after="0" w:line="342" w:lineRule="auto"/>
        <w:tabs>
          <w:tab w:leader="none" w:pos="1140" w:val="left"/>
        </w:tabs>
        <w:numPr>
          <w:ilvl w:val="2"/>
          <w:numId w:val="522"/>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5" w:lineRule="exact"/>
        <w:rPr>
          <w:rFonts w:ascii="Arial" w:cs="Arial" w:eastAsia="Arial" w:hAnsi="Arial"/>
          <w:sz w:val="16"/>
          <w:szCs w:val="16"/>
          <w:color w:val="auto"/>
        </w:rPr>
      </w:pPr>
    </w:p>
    <w:p>
      <w:pPr>
        <w:ind w:left="440" w:right="120" w:firstLine="411"/>
        <w:spacing w:after="0" w:line="277" w:lineRule="auto"/>
        <w:tabs>
          <w:tab w:leader="none" w:pos="1130" w:val="left"/>
        </w:tabs>
        <w:numPr>
          <w:ilvl w:val="2"/>
          <w:numId w:val="522"/>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2"/>
          <w:numId w:val="522"/>
        </w:numPr>
        <w:rPr>
          <w:rFonts w:ascii="Arial" w:cs="Arial" w:eastAsia="Arial" w:hAnsi="Arial"/>
          <w:sz w:val="17"/>
          <w:szCs w:val="17"/>
          <w:color w:val="auto"/>
        </w:rPr>
      </w:pPr>
      <w:r>
        <w:rPr>
          <w:rFonts w:ascii="Arial" w:cs="Arial" w:eastAsia="Arial" w:hAnsi="Arial"/>
          <w:sz w:val="17"/>
          <w:szCs w:val="17"/>
          <w:color w:val="auto"/>
        </w:rPr>
        <w:t>to register the transfer of or to exchange a Note between a record date and the next succeeding interest payment date.</w:t>
      </w:r>
    </w:p>
    <w:p>
      <w:pPr>
        <w:spacing w:after="0" w:line="128" w:lineRule="exact"/>
        <w:rPr>
          <w:rFonts w:ascii="Arial" w:cs="Arial" w:eastAsia="Arial" w:hAnsi="Arial"/>
          <w:sz w:val="17"/>
          <w:szCs w:val="17"/>
          <w:color w:val="auto"/>
        </w:rPr>
      </w:pPr>
    </w:p>
    <w:p>
      <w:pPr>
        <w:jc w:val="both"/>
        <w:ind w:firstLine="428"/>
        <w:spacing w:after="0" w:line="312" w:lineRule="auto"/>
        <w:tabs>
          <w:tab w:leader="none" w:pos="678" w:val="left"/>
        </w:tabs>
        <w:numPr>
          <w:ilvl w:val="1"/>
          <w:numId w:val="522"/>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38" w:lineRule="exact"/>
        <w:rPr>
          <w:rFonts w:ascii="Arial" w:cs="Arial" w:eastAsia="Arial" w:hAnsi="Arial"/>
          <w:sz w:val="16"/>
          <w:szCs w:val="16"/>
          <w:color w:val="auto"/>
        </w:rPr>
      </w:pPr>
    </w:p>
    <w:p>
      <w:pPr>
        <w:ind w:left="680" w:hanging="252"/>
        <w:spacing w:after="0"/>
        <w:tabs>
          <w:tab w:leader="none" w:pos="68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 2.02 hereof.</w:t>
      </w:r>
    </w:p>
    <w:p>
      <w:pPr>
        <w:spacing w:after="0" w:line="117" w:lineRule="exact"/>
        <w:rPr>
          <w:rFonts w:ascii="Arial" w:cs="Arial" w:eastAsia="Arial" w:hAnsi="Arial"/>
          <w:sz w:val="18"/>
          <w:szCs w:val="18"/>
          <w:color w:val="auto"/>
        </w:rPr>
      </w:pPr>
    </w:p>
    <w:p>
      <w:pPr>
        <w:ind w:right="20" w:firstLine="428"/>
        <w:spacing w:after="0" w:line="277" w:lineRule="auto"/>
        <w:tabs>
          <w:tab w:leader="none" w:pos="678"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electronic mail (in pdf format).</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0"/>
          </w:cols>
          <w:pgMar w:left="880" w:top="274" w:right="55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2.07 </w:t>
      </w:r>
      <w:r>
        <w:rPr>
          <w:rFonts w:ascii="Arial" w:cs="Arial" w:eastAsia="Arial" w:hAnsi="Arial"/>
          <w:sz w:val="18"/>
          <w:szCs w:val="18"/>
          <w:i w:val="1"/>
          <w:iCs w:val="1"/>
          <w:color w:val="auto"/>
        </w:rPr>
        <w:t>Replacement Notes.</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their expenses in replacing a Note, including but not limited to the reasonable expenses of counsel and any tax that may be imposed with respect to replacement of such Note.</w:t>
      </w:r>
    </w:p>
    <w:p>
      <w:pPr>
        <w:spacing w:after="0" w:line="178"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Every replacement Note is an additional obligation of the Company and will be entitled to all of the benefits of this Indenture equally and proportionately with all other Notes duly issued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p>
    <w:p>
      <w:pPr>
        <w:spacing w:after="0" w:line="117"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88"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24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Treasury Notes.</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Company or any Subsidiary Guarantor, or by any Person directly or indirectly controlling or controlled by or under direct or indirect common control with the Company or any Subsidiary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p>
    <w:p>
      <w:pPr>
        <w:spacing w:after="0" w:line="117"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3" w:right="43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2.11 </w:t>
      </w:r>
      <w:r>
        <w:rPr>
          <w:rFonts w:ascii="Arial" w:cs="Arial" w:eastAsia="Arial" w:hAnsi="Arial"/>
          <w:sz w:val="18"/>
          <w:szCs w:val="18"/>
          <w:i w:val="1"/>
          <w:iCs w:val="1"/>
          <w:color w:val="auto"/>
        </w:rPr>
        <w:t>Cancellation.</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in accordance with its customary procedures, and no one else will cancel (subject to the Trustee’s retention policy) all Notes surrendered for registration of transfer, exchange, payment, replacement or cancellation and will dispose of such cancelled Notes in its customary manner (subject to the record retention requirement of the Exchange Act). At the request of the company, the Trustee will confirm the cancellation of the Notes delivered to it. The Company may not issue new Notes to replace Notes that it has paid or that have been delivered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Defaulted Interest.</w:t>
      </w:r>
    </w:p>
    <w:p>
      <w:pPr>
        <w:spacing w:after="0" w:line="11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Additional Amounts.</w:t>
      </w:r>
    </w:p>
    <w:p>
      <w:pPr>
        <w:spacing w:after="0" w:line="117" w:lineRule="exact"/>
        <w:rPr>
          <w:sz w:val="20"/>
          <w:szCs w:val="20"/>
          <w:color w:val="auto"/>
        </w:rPr>
      </w:pPr>
    </w:p>
    <w:p>
      <w:pPr>
        <w:ind w:right="140" w:firstLine="444"/>
        <w:spacing w:after="0" w:line="270" w:lineRule="auto"/>
        <w:tabs>
          <w:tab w:leader="none" w:pos="685" w:val="left"/>
        </w:tabs>
        <w:numPr>
          <w:ilvl w:val="0"/>
          <w:numId w:val="523"/>
        </w:numPr>
        <w:rPr>
          <w:rFonts w:ascii="Arial" w:cs="Arial" w:eastAsia="Arial" w:hAnsi="Arial"/>
          <w:sz w:val="17"/>
          <w:szCs w:val="17"/>
          <w:color w:val="auto"/>
        </w:rPr>
      </w:pPr>
      <w:r>
        <w:rPr>
          <w:rFonts w:ascii="Arial" w:cs="Arial" w:eastAsia="Arial" w:hAnsi="Arial"/>
          <w:sz w:val="17"/>
          <w:szCs w:val="17"/>
          <w:color w:val="auto"/>
        </w:rPr>
        <w:t>All payments of principal of, premium, if any, and interest on the Notes and all payments under the Note Guarantees will be made without withholding or deduction for, or on account of, any present or future taxes, duties, assessments or governmental charges of whatever (“</w:t>
      </w:r>
      <w:r>
        <w:rPr>
          <w:rFonts w:ascii="Arial" w:cs="Arial" w:eastAsia="Arial" w:hAnsi="Arial"/>
          <w:sz w:val="17"/>
          <w:szCs w:val="17"/>
          <w:i w:val="1"/>
          <w:iCs w:val="1"/>
          <w:color w:val="auto"/>
        </w:rPr>
        <w:t>Taxes</w:t>
      </w:r>
      <w:r>
        <w:rPr>
          <w:rFonts w:ascii="Arial" w:cs="Arial" w:eastAsia="Arial" w:hAnsi="Arial"/>
          <w:sz w:val="17"/>
          <w:szCs w:val="17"/>
          <w:color w:val="auto"/>
        </w:rPr>
        <w:t>”) nature imposed or levied by or within any jurisdiction in which the Company or any applicable Subsidiary Guarantor is organized or resident for tax purposes (or any political subdivision or taxing authority thereof or therein) or any jurisdiction from or through which payment is made by or on behalf of the Company or any Subsidiary Guarantor (including the jurisdiction of any Paying Agent) (or any political subdivision or taxing authority thereof or therein) (each, as applicable, a “</w:t>
      </w:r>
      <w:r>
        <w:rPr>
          <w:rFonts w:ascii="Arial" w:cs="Arial" w:eastAsia="Arial" w:hAnsi="Arial"/>
          <w:sz w:val="17"/>
          <w:szCs w:val="17"/>
          <w:i w:val="1"/>
          <w:iCs w:val="1"/>
          <w:color w:val="auto"/>
        </w:rPr>
        <w:t>Relevant Jurisdiction</w:t>
      </w:r>
      <w:r>
        <w:rPr>
          <w:rFonts w:ascii="Arial" w:cs="Arial" w:eastAsia="Arial" w:hAnsi="Arial"/>
          <w:sz w:val="17"/>
          <w:szCs w:val="17"/>
          <w:color w:val="auto"/>
        </w:rPr>
        <w:t>”), unless such withholding or deduction is required by law or by regulation or governmental policy having the force of law. In such event, the Company or the applicable Subsidiary Guarantor, as the case may be, will make such deduction or withholding, make payment of the amount so withheld to the appropriate governmental authority and will pay such additional amounts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will result in receipt by the Holder of such amounts as would have been received by such holder had no such withholding or deduction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been required,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Additional Amounts will be payable for or on account of:</w:t>
      </w:r>
    </w:p>
    <w:p>
      <w:pPr>
        <w:spacing w:after="0" w:line="69" w:lineRule="exact"/>
        <w:rPr>
          <w:rFonts w:ascii="Arial" w:cs="Arial" w:eastAsia="Arial" w:hAnsi="Arial"/>
          <w:sz w:val="17"/>
          <w:szCs w:val="17"/>
          <w:color w:val="auto"/>
        </w:rPr>
      </w:pPr>
    </w:p>
    <w:p>
      <w:pPr>
        <w:ind w:left="1120" w:hanging="252"/>
        <w:spacing w:after="0"/>
        <w:tabs>
          <w:tab w:leader="none" w:pos="112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would not have been imposed but for:</w:t>
      </w:r>
    </w:p>
    <w:p>
      <w:pPr>
        <w:spacing w:after="0" w:line="117" w:lineRule="exact"/>
        <w:rPr>
          <w:rFonts w:ascii="Arial" w:cs="Arial" w:eastAsia="Arial" w:hAnsi="Arial"/>
          <w:sz w:val="18"/>
          <w:szCs w:val="18"/>
          <w:color w:val="auto"/>
        </w:rPr>
      </w:pPr>
    </w:p>
    <w:p>
      <w:pPr>
        <w:ind w:left="880" w:right="60" w:firstLine="411"/>
        <w:spacing w:after="0" w:line="257" w:lineRule="auto"/>
        <w:tabs>
          <w:tab w:leader="none" w:pos="1580" w:val="left"/>
        </w:tabs>
        <w:numPr>
          <w:ilvl w:val="2"/>
          <w:numId w:val="523"/>
        </w:numPr>
        <w:rPr>
          <w:rFonts w:ascii="Arial" w:cs="Arial" w:eastAsia="Arial" w:hAnsi="Arial"/>
          <w:sz w:val="18"/>
          <w:szCs w:val="18"/>
          <w:color w:val="auto"/>
        </w:rPr>
      </w:pPr>
      <w:r>
        <w:rPr>
          <w:rFonts w:ascii="Arial" w:cs="Arial" w:eastAsia="Arial" w:hAnsi="Arial"/>
          <w:sz w:val="18"/>
          <w:szCs w:val="18"/>
          <w:color w:val="auto"/>
        </w:rPr>
        <w:t>the existence of any present or former connection between the Holder or beneficial owner of such Note or Note Guarantee, as the case may be, and the Relevant Jurisdiction including, without limitation, such holder or beneficial owner being or having been a citizen or resident of such Relevant Jurisdiction or treated as a resident thereof or being or having been physically present or engaged in a trade or business therein or having or having had a permanent establishment therein, other than merely holding such Note or the receipt of payments thereunder or under the Note Guarantee;</w:t>
      </w:r>
    </w:p>
    <w:p>
      <w:pPr>
        <w:spacing w:after="0" w:line="80" w:lineRule="exact"/>
        <w:rPr>
          <w:rFonts w:ascii="Arial" w:cs="Arial" w:eastAsia="Arial" w:hAnsi="Arial"/>
          <w:sz w:val="18"/>
          <w:szCs w:val="18"/>
          <w:color w:val="auto"/>
        </w:rPr>
      </w:pPr>
    </w:p>
    <w:p>
      <w:pPr>
        <w:ind w:left="880" w:right="20" w:firstLine="411"/>
        <w:spacing w:after="0" w:line="259" w:lineRule="auto"/>
        <w:tabs>
          <w:tab w:leader="none" w:pos="1570" w:val="left"/>
        </w:tabs>
        <w:numPr>
          <w:ilvl w:val="2"/>
          <w:numId w:val="523"/>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377" w:name="page378"/>
    <w:bookmarkEnd w:id="377"/>
    <w:p>
      <w:pPr>
        <w:ind w:left="880" w:right="220" w:firstLine="411"/>
        <w:spacing w:after="0" w:line="257" w:lineRule="auto"/>
        <w:tabs>
          <w:tab w:leader="none" w:pos="1570" w:val="left"/>
        </w:tabs>
        <w:numPr>
          <w:ilvl w:val="2"/>
          <w:numId w:val="5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failure of the holder or beneficial owner to comply with a timely request of the Company or any Subsidiary Guarantor addressed to the holder or beneficial owner, as the case may be, to provide information concerning such holder’s or beneficial owner’s nationality, residence, identity or connection with any Relevant Jurisdiction, if and to the extent that due and timely compliance with such request would have reduced or eliminated any withholding or deduction as to which Additional Amounts would have otherwise been payable to such holder; or</w:t>
      </w:r>
    </w:p>
    <w:p>
      <w:pPr>
        <w:spacing w:after="0" w:line="80" w:lineRule="exact"/>
        <w:rPr>
          <w:rFonts w:ascii="Arial" w:cs="Arial" w:eastAsia="Arial" w:hAnsi="Arial"/>
          <w:sz w:val="18"/>
          <w:szCs w:val="18"/>
          <w:color w:val="auto"/>
        </w:rPr>
      </w:pPr>
    </w:p>
    <w:p>
      <w:pPr>
        <w:ind w:left="880" w:right="20" w:firstLine="411"/>
        <w:spacing w:after="0" w:line="277" w:lineRule="auto"/>
        <w:tabs>
          <w:tab w:leader="none" w:pos="1580" w:val="left"/>
        </w:tabs>
        <w:numPr>
          <w:ilvl w:val="2"/>
          <w:numId w:val="524"/>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for payment in the Relevant Jurisdiction, unless such Note could not have been presented for payment elsewhere;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25"/>
        </w:numPr>
        <w:rPr>
          <w:rFonts w:ascii="Arial" w:cs="Arial" w:eastAsia="Arial" w:hAnsi="Arial"/>
          <w:sz w:val="17"/>
          <w:szCs w:val="17"/>
          <w:color w:val="auto"/>
        </w:rPr>
      </w:pPr>
      <w:r>
        <w:rPr>
          <w:rFonts w:ascii="Arial" w:cs="Arial" w:eastAsia="Arial" w:hAnsi="Arial"/>
          <w:sz w:val="17"/>
          <w:szCs w:val="17"/>
          <w:color w:val="auto"/>
        </w:rPr>
        <w:t>any estate, inheritance, gift, sale, transfer, excise or personal property or similar tax, assessment or other governmental charge;</w:t>
      </w:r>
    </w:p>
    <w:p>
      <w:pPr>
        <w:spacing w:after="0" w:line="128" w:lineRule="exact"/>
        <w:rPr>
          <w:rFonts w:ascii="Arial" w:cs="Arial" w:eastAsia="Arial" w:hAnsi="Arial"/>
          <w:sz w:val="17"/>
          <w:szCs w:val="17"/>
          <w:color w:val="auto"/>
        </w:rPr>
      </w:pPr>
    </w:p>
    <w:p>
      <w:pPr>
        <w:jc w:val="both"/>
        <w:ind w:left="440" w:right="260" w:firstLine="428"/>
        <w:spacing w:after="0" w:line="286" w:lineRule="auto"/>
        <w:tabs>
          <w:tab w:leader="none" w:pos="1118" w:val="left"/>
        </w:tabs>
        <w:numPr>
          <w:ilvl w:val="1"/>
          <w:numId w:val="525"/>
        </w:numPr>
        <w:rPr>
          <w:rFonts w:ascii="Arial" w:cs="Arial" w:eastAsia="Arial" w:hAnsi="Arial"/>
          <w:sz w:val="17"/>
          <w:szCs w:val="17"/>
          <w:color w:val="auto"/>
        </w:rPr>
      </w:pPr>
      <w:r>
        <w:rPr>
          <w:rFonts w:ascii="Arial" w:cs="Arial" w:eastAsia="Arial" w:hAnsi="Arial"/>
          <w:sz w:val="17"/>
          <w:szCs w:val="17"/>
          <w:color w:val="auto"/>
        </w:rPr>
        <w:t>any tax, duty, assessment or other governmental charge which is payable other than (i) by deduction or withholding from payments of principal of or interest on the Note or payments under the Note Guarantees, or (ii) by direct payment by the Company or applicable Subsidiary Guarantor in respect of claims made against the Company or the applicable Subsidiary Guarantor;</w:t>
      </w:r>
    </w:p>
    <w:p>
      <w:pPr>
        <w:spacing w:after="0" w:line="57" w:lineRule="exact"/>
        <w:rPr>
          <w:rFonts w:ascii="Arial" w:cs="Arial" w:eastAsia="Arial" w:hAnsi="Arial"/>
          <w:sz w:val="17"/>
          <w:szCs w:val="17"/>
          <w:color w:val="auto"/>
        </w:rPr>
      </w:pPr>
    </w:p>
    <w:p>
      <w:pPr>
        <w:ind w:left="440" w:right="80" w:firstLine="428"/>
        <w:spacing w:after="0" w:line="257" w:lineRule="auto"/>
        <w:tabs>
          <w:tab w:leader="none" w:pos="1118"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agreement entered pursuant thereto, any U.S. or non-U.S. law enacted in connection with an intergovernmental agreement related thereto, or any rules, regulations, or administrative guidance of any kind relating to any of the foregoing; or</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1"/>
          <w:numId w:val="525"/>
        </w:numPr>
        <w:rPr>
          <w:rFonts w:ascii="Arial" w:cs="Arial" w:eastAsia="Arial" w:hAnsi="Arial"/>
          <w:sz w:val="16"/>
          <w:szCs w:val="16"/>
          <w:color w:val="auto"/>
        </w:rPr>
      </w:pPr>
      <w:r>
        <w:rPr>
          <w:rFonts w:ascii="Arial" w:cs="Arial" w:eastAsia="Arial" w:hAnsi="Arial"/>
          <w:sz w:val="16"/>
          <w:szCs w:val="16"/>
          <w:color w:val="auto"/>
        </w:rPr>
        <w:t>any combination of taxes, duties, assessments or other governmental charges referred to in the preceding clauses (1), (2), (3) and (4); or</w:t>
      </w:r>
    </w:p>
    <w:p>
      <w:pPr>
        <w:spacing w:after="0" w:line="140" w:lineRule="exact"/>
        <w:rPr>
          <w:rFonts w:ascii="Arial" w:cs="Arial" w:eastAsia="Arial" w:hAnsi="Arial"/>
          <w:sz w:val="16"/>
          <w:szCs w:val="16"/>
          <w:color w:val="auto"/>
        </w:rPr>
      </w:pPr>
    </w:p>
    <w:p>
      <w:pPr>
        <w:ind w:firstLine="444"/>
        <w:spacing w:after="0" w:line="257" w:lineRule="auto"/>
        <w:tabs>
          <w:tab w:leader="none" w:pos="696" w:val="left"/>
        </w:tabs>
        <w:numPr>
          <w:ilvl w:val="0"/>
          <w:numId w:val="526"/>
        </w:numPr>
        <w:rPr>
          <w:rFonts w:ascii="Arial" w:cs="Arial" w:eastAsia="Arial" w:hAnsi="Arial"/>
          <w:sz w:val="18"/>
          <w:szCs w:val="18"/>
          <w:color w:val="auto"/>
        </w:rPr>
      </w:pPr>
      <w:r>
        <w:rPr>
          <w:rFonts w:ascii="Arial" w:cs="Arial" w:eastAsia="Arial" w:hAnsi="Arial"/>
          <w:sz w:val="18"/>
          <w:szCs w:val="18"/>
          <w:color w:val="auto"/>
        </w:rPr>
        <w:t>with respect to any payment of the principal of, or premium, if any, or interest on, such Note or any payment under any Note Guarantee to such holder, if the holder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In addition to the foregoing, the Company and the Subsidiary Guarantors will also pay and indemnify the holder of a Note for any present or future stamp, issue, registration, court or documentary taxes, or any other excise or property taxes, charges or similar levies (including penalties, interest and other reasonable expenses related thereto) which are levied by any Relevant Jurisdiction on the execution, delivery, issuance, or registration of any of the Notes, the Indenture, any Note Guarantee or any other document or instrument referred to therein, or the receipt of any payments with respect thereto, or enforcement of, any of the Notes or any Note Guarantee. The Company and the Subsidiary Guarantors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Trustees and the Paying Agent. Such copies shall be made available to the Holders upon request and will be made available at the offices of the Paying Agent. The Company or the Subsidiary Guarantor, as applicable,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3" w:right="439" w:bottom="1440" w:gutter="0" w:footer="0" w:header="0"/>
        </w:sectPr>
      </w:pPr>
    </w:p>
    <w:bookmarkStart w:id="378" w:name="page379"/>
    <w:bookmarkEnd w:id="378"/>
    <w:p>
      <w:pPr>
        <w:ind w:right="300" w:firstLine="444"/>
        <w:spacing w:after="0" w:line="264" w:lineRule="auto"/>
        <w:tabs>
          <w:tab w:leader="none" w:pos="685" w:val="left"/>
        </w:tabs>
        <w:numPr>
          <w:ilvl w:val="0"/>
          <w:numId w:val="5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there is mentioned in any context the payment of principal of, and any premium or interest, on any Note or under any Note Guarantee, such mention will be deemed to include payment of Additional Amounts provided for in this Indenture to the extent that, in such context, Additional Amounts are, were or would be payable in respect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Forced Sale or Redemption for Non-QIBs.</w:t>
      </w:r>
    </w:p>
    <w:p>
      <w:pPr>
        <w:spacing w:after="0" w:line="117" w:lineRule="exact"/>
        <w:rPr>
          <w:sz w:val="20"/>
          <w:szCs w:val="20"/>
          <w:color w:val="auto"/>
        </w:rPr>
      </w:pPr>
    </w:p>
    <w:p>
      <w:pPr>
        <w:ind w:firstLine="444"/>
        <w:spacing w:after="0" w:line="290" w:lineRule="auto"/>
        <w:tabs>
          <w:tab w:leader="none" w:pos="685" w:val="left"/>
        </w:tabs>
        <w:numPr>
          <w:ilvl w:val="0"/>
          <w:numId w:val="528"/>
        </w:numPr>
        <w:rPr>
          <w:rFonts w:ascii="Arial" w:cs="Arial" w:eastAsia="Arial" w:hAnsi="Arial"/>
          <w:sz w:val="16"/>
          <w:szCs w:val="16"/>
          <w:color w:val="auto"/>
        </w:rPr>
      </w:pPr>
      <w:r>
        <w:rPr>
          <w:rFonts w:ascii="Arial" w:cs="Arial" w:eastAsia="Arial" w:hAnsi="Arial"/>
          <w:sz w:val="16"/>
          <w:szCs w:val="16"/>
          <w:color w:val="auto"/>
        </w:rPr>
        <w:t>The Company has the right to require any Holder of a Note (or beneficial interest therein) that is a U.S. Person and is determined not to have been a QIB at the time of acquisition of such Note or is otherwise determined to be in breach, at the time given, of any of the representations and agreements required to be made pursuant to the transfer restrictions set forth herein, to transfer such Security (or beneficial interest therein) to a transferee acceptable to the Company who is able to and who does make all of the representations and agreements required to be made pursuant to the transfer restrictions set forth herein, or to redeem such Note (or beneficial interest therein) within 30 days of receipt of notice of the Company’s election to so redeem such Holder’s Notes on the terms set forth in paragraph (b) below. Pending such transfer or redemption, such Holder will be deemed not to be the Holder of such Note for any purpose, including but not limited to receipt of interest and principal payments on such Note, and such Holder will be deemed to have no interest whatsoever in such Note except as otherwise required to sell or redeem its interest therein.</w:t>
      </w:r>
    </w:p>
    <w:p>
      <w:pPr>
        <w:spacing w:after="0" w:line="58" w:lineRule="exact"/>
        <w:rPr>
          <w:rFonts w:ascii="Arial" w:cs="Arial" w:eastAsia="Arial" w:hAnsi="Arial"/>
          <w:sz w:val="16"/>
          <w:szCs w:val="16"/>
          <w:color w:val="auto"/>
        </w:rPr>
      </w:pPr>
    </w:p>
    <w:p>
      <w:pPr>
        <w:jc w:val="both"/>
        <w:ind w:right="120" w:firstLine="444"/>
        <w:spacing w:after="0" w:line="286" w:lineRule="auto"/>
        <w:tabs>
          <w:tab w:leader="none" w:pos="696" w:val="left"/>
        </w:tabs>
        <w:numPr>
          <w:ilvl w:val="0"/>
          <w:numId w:val="528"/>
        </w:numPr>
        <w:rPr>
          <w:rFonts w:ascii="Arial" w:cs="Arial" w:eastAsia="Arial" w:hAnsi="Arial"/>
          <w:sz w:val="17"/>
          <w:szCs w:val="17"/>
          <w:color w:val="auto"/>
        </w:rPr>
      </w:pPr>
      <w:r>
        <w:rPr>
          <w:rFonts w:ascii="Arial" w:cs="Arial" w:eastAsia="Arial" w:hAnsi="Arial"/>
          <w:sz w:val="17"/>
          <w:szCs w:val="17"/>
          <w:color w:val="auto"/>
        </w:rPr>
        <w:t>Any such redemption occurring pursuant to paragraph (a) above shall be at a redemption price equal to the lesser of (i) the Person’s cost, plus accrued and unpaid interest, if any, to the redemption date and (ii) 100% of the principal amount thereof, plus accrued and unpaid interest, if any, to the redemption date. The Company shall notify the Trustee in writing of any such redemption as soon as practicable.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Company elects to redeem Notes pursuant to the optional redemption provisions of Section 3.07 hereof, it must furnish to the Trustee,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Registrar and the Paying Agent, at least 30 days but not more than 60 days before a redemption date, an Officer’s Certificate setting forth:</w:t>
      </w:r>
    </w:p>
    <w:p>
      <w:pPr>
        <w:spacing w:after="0" w:line="103" w:lineRule="exact"/>
        <w:rPr>
          <w:sz w:val="20"/>
          <w:szCs w:val="20"/>
          <w:color w:val="auto"/>
        </w:rPr>
      </w:pPr>
    </w:p>
    <w:p>
      <w:pPr>
        <w:ind w:left="1120" w:hanging="252"/>
        <w:spacing w:after="0"/>
        <w:tabs>
          <w:tab w:leader="none" w:pos="11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p>
    <w:p>
      <w:pPr>
        <w:spacing w:after="0" w:line="11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If fewer than all of the Notes are to be redeemed or purchased at any time, the Trustee, the Paying Agent or the Registrar will select Notes for redemption or purchase (i) in compliance with the requirements of the principal national securities exchange, if any, on which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No Notes of a principal amount of US$200,000 or less may be redeemed or purchased in part, and if Notes are redeemed or purchased in part, the remaining outstanding amount must be at least equal to US$200,000 and integral multiples of US$1,000 in excess thereof. None of the Trustee, the Paying Agent or the Registrar will be liable for any selections made under this paragraph.</w:t>
      </w:r>
    </w:p>
    <w:p>
      <w:pPr>
        <w:spacing w:after="0" w:line="17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Registrar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US$200,000 or integral multiples of US$1,000 in excess thereof; except that if all of the Notes of a Holder are to be redeemed or purchased, the entire outstanding amount of Notes held by such Holder, even if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p>
    <w:p>
      <w:pPr>
        <w:spacing w:after="0" w:line="117" w:lineRule="exact"/>
        <w:rPr>
          <w:sz w:val="20"/>
          <w:szCs w:val="20"/>
          <w:color w:val="auto"/>
        </w:rPr>
      </w:pPr>
    </w:p>
    <w:p>
      <w:pPr>
        <w:ind w:right="260" w:firstLine="441"/>
        <w:spacing w:after="0" w:line="302" w:lineRule="auto"/>
        <w:rPr>
          <w:sz w:val="20"/>
          <w:szCs w:val="20"/>
          <w:color w:val="auto"/>
        </w:rPr>
      </w:pPr>
      <w:r>
        <w:rPr>
          <w:rFonts w:ascii="Arial" w:cs="Arial" w:eastAsia="Arial" w:hAnsi="Arial"/>
          <w:sz w:val="16"/>
          <w:szCs w:val="16"/>
          <w:color w:val="auto"/>
        </w:rPr>
        <w:t>Subject to the provisions of Section 3.09 hereof,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 8 or 11 hereof.</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 the redemption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0" w:right="439" w:bottom="1440" w:gutter="0" w:footer="0" w:header="0"/>
        </w:sectPr>
      </w:pPr>
    </w:p>
    <w:bookmarkStart w:id="380" w:name="page381"/>
    <w:bookmarkEnd w:id="380"/>
    <w:p>
      <w:pPr>
        <w:ind w:left="1120" w:hanging="252"/>
        <w:spacing w:after="0"/>
        <w:tabs>
          <w:tab w:leader="none" w:pos="11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redemption price;</w:t>
      </w:r>
    </w:p>
    <w:p>
      <w:pPr>
        <w:spacing w:after="0" w:line="117"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r>
        <w:rPr>
          <w:rFonts w:ascii="Arial" w:cs="Arial" w:eastAsia="Arial" w:hAnsi="Arial"/>
          <w:sz w:val="18"/>
          <w:szCs w:val="18"/>
          <w:i w:val="1"/>
          <w:iCs w:val="1"/>
          <w:color w:val="auto"/>
        </w:rPr>
        <w:t>, provided that</w:t>
      </w:r>
      <w:r>
        <w:rPr>
          <w:rFonts w:ascii="Arial" w:cs="Arial" w:eastAsia="Arial" w:hAnsi="Arial"/>
          <w:sz w:val="18"/>
          <w:szCs w:val="18"/>
          <w:color w:val="auto"/>
        </w:rPr>
        <w:t xml:space="preserve"> the unredeemed portion has a minimum denomination of US$200,000;</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 redeemed;</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that no representation is made as to the correctness or accuracy of the CUSIP number, if any, listed in such notice or printed on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Notes;</w:t>
      </w:r>
    </w:p>
    <w:p>
      <w:pPr>
        <w:spacing w:after="0" w:line="102" w:lineRule="exact"/>
        <w:rPr>
          <w:rFonts w:ascii="Arial" w:cs="Arial" w:eastAsia="Arial" w:hAnsi="Arial"/>
          <w:sz w:val="17"/>
          <w:szCs w:val="17"/>
          <w:color w:val="auto"/>
        </w:rPr>
      </w:pPr>
    </w:p>
    <w:p>
      <w:pPr>
        <w:ind w:left="1120" w:hanging="252"/>
        <w:spacing w:after="0"/>
        <w:tabs>
          <w:tab w:leader="none" w:pos="112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applicable, any condition to such redemption; and</w:t>
      </w:r>
    </w:p>
    <w:p>
      <w:pPr>
        <w:spacing w:after="0" w:line="117" w:lineRule="exact"/>
        <w:rPr>
          <w:rFonts w:ascii="Arial" w:cs="Arial" w:eastAsia="Arial" w:hAnsi="Arial"/>
          <w:sz w:val="18"/>
          <w:szCs w:val="18"/>
          <w:color w:val="auto"/>
        </w:rPr>
      </w:pPr>
    </w:p>
    <w:p>
      <w:pPr>
        <w:ind w:left="440" w:right="40" w:firstLine="428"/>
        <w:spacing w:after="0" w:line="277" w:lineRule="auto"/>
        <w:tabs>
          <w:tab w:leader="none" w:pos="1208"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applicable, that payment of the redemption price and performance of the Company’s obligations with respect to such redemption is to be performed by another Person and the identity of such other Person.</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three Business Days prior to the date that the notice of redemption is to be delivered to Holders,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Once notice of redemption is mailed in accordance with Section 3.03 hereof, Notes called for redemption become due and payable on the redemption date at the redemption price stated in such notice, provided, that any redemption pursuant to Paragraph 5 of the Notes may, at the Company’s discretion, be subject to the satisfaction of one or more conditions precedent.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p>
    <w:p>
      <w:pPr>
        <w:spacing w:after="0" w:line="11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No later than 10 a.m. New York time one Business Days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3" w:right="4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3.06 </w:t>
      </w:r>
      <w:r>
        <w:rPr>
          <w:rFonts w:ascii="Arial" w:cs="Arial" w:eastAsia="Arial" w:hAnsi="Arial"/>
          <w:sz w:val="18"/>
          <w:szCs w:val="18"/>
          <w:i w:val="1"/>
          <w:iCs w:val="1"/>
          <w:color w:val="auto"/>
        </w:rPr>
        <w:t>Notes Redeemed or Purchased in Part.</w:t>
      </w:r>
    </w:p>
    <w:p>
      <w:pPr>
        <w:spacing w:after="0" w:line="11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In the case of Definitive Notes, 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p>
    <w:p>
      <w:pPr>
        <w:spacing w:after="0" w:line="117" w:lineRule="exact"/>
        <w:rPr>
          <w:sz w:val="20"/>
          <w:szCs w:val="20"/>
          <w:color w:val="auto"/>
        </w:rPr>
      </w:pPr>
    </w:p>
    <w:p>
      <w:pPr>
        <w:jc w:val="both"/>
        <w:ind w:firstLine="444"/>
        <w:spacing w:after="0" w:line="259" w:lineRule="auto"/>
        <w:tabs>
          <w:tab w:leader="none" w:pos="68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 xml:space="preserve">At any time prior to February 11, 2021, the Company may on any one or more occasions redeem up to 35% of the aggregate principal amount of the Notes at a redemption price of 107.250% of the principal amount thereof, plus accrued and unpaid interest,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200" w:firstLine="428"/>
        <w:spacing w:after="0" w:line="277" w:lineRule="auto"/>
        <w:tabs>
          <w:tab w:leader="none" w:pos="1118"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the redemption occurs within 45 days of the date of the closing of such Equity Offering.</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Equity Offering.</w:t>
      </w:r>
    </w:p>
    <w:p>
      <w:pPr>
        <w:spacing w:after="0" w:line="73" w:lineRule="exact"/>
        <w:rPr>
          <w:sz w:val="20"/>
          <w:szCs w:val="20"/>
          <w:color w:val="auto"/>
        </w:rPr>
      </w:pPr>
    </w:p>
    <w:p>
      <w:pPr>
        <w:ind w:right="60" w:firstLine="444"/>
        <w:spacing w:after="0" w:line="302" w:lineRule="auto"/>
        <w:tabs>
          <w:tab w:leader="none" w:pos="696" w:val="left"/>
        </w:tabs>
        <w:numPr>
          <w:ilvl w:val="0"/>
          <w:numId w:val="532"/>
        </w:numPr>
        <w:rPr>
          <w:rFonts w:ascii="Arial" w:cs="Arial" w:eastAsia="Arial" w:hAnsi="Arial"/>
          <w:sz w:val="16"/>
          <w:szCs w:val="16"/>
          <w:color w:val="auto"/>
        </w:rPr>
      </w:pPr>
      <w:r>
        <w:rPr>
          <w:rFonts w:ascii="Arial" w:cs="Arial" w:eastAsia="Arial" w:hAnsi="Arial"/>
          <w:sz w:val="16"/>
          <w:szCs w:val="16"/>
          <w:color w:val="auto"/>
        </w:rPr>
        <w:t>At any time prior to February 11, 2021, the Company may redeem all or a part of the Notes, upon not less than 30 nor more than 60 days’ notice, at a redemption price equal to 100% of the principal amount of the Notes redeemed plus the Applicable Premium as of, and accrued and unpaid interest to,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46" w:lineRule="exact"/>
        <w:rPr>
          <w:rFonts w:ascii="Arial" w:cs="Arial" w:eastAsia="Arial" w:hAnsi="Arial"/>
          <w:sz w:val="16"/>
          <w:szCs w:val="16"/>
          <w:color w:val="auto"/>
        </w:rPr>
      </w:pPr>
    </w:p>
    <w:p>
      <w:pPr>
        <w:ind w:right="620" w:firstLine="444"/>
        <w:spacing w:after="0" w:line="277" w:lineRule="auto"/>
        <w:tabs>
          <w:tab w:leader="none" w:pos="685" w:val="left"/>
        </w:tabs>
        <w:numPr>
          <w:ilvl w:val="0"/>
          <w:numId w:val="532"/>
        </w:numPr>
        <w:rPr>
          <w:rFonts w:ascii="Arial" w:cs="Arial" w:eastAsia="Arial" w:hAnsi="Arial"/>
          <w:sz w:val="18"/>
          <w:szCs w:val="18"/>
          <w:color w:val="auto"/>
        </w:rPr>
      </w:pPr>
      <w:r>
        <w:rPr>
          <w:rFonts w:ascii="Arial" w:cs="Arial" w:eastAsia="Arial" w:hAnsi="Arial"/>
          <w:sz w:val="18"/>
          <w:szCs w:val="18"/>
          <w:color w:val="auto"/>
        </w:rPr>
        <w:t>Except pursuant to the two preceding paragraphs and the provisions under Section 3.10 and Section 3.11 hereof, the Notes will not be redeemable at the Company’s option prior to February 11, 2021.</w:t>
      </w:r>
    </w:p>
    <w:p>
      <w:pPr>
        <w:spacing w:after="0" w:line="62" w:lineRule="exact"/>
        <w:rPr>
          <w:rFonts w:ascii="Arial" w:cs="Arial" w:eastAsia="Arial" w:hAnsi="Arial"/>
          <w:sz w:val="18"/>
          <w:szCs w:val="18"/>
          <w:color w:val="auto"/>
        </w:rPr>
      </w:pPr>
    </w:p>
    <w:p>
      <w:pPr>
        <w:jc w:val="both"/>
        <w:ind w:firstLine="444"/>
        <w:spacing w:after="0" w:line="259" w:lineRule="auto"/>
        <w:tabs>
          <w:tab w:leader="none" w:pos="696" w:val="left"/>
        </w:tabs>
        <w:numPr>
          <w:ilvl w:val="0"/>
          <w:numId w:val="532"/>
        </w:numPr>
        <w:rPr>
          <w:rFonts w:ascii="Arial" w:cs="Arial" w:eastAsia="Arial" w:hAnsi="Arial"/>
          <w:sz w:val="18"/>
          <w:szCs w:val="18"/>
          <w:color w:val="auto"/>
        </w:rPr>
      </w:pPr>
      <w:r>
        <w:rPr>
          <w:rFonts w:ascii="Arial" w:cs="Arial" w:eastAsia="Arial" w:hAnsi="Arial"/>
          <w:sz w:val="18"/>
          <w:szCs w:val="18"/>
          <w:color w:val="auto"/>
        </w:rPr>
        <w:t>On or after February 11, 2021, the Company may redeem all or a part of the Notes upon not less than 30 nor more than 60 days’ notice, at the redemption prices (expressed as percentages of the principal amount) set forth below plus accrued and unpaid interest, if any, on the Notes redeemed, to the applicable redemption date, if redeemed during the periods indicated below, subject to the rights of holders of the Notes on the relevant record date to receive interest on the relevant interest payment date:</w:t>
      </w:r>
    </w:p>
    <w:p>
      <w:pPr>
        <w:spacing w:after="0" w:line="206" w:lineRule="exact"/>
        <w:rPr>
          <w:sz w:val="20"/>
          <w:szCs w:val="20"/>
          <w:color w:val="auto"/>
        </w:rPr>
      </w:pPr>
    </w:p>
    <w:tbl>
      <w:tblPr>
        <w:tblLayout w:type="fixed"/>
        <w:tblInd w:w="1780" w:type="dxa"/>
        <w:tblCellMar>
          <w:top w:w="0" w:type="dxa"/>
          <w:left w:w="0" w:type="dxa"/>
          <w:bottom w:w="0" w:type="dxa"/>
          <w:right w:w="0" w:type="dxa"/>
        </w:tblCellMar>
      </w:tblP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700" w:type="dxa"/>
            <w:vAlign w:val="bottom"/>
            <w:vMerge w:val="restart"/>
          </w:tcPr>
          <w:p>
            <w:pPr>
              <w:spacing w:after="0"/>
              <w:rPr>
                <w:sz w:val="14"/>
                <w:szCs w:val="14"/>
                <w:color w:val="auto"/>
              </w:rPr>
            </w:pPr>
          </w:p>
        </w:tc>
        <w:tc>
          <w:tcPr>
            <w:tcW w:w="2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February 11, 2021</w:t>
            </w:r>
          </w:p>
        </w:tc>
        <w:tc>
          <w:tcPr>
            <w:tcW w:w="14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103.625%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Twelve-month period on or after February 11, 2022</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101.813%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February 11, 2023</w:t>
            </w:r>
          </w:p>
        </w:tc>
        <w:tc>
          <w:tcPr>
            <w:tcW w:w="2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440" w:top="274" w:right="519" w:bottom="1440" w:gutter="0" w:footer="0" w:header="0"/>
        </w:sectPr>
      </w:pPr>
    </w:p>
    <w:bookmarkStart w:id="382" w:name="page383"/>
    <w:bookmarkEnd w:id="382"/>
    <w:p>
      <w:pPr>
        <w:ind w:right="40" w:firstLine="444"/>
        <w:spacing w:after="0" w:line="271" w:lineRule="auto"/>
        <w:tabs>
          <w:tab w:leader="none" w:pos="685" w:val="left"/>
        </w:tabs>
        <w:numPr>
          <w:ilvl w:val="0"/>
          <w:numId w:val="5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redemption pursuant to this Section 3.07 shall be made pursuant to the provisions of Section 3.01 through Section 3.06 hereof and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Mandatory Redemption.</w:t>
      </w:r>
    </w:p>
    <w:p>
      <w:pPr>
        <w:spacing w:after="0" w:line="11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However, under certain circumstances, the Company may be required to offer to purchase Notes as described in Section 4.15 and Section 4.10 hereof. The Company may at any time and from time to time purchase Notes in the open market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Offer to Purchase by Application of Excess Proceeds.</w:t>
      </w:r>
    </w:p>
    <w:p>
      <w:pPr>
        <w:spacing w:after="0" w:line="11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w:t>
      </w:r>
      <w:r>
        <w:rPr>
          <w:rFonts w:ascii="Arial" w:cs="Arial" w:eastAsia="Arial" w:hAnsi="Arial"/>
          <w:sz w:val="18"/>
          <w:szCs w:val="18"/>
          <w:i w:val="1"/>
          <w:iCs w:val="1"/>
          <w:color w:val="auto"/>
        </w:rPr>
        <w:t>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280" w:firstLine="441"/>
        <w:spacing w:after="0" w:line="291" w:lineRule="auto"/>
        <w:rPr>
          <w:sz w:val="20"/>
          <w:szCs w:val="20"/>
          <w:color w:val="auto"/>
        </w:rPr>
      </w:pPr>
      <w:r>
        <w:rPr>
          <w:rFonts w:ascii="Arial" w:cs="Arial" w:eastAsia="Arial" w:hAnsi="Arial"/>
          <w:sz w:val="16"/>
          <w:szCs w:val="16"/>
          <w:color w:val="auto"/>
        </w:rPr>
        <w:t xml:space="preserve">The Asset Sale Offer shall be made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color w:val="auto"/>
        </w:rPr>
        <w:t>Offer Period</w:t>
      </w:r>
      <w:r>
        <w:rPr>
          <w:rFonts w:ascii="Arial" w:cs="Arial" w:eastAsia="Arial" w:hAnsi="Arial"/>
          <w:sz w:val="16"/>
          <w:szCs w:val="16"/>
          <w:color w:val="auto"/>
        </w:rPr>
        <w:t xml:space="preserve">”). No later than five Business Days after the termination of the Offer Period (the “ </w:t>
      </w:r>
      <w:r>
        <w:rPr>
          <w:rFonts w:ascii="Arial" w:cs="Arial" w:eastAsia="Arial" w:hAnsi="Arial"/>
          <w:sz w:val="16"/>
          <w:szCs w:val="16"/>
          <w:i w:val="1"/>
          <w:iCs w:val="1"/>
          <w:color w:val="auto"/>
        </w:rPr>
        <w:t>Purchase Date</w:t>
      </w:r>
      <w:r>
        <w:rPr>
          <w:rFonts w:ascii="Arial" w:cs="Arial" w:eastAsia="Arial" w:hAnsi="Arial"/>
          <w:sz w:val="16"/>
          <w:szCs w:val="16"/>
          <w:color w:val="auto"/>
        </w:rPr>
        <w:t>”), the Company will apply all Excess Proceeds (the “</w:t>
      </w:r>
      <w:r>
        <w:rPr>
          <w:rFonts w:ascii="Arial" w:cs="Arial" w:eastAsia="Arial" w:hAnsi="Arial"/>
          <w:sz w:val="16"/>
          <w:szCs w:val="16"/>
          <w:i w:val="1"/>
          <w:iCs w:val="1"/>
          <w:color w:val="auto"/>
        </w:rPr>
        <w:t>Offer Amount</w:t>
      </w:r>
      <w:r>
        <w:rPr>
          <w:rFonts w:ascii="Arial" w:cs="Arial" w:eastAsia="Arial" w:hAnsi="Arial"/>
          <w:sz w:val="16"/>
          <w:szCs w:val="16"/>
          <w:color w:val="auto"/>
        </w:rPr>
        <w:t>”) to the purchase of Notes and such other</w:t>
      </w:r>
      <w:r>
        <w:rPr>
          <w:rFonts w:ascii="Arial" w:cs="Arial" w:eastAsia="Arial" w:hAnsi="Arial"/>
          <w:sz w:val="16"/>
          <w:szCs w:val="16"/>
          <w:i w:val="1"/>
          <w:iCs w:val="1"/>
          <w:color w:val="auto"/>
        </w:rPr>
        <w:t xml:space="preserve"> pari passu </w:t>
      </w:r>
      <w:r>
        <w:rPr>
          <w:rFonts w:ascii="Arial" w:cs="Arial" w:eastAsia="Arial" w:hAnsi="Arial"/>
          <w:sz w:val="16"/>
          <w:szCs w:val="16"/>
          <w:color w:val="auto"/>
        </w:rPr>
        <w:t>Indebtedness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6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Additional Amounts, if any, will be paid to the Person in whose name a Note is registered at the close of business on such record date, and no additional interest will be payable to Holders who tender Notes pursuant to the Asset Sale Offer.</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3" w:lineRule="exact"/>
        <w:rPr>
          <w:sz w:val="20"/>
          <w:szCs w:val="20"/>
          <w:color w:val="auto"/>
        </w:rPr>
      </w:pPr>
    </w:p>
    <w:p>
      <w:pPr>
        <w:ind w:left="440" w:right="120" w:firstLine="428"/>
        <w:spacing w:after="0" w:line="277" w:lineRule="auto"/>
        <w:tabs>
          <w:tab w:leader="none" w:pos="1118"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3" w:right="439" w:bottom="1440" w:gutter="0" w:footer="0" w:header="0"/>
        </w:sectPr>
      </w:pPr>
    </w:p>
    <w:bookmarkStart w:id="383" w:name="page384"/>
    <w:bookmarkEnd w:id="383"/>
    <w:p>
      <w:pPr>
        <w:ind w:left="440" w:right="20" w:firstLine="428"/>
        <w:spacing w:after="0" w:line="277" w:lineRule="auto"/>
        <w:tabs>
          <w:tab w:leader="none" w:pos="1118" w:val="left"/>
        </w:tabs>
        <w:numPr>
          <w:ilvl w:val="0"/>
          <w:numId w:val="5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unless the Company defaults in making such payment, any Note accepted for payment pursuant to the Asset Sale Offer will cease to accrue interest after the Purchase Date;</w:t>
      </w:r>
    </w:p>
    <w:p>
      <w:pPr>
        <w:spacing w:after="0" w:line="62"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Asset Sale Offer may elect to have Notes purchased in integral multiples of US$200,000 and integral multiples of US$1,000 in excess thereof only;</w:t>
      </w:r>
    </w:p>
    <w:p>
      <w:pPr>
        <w:spacing w:after="0" w:line="62" w:lineRule="exact"/>
        <w:rPr>
          <w:rFonts w:ascii="Arial" w:cs="Arial" w:eastAsia="Arial" w:hAnsi="Arial"/>
          <w:sz w:val="18"/>
          <w:szCs w:val="18"/>
          <w:color w:val="auto"/>
        </w:rPr>
      </w:pPr>
    </w:p>
    <w:p>
      <w:pPr>
        <w:ind w:left="440" w:right="40" w:firstLine="428"/>
        <w:spacing w:after="0" w:line="312" w:lineRule="auto"/>
        <w:tabs>
          <w:tab w:leader="none" w:pos="1118"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38" w:lineRule="exact"/>
        <w:rPr>
          <w:rFonts w:ascii="Arial" w:cs="Arial" w:eastAsia="Arial" w:hAnsi="Arial"/>
          <w:sz w:val="16"/>
          <w:szCs w:val="16"/>
          <w:color w:val="auto"/>
        </w:rPr>
      </w:pPr>
    </w:p>
    <w:p>
      <w:pPr>
        <w:ind w:left="440" w:right="40" w:firstLine="428"/>
        <w:spacing w:after="0" w:line="259" w:lineRule="auto"/>
        <w:tabs>
          <w:tab w:leader="none" w:pos="111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jc w:val="both"/>
        <w:ind w:left="440" w:right="420" w:firstLine="428"/>
        <w:spacing w:after="0" w:line="302" w:lineRule="auto"/>
        <w:tabs>
          <w:tab w:leader="none" w:pos="1118" w:val="left"/>
        </w:tabs>
        <w:numPr>
          <w:ilvl w:val="0"/>
          <w:numId w:val="535"/>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by holders thereof exceeds the Offer Amount, the Company will select the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in accordance with Section 3.02 based on the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(with such adjustments as may be deemed appropriate by the Company so that only Notes in denominations of US$200,000, or integral multiples of US$1,000 in excess thereof, will be purchased); and</w:t>
      </w:r>
    </w:p>
    <w:p>
      <w:pPr>
        <w:spacing w:after="0" w:line="46" w:lineRule="exact"/>
        <w:rPr>
          <w:rFonts w:ascii="Arial" w:cs="Arial" w:eastAsia="Arial" w:hAnsi="Arial"/>
          <w:sz w:val="16"/>
          <w:szCs w:val="16"/>
          <w:color w:val="auto"/>
        </w:rPr>
      </w:pPr>
    </w:p>
    <w:p>
      <w:pPr>
        <w:ind w:left="440" w:firstLine="428"/>
        <w:spacing w:after="0" w:line="342" w:lineRule="auto"/>
        <w:tabs>
          <w:tab w:leader="none" w:pos="1118" w:val="left"/>
        </w:tabs>
        <w:numPr>
          <w:ilvl w:val="0"/>
          <w:numId w:val="535"/>
        </w:numPr>
        <w:rPr>
          <w:rFonts w:ascii="Arial" w:cs="Arial" w:eastAsia="Arial" w:hAnsi="Arial"/>
          <w:sz w:val="16"/>
          <w:szCs w:val="16"/>
          <w:color w:val="auto"/>
        </w:rPr>
      </w:pPr>
      <w:r>
        <w:rPr>
          <w:rFonts w:ascii="Arial" w:cs="Arial" w:eastAsia="Arial" w:hAnsi="Arial"/>
          <w:sz w:val="16"/>
          <w:szCs w:val="16"/>
          <w:color w:val="auto"/>
        </w:rPr>
        <w:t xml:space="preserve">that Holders whose Notes were purchased only in part will be issued new Notes equal in principal amount to the unpurchased portion of the Notes surrendered (or transferred by book-entry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w:t>
      </w:r>
    </w:p>
    <w:p>
      <w:pPr>
        <w:spacing w:after="0" w:line="124"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(but subject to Section 3.02),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 Any Note not so accepted shall be promptly mailed or delivered by the Company to the Holder thereof. The Company will publicly announce the results of the Asset Sale Offer on the Purchase Date.</w:t>
      </w:r>
    </w:p>
    <w:p>
      <w:pPr>
        <w:spacing w:after="0" w:line="16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 3.01 through Section 3.06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3.10 </w:t>
      </w:r>
      <w:r>
        <w:rPr>
          <w:rFonts w:ascii="Arial" w:cs="Arial" w:eastAsia="Arial" w:hAnsi="Arial"/>
          <w:sz w:val="18"/>
          <w:szCs w:val="18"/>
          <w:i w:val="1"/>
          <w:iCs w:val="1"/>
          <w:color w:val="auto"/>
        </w:rPr>
        <w:t>Redemption for Taxation Reasons.</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(including any Additional Amounts), if any, to the date fixed by the Company for redemption (the “</w:t>
      </w:r>
      <w:r>
        <w:rPr>
          <w:rFonts w:ascii="Arial" w:cs="Arial" w:eastAsia="Arial" w:hAnsi="Arial"/>
          <w:sz w:val="18"/>
          <w:szCs w:val="18"/>
          <w:i w:val="1"/>
          <w:iCs w:val="1"/>
          <w:color w:val="auto"/>
        </w:rPr>
        <w:t>Tax Redemption Date</w:t>
      </w:r>
      <w:r>
        <w:rPr>
          <w:rFonts w:ascii="Arial" w:cs="Arial" w:eastAsia="Arial" w:hAnsi="Arial"/>
          <w:sz w:val="18"/>
          <w:szCs w:val="18"/>
          <w:color w:val="auto"/>
        </w:rPr>
        <w:t>”) if, as a result of:</w:t>
      </w:r>
    </w:p>
    <w:p>
      <w:pPr>
        <w:spacing w:after="0" w:line="79" w:lineRule="exact"/>
        <w:rPr>
          <w:sz w:val="20"/>
          <w:szCs w:val="20"/>
          <w:color w:val="auto"/>
        </w:rPr>
      </w:pPr>
    </w:p>
    <w:p>
      <w:pPr>
        <w:ind w:left="440" w:right="300" w:firstLine="428"/>
        <w:spacing w:after="0" w:line="277" w:lineRule="auto"/>
        <w:tabs>
          <w:tab w:leader="none" w:pos="111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thereunder) of a Relevant Jurisdiction affecting taxation; or</w:t>
      </w:r>
    </w:p>
    <w:p>
      <w:pPr>
        <w:spacing w:after="0" w:line="62" w:lineRule="exact"/>
        <w:rPr>
          <w:rFonts w:ascii="Arial" w:cs="Arial" w:eastAsia="Arial" w:hAnsi="Arial"/>
          <w:sz w:val="18"/>
          <w:szCs w:val="18"/>
          <w:color w:val="auto"/>
        </w:rPr>
      </w:pPr>
    </w:p>
    <w:p>
      <w:pPr>
        <w:ind w:left="440" w:right="460" w:firstLine="428"/>
        <w:spacing w:after="0" w:line="277" w:lineRule="auto"/>
        <w:tabs>
          <w:tab w:leader="none" w:pos="111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change in, or amendment to, an official position regarding the application or interpretation of such laws, regulations or rulings (including a holding, judgment or order by a court of competent jurisdiction),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which change or amendment becomes effective on or after the date of this Indenture with respect to any payment due or to become due under the Notes, this Indenture or a Note Guarantee, the Company or a Subsidiary Guarantor, as the case may be, is, or on the next Interest Payment Date would be, required to pay Additional Amounts, and such requirement cannot be avoided by the Company or a Subsidiary Guarantor, as the case may be, taking reasonable measures available to it;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the avoidance of doubt, changing the jurisdiction of the Company or a Subsidiary Guarantor is not a reasonable measure for the purposes of this Section 3.10;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notice of redemption will be given earlier than 90 days prior to the earliest date on which the Company or a Subsidiary Guarantor, as the case may be, would be obligated to pay such Additional Amounts if a payment in respect of the Notes were then due.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Prior to the mailing of any notice of redemption of the Notes pursuant to the foregoing, the Company will deliver to the Trustee:</w:t>
      </w:r>
    </w:p>
    <w:p>
      <w:pPr>
        <w:spacing w:after="0" w:line="117" w:lineRule="exact"/>
        <w:rPr>
          <w:sz w:val="20"/>
          <w:szCs w:val="20"/>
          <w:color w:val="auto"/>
        </w:rPr>
      </w:pPr>
    </w:p>
    <w:p>
      <w:pPr>
        <w:ind w:left="440" w:right="160" w:firstLine="428"/>
        <w:spacing w:after="0" w:line="264" w:lineRule="auto"/>
        <w:tabs>
          <w:tab w:leader="none" w:pos="1118"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an Officer’s Certificate stating that such change or amendment referred to in the prior paragraph has occurred, and describing the facts related thereto and stating that such requirement cannot be avoided by the Company or such Subsidiary Guarantor, as the case may be, taking reasonable measures available to it; and</w:t>
      </w:r>
    </w:p>
    <w:p>
      <w:pPr>
        <w:spacing w:after="0" w:line="73" w:lineRule="exact"/>
        <w:rPr>
          <w:rFonts w:ascii="Arial" w:cs="Arial" w:eastAsia="Arial" w:hAnsi="Arial"/>
          <w:sz w:val="18"/>
          <w:szCs w:val="18"/>
          <w:color w:val="auto"/>
        </w:rPr>
      </w:pPr>
    </w:p>
    <w:p>
      <w:pPr>
        <w:ind w:left="440" w:right="300" w:firstLine="428"/>
        <w:spacing w:after="0" w:line="277" w:lineRule="auto"/>
        <w:tabs>
          <w:tab w:leader="none" w:pos="1118"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an Opinion of Counsel or an opinion of a tax consultant of recognized international standing stating that the requirement to pay such Additional Amounts results from such change or amendment referred to in the prior paragraph.</w:t>
      </w:r>
    </w:p>
    <w:p>
      <w:pPr>
        <w:spacing w:after="0" w:line="170"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Notes that are redeemed pursuant to this Section 3.10 will be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Gaming Redemption.</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Each Holder, by accepting a Note, shall be deemed to have agreed that if the Gaming Authority of any jurisdiction in which the Company or any of its Affiliates (including Melco Resorts Macau)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80" w:lineRule="exact"/>
        <w:rPr>
          <w:sz w:val="20"/>
          <w:szCs w:val="20"/>
          <w:color w:val="auto"/>
        </w:rPr>
      </w:pPr>
    </w:p>
    <w:p>
      <w:pPr>
        <w:ind w:left="440" w:right="60" w:firstLine="428"/>
        <w:spacing w:after="0" w:line="277" w:lineRule="auto"/>
        <w:tabs>
          <w:tab w:leader="none" w:pos="1118"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to require such Person to dispose of its Notes or beneficial interest therein within 30 days of receipt of notice of the Company’s election or such earlier date as may be requested or prescribed by such Gaming Authority; or</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to redeem such Notes, which redemption may be less than 30 days following the notice of redemption if so requested or prescribed by the applicable gaming authority, at a redemption price equal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385" w:name="page386"/>
    <w:bookmarkEnd w:id="385"/>
    <w:p>
      <w:pPr>
        <w:ind w:left="1580" w:hanging="289"/>
        <w:spacing w:after="0"/>
        <w:tabs>
          <w:tab w:leader="none" w:pos="15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lesser of:</w:t>
      </w:r>
    </w:p>
    <w:p>
      <w:pPr>
        <w:spacing w:after="0" w:line="130" w:lineRule="exact"/>
        <w:rPr>
          <w:rFonts w:ascii="Arial" w:cs="Arial" w:eastAsia="Arial" w:hAnsi="Arial"/>
          <w:sz w:val="18"/>
          <w:szCs w:val="18"/>
          <w:color w:val="auto"/>
        </w:rPr>
      </w:pPr>
    </w:p>
    <w:p>
      <w:pPr>
        <w:ind w:left="2300" w:hanging="432"/>
        <w:spacing w:after="0" w:line="277" w:lineRule="auto"/>
        <w:tabs>
          <w:tab w:leader="none" w:pos="23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the Person’s cost, plus accrued and unpaid interest, if any, to the earlier of the redemption date or the date of the finding of unsuitability or failure to comply; and</w:t>
      </w:r>
    </w:p>
    <w:p>
      <w:pPr>
        <w:spacing w:after="0" w:line="75" w:lineRule="exact"/>
        <w:rPr>
          <w:rFonts w:ascii="Arial" w:cs="Arial" w:eastAsia="Arial" w:hAnsi="Arial"/>
          <w:sz w:val="18"/>
          <w:szCs w:val="18"/>
          <w:color w:val="auto"/>
        </w:rPr>
      </w:pPr>
    </w:p>
    <w:p>
      <w:pPr>
        <w:ind w:left="2300" w:right="140" w:hanging="432"/>
        <w:spacing w:after="0" w:line="277" w:lineRule="auto"/>
        <w:tabs>
          <w:tab w:leader="none" w:pos="230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100% of the principal amount thereof, plus accrued and unpaid interest, if any, to the earlier of the redemption date or the date of the finding of unsuitability or failure to comply; or</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such other amount as may be required by applicable law or order of the applicable Gaming Authority.</w:t>
      </w:r>
    </w:p>
    <w:p>
      <w:pPr>
        <w:spacing w:after="0" w:line="225"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440" w:top="273" w:right="5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p>
    <w:p>
      <w:pPr>
        <w:spacing w:after="0" w:line="117"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two Business Days prior to the due date money deposited by the Company in immediately available funds and designated for and sufficient to pay all principal, premium, if any, interest and Additional Amounts, if any, then due. All the funds provided to the Paying Agent must be in U.S. Dollars.</w:t>
      </w:r>
    </w:p>
    <w:p>
      <w:pPr>
        <w:spacing w:after="0" w:line="17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p>
      <w:pPr>
        <w:spacing w:after="0" w:line="11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Company hereby designates Deutsche Bank Trust Company Americas as one such office or agency of the Company in accordance with Section 2.03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117" w:lineRule="exact"/>
        <w:rPr>
          <w:sz w:val="20"/>
          <w:szCs w:val="20"/>
          <w:color w:val="auto"/>
        </w:rPr>
      </w:pPr>
    </w:p>
    <w:p>
      <w:pPr>
        <w:ind w:left="680" w:hanging="236"/>
        <w:spacing w:after="0"/>
        <w:tabs>
          <w:tab w:leader="none" w:pos="6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Company will provide to the Trustee and the Holders and make available to potential investors:</w:t>
      </w:r>
    </w:p>
    <w:p>
      <w:pPr>
        <w:spacing w:after="0" w:line="117" w:lineRule="exact"/>
        <w:rPr>
          <w:rFonts w:ascii="Arial" w:cs="Arial" w:eastAsia="Arial" w:hAnsi="Arial"/>
          <w:sz w:val="18"/>
          <w:szCs w:val="18"/>
          <w:color w:val="auto"/>
        </w:rPr>
      </w:pPr>
    </w:p>
    <w:p>
      <w:pPr>
        <w:ind w:left="440" w:right="20" w:firstLine="428"/>
        <w:spacing w:after="0" w:line="287" w:lineRule="auto"/>
        <w:tabs>
          <w:tab w:leader="none" w:pos="1118" w:val="left"/>
        </w:tabs>
        <w:numPr>
          <w:ilvl w:val="1"/>
          <w:numId w:val="540"/>
        </w:numPr>
        <w:rPr>
          <w:rFonts w:ascii="Arial" w:cs="Arial" w:eastAsia="Arial" w:hAnsi="Arial"/>
          <w:sz w:val="16"/>
          <w:szCs w:val="16"/>
          <w:color w:val="auto"/>
        </w:rPr>
      </w:pPr>
      <w:r>
        <w:rPr>
          <w:rFonts w:ascii="Arial" w:cs="Arial" w:eastAsia="Arial" w:hAnsi="Arial"/>
          <w:sz w:val="16"/>
          <w:szCs w:val="16"/>
          <w:color w:val="auto"/>
        </w:rPr>
        <w:t xml:space="preserve">within 120 days after the end of the Company’s fiscal year, annual reports of the Company containing: (a) information with a level of detail that is substantially comparable to the sections in the Offering Memorandum entitled “Selected Consolidated Financial and Operational Data,” “Business,” “Management,” “Related Party Transactions” and “Description of Other Material Indebtedness;” (b) the Company’s audited consolidated (i) balance sheet as of the end of the two most recent fiscal years and (ii) income statement and statement of cash flow for the two most recent fiscal years, in each case prepared in accordance with U.S. GAAP and including complete footnotes to such financial statements and the report of the independent auditors on the financial statements; (c) an operating and financial review of the two most recent fiscal years for the Company and its Restricted Subsidiaries, including a discussion of (i) the financial condition and results of operations of the Company on a consolidated basis and any material changes between such two fiscal years and (ii) any material developments in the business of the Company and its Restricted Subsidiaries; and (d)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year, unless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has been provided in a previous report pursuant to paragraph (2)(c)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no</w:t>
      </w:r>
      <w:r>
        <w:rPr>
          <w:rFonts w:ascii="Arial" w:cs="Arial" w:eastAsia="Arial" w:hAnsi="Arial"/>
          <w:sz w:val="16"/>
          <w:szCs w:val="16"/>
          <w:i w:val="1"/>
          <w:iCs w:val="1"/>
          <w:color w:val="auto"/>
        </w:rPr>
        <w:t xml:space="preserve"> pro forma </w:t>
      </w:r>
      <w:r>
        <w:rPr>
          <w:rFonts w:ascii="Arial" w:cs="Arial" w:eastAsia="Arial" w:hAnsi="Arial"/>
          <w:sz w:val="16"/>
          <w:szCs w:val="16"/>
          <w:color w:val="auto"/>
        </w:rPr>
        <w:t>information shall be required to be provided for any material acquisitions or dispositions relating solely to the Phase II Project;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0" w:right="439" w:bottom="1440" w:gutter="0" w:footer="0" w:header="0"/>
        </w:sectPr>
      </w:pPr>
    </w:p>
    <w:bookmarkStart w:id="387" w:name="page388"/>
    <w:bookmarkEnd w:id="387"/>
    <w:p>
      <w:pPr>
        <w:ind w:left="1120" w:hanging="252"/>
        <w:spacing w:after="0"/>
        <w:tabs>
          <w:tab w:leader="none" w:pos="1120" w:val="left"/>
        </w:tabs>
        <w:numPr>
          <w:ilvl w:val="1"/>
          <w:numId w:val="5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60 days after the end of each day of the first three fiscal quarters in each fiscal year of the Company, quarterly reports containing:</w:t>
      </w:r>
    </w:p>
    <w:p>
      <w:pPr>
        <w:spacing w:after="0" w:line="46" w:lineRule="exact"/>
        <w:rPr>
          <w:rFonts w:ascii="Arial" w:cs="Arial" w:eastAsia="Arial" w:hAnsi="Arial"/>
          <w:sz w:val="16"/>
          <w:szCs w:val="16"/>
          <w:color w:val="auto"/>
        </w:rPr>
      </w:pPr>
    </w:p>
    <w:p>
      <w:pPr>
        <w:ind w:left="440" w:firstLine="4"/>
        <w:spacing w:after="0" w:line="286" w:lineRule="auto"/>
        <w:tabs>
          <w:tab w:leader="none" w:pos="685" w:val="left"/>
        </w:tabs>
        <w:numPr>
          <w:ilvl w:val="0"/>
          <w:numId w:val="542"/>
        </w:numPr>
        <w:rPr>
          <w:rFonts w:ascii="Arial" w:cs="Arial" w:eastAsia="Arial" w:hAnsi="Arial"/>
          <w:sz w:val="16"/>
          <w:szCs w:val="16"/>
          <w:color w:val="auto"/>
        </w:rPr>
      </w:pPr>
      <w:r>
        <w:rPr>
          <w:rFonts w:ascii="Arial" w:cs="Arial" w:eastAsia="Arial" w:hAnsi="Arial"/>
          <w:sz w:val="16"/>
          <w:szCs w:val="16"/>
          <w:color w:val="auto"/>
        </w:rPr>
        <w:t xml:space="preserve">the Company’s unaudited condensed consolidated (i) balance sheet as of the end of such quarter and (ii) statement of income and cash flow for the quarterly and year to date periods ending on the most recent balance sheet date, and the comparable prior year periods, in each case prepared in accordance with U.S. GAAP; (b) an operating and financial review of such periods for the Company and its Restricted Subsidiaries including a discussion of (i) the financial condition and results of operations of the Company on a consolidated basis and material changes between the current period and the period of the prior year and (ii) any material developments in the business of the Company and its Restricted Subsidiaries; (c)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w:t>
      </w:r>
      <w:r>
        <w:rPr>
          <w:rFonts w:ascii="Arial" w:cs="Arial" w:eastAsia="Arial" w:hAnsi="Arial"/>
          <w:sz w:val="16"/>
          <w:szCs w:val="16"/>
          <w:color w:val="auto"/>
        </w:rPr>
        <w:t>income statement and balance sheet information of the Company, together with explanatory footnotes, for any Change of Control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 acquisitions, dispositions or recapitalizations that have occurred since the beginning of the most recently completed fiscal quarter,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no pro forma information shall be required to be provided for any material acquisitions or dispositions relating solely to the Phase II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Project,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may provide any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relating to a material acquisition within 75 days following such quarterly report in the form of a report provided pursuant to clause (3) below; and</w:t>
      </w:r>
    </w:p>
    <w:p>
      <w:pPr>
        <w:spacing w:after="0" w:line="62" w:lineRule="exact"/>
        <w:rPr>
          <w:rFonts w:ascii="Arial" w:cs="Arial" w:eastAsia="Arial" w:hAnsi="Arial"/>
          <w:sz w:val="16"/>
          <w:szCs w:val="16"/>
          <w:color w:val="auto"/>
        </w:rPr>
      </w:pPr>
    </w:p>
    <w:p>
      <w:pPr>
        <w:ind w:left="1120" w:hanging="252"/>
        <w:spacing w:after="0"/>
        <w:tabs>
          <w:tab w:leader="none" w:pos="1120" w:val="left"/>
        </w:tabs>
        <w:numPr>
          <w:ilvl w:val="1"/>
          <w:numId w:val="542"/>
        </w:numPr>
        <w:rPr>
          <w:rFonts w:ascii="Arial" w:cs="Arial" w:eastAsia="Arial" w:hAnsi="Arial"/>
          <w:sz w:val="17"/>
          <w:szCs w:val="17"/>
          <w:color w:val="auto"/>
        </w:rPr>
      </w:pPr>
      <w:r>
        <w:rPr>
          <w:rFonts w:ascii="Arial" w:cs="Arial" w:eastAsia="Arial" w:hAnsi="Arial"/>
          <w:sz w:val="17"/>
          <w:szCs w:val="17"/>
          <w:color w:val="auto"/>
        </w:rPr>
        <w:t>promptly from time to time after the occurrence of any of the events listed in (a) to (d) of this clause (3) information with respect to</w:t>
      </w:r>
    </w:p>
    <w:p>
      <w:pPr>
        <w:spacing w:after="0" w:line="35" w:lineRule="exact"/>
        <w:rPr>
          <w:sz w:val="20"/>
          <w:szCs w:val="20"/>
          <w:color w:val="auto"/>
        </w:rPr>
      </w:pPr>
    </w:p>
    <w:p>
      <w:pPr>
        <w:jc w:val="both"/>
        <w:ind w:left="440" w:right="20" w:firstLine="4"/>
        <w:spacing w:after="0" w:line="254" w:lineRule="auto"/>
        <w:tabs>
          <w:tab w:leader="none" w:pos="68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any change in the independent accountants of the Company or any of the Significant Subsidiaries of the Company, (b) any material acquisition or disposition, (c) any material event that the Company or any Restricted Subsidiary of the Company announces publicly and (d) any information that the Company is required to make publicly available under the requirements of the SGX-ST or such other exchanges on which the securities of the Company or its Subsidiaries are then listed.</w:t>
      </w:r>
    </w:p>
    <w:p>
      <w:pPr>
        <w:spacing w:after="0" w:line="81" w:lineRule="exact"/>
        <w:rPr>
          <w:rFonts w:ascii="Arial" w:cs="Arial" w:eastAsia="Arial" w:hAnsi="Arial"/>
          <w:sz w:val="18"/>
          <w:szCs w:val="18"/>
          <w:color w:val="auto"/>
        </w:rPr>
      </w:pPr>
    </w:p>
    <w:p>
      <w:pPr>
        <w:ind w:firstLine="444"/>
        <w:spacing w:after="0" w:line="279" w:lineRule="auto"/>
        <w:tabs>
          <w:tab w:leader="none" w:pos="696" w:val="left"/>
        </w:tabs>
        <w:numPr>
          <w:ilvl w:val="0"/>
          <w:numId w:val="543"/>
        </w:numPr>
        <w:rPr>
          <w:rFonts w:ascii="Arial" w:cs="Arial" w:eastAsia="Arial" w:hAnsi="Arial"/>
          <w:sz w:val="17"/>
          <w:szCs w:val="17"/>
          <w:color w:val="auto"/>
        </w:rPr>
      </w:pPr>
      <w:r>
        <w:rPr>
          <w:rFonts w:ascii="Arial" w:cs="Arial" w:eastAsia="Arial" w:hAnsi="Arial"/>
          <w:sz w:val="17"/>
          <w:szCs w:val="17"/>
          <w:color w:val="auto"/>
        </w:rPr>
        <w:t>If the Company has designated any of its Subsidiaries as Unrestricted Subsidiaries and any such Unrestricted Subsidiary or group of Unrestricted Subsidiaries constitute Significant Subsidiaries of the Company, then the annual and quarterly information required by the paragraphs (a)(1) and (a)(2) hereof shall include a reasonably detailed presentation of the financial condition and results of operations of the Company and its Restricted Subsidiaries separate from the financial condition and results of operations of such Unrestricted Subsidiaries of the Company.</w:t>
      </w:r>
    </w:p>
    <w:p>
      <w:pPr>
        <w:spacing w:after="0" w:line="63" w:lineRule="exact"/>
        <w:rPr>
          <w:rFonts w:ascii="Arial" w:cs="Arial" w:eastAsia="Arial" w:hAnsi="Arial"/>
          <w:sz w:val="17"/>
          <w:szCs w:val="17"/>
          <w:color w:val="auto"/>
        </w:rPr>
      </w:pPr>
    </w:p>
    <w:p>
      <w:pPr>
        <w:ind w:right="60" w:firstLine="444"/>
        <w:spacing w:after="0" w:line="259" w:lineRule="auto"/>
        <w:tabs>
          <w:tab w:leader="none" w:pos="68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In addition, so long as the Notes are “restricted securities” within the meaning of Rule 144(a)(3) of the Securities Act and in any period during which the Company is not subject to Section 13 or 15(d) of the Exchange Act nor exempt therefrom pursuant to Rule 12g3-2(b), the Company shall furnish to the holders of the Notes, securities analysts and prospective investors, upon their request, any information that Rule 144A(d)(4) under the Securities Act would require the Company to provide to such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3" w:right="439" w:bottom="1440" w:gutter="0" w:footer="0" w:header="0"/>
        </w:sectPr>
      </w:pPr>
    </w:p>
    <w:bookmarkStart w:id="388" w:name="page389"/>
    <w:bookmarkEnd w:id="388"/>
    <w:p>
      <w:pPr>
        <w:ind w:firstLine="444"/>
        <w:spacing w:after="0" w:line="272" w:lineRule="auto"/>
        <w:tabs>
          <w:tab w:leader="none" w:pos="696" w:val="left"/>
        </w:tabs>
        <w:numPr>
          <w:ilvl w:val="0"/>
          <w:numId w:val="5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elect to satisfy its obligations under this Section 4.03 with respect to all such financial information relating to the Company by furnishing, or making available on the SEC’s website,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shall have no responsibility whatsoever to determine whether such filing has occurred, such financial information relating to Studio City International, or by furnishing or making available on the SGX’s website such financial information relating to Studio City Company Limited; provided that the same is accompanied by consolidating information that explains in reasonable detail the differences between the information relating to Studio City International or Studio City Company Limited (as the case may be), on the one hand, and the information relating to the Company and its Restricted Subsidiaries on a stand-alone basis, on the other hand; provided further that the Company shall make no more than two such elections.</w:t>
      </w:r>
    </w:p>
    <w:p>
      <w:pPr>
        <w:spacing w:after="0" w:line="69" w:lineRule="exact"/>
        <w:rPr>
          <w:rFonts w:ascii="Arial" w:cs="Arial" w:eastAsia="Arial" w:hAnsi="Arial"/>
          <w:sz w:val="17"/>
          <w:szCs w:val="17"/>
          <w:color w:val="auto"/>
        </w:rPr>
      </w:pPr>
    </w:p>
    <w:p>
      <w:pPr>
        <w:ind w:right="360" w:firstLine="444"/>
        <w:spacing w:after="0" w:line="308" w:lineRule="auto"/>
        <w:tabs>
          <w:tab w:leader="none" w:pos="685" w:val="left"/>
        </w:tabs>
        <w:numPr>
          <w:ilvl w:val="0"/>
          <w:numId w:val="544"/>
        </w:numPr>
        <w:rPr>
          <w:rFonts w:ascii="Arial" w:cs="Arial" w:eastAsia="Arial" w:hAnsi="Arial"/>
          <w:sz w:val="17"/>
          <w:szCs w:val="17"/>
          <w:color w:val="auto"/>
        </w:rPr>
      </w:pPr>
      <w:r>
        <w:rPr>
          <w:rFonts w:ascii="Arial" w:cs="Arial" w:eastAsia="Arial" w:hAnsi="Arial"/>
          <w:sz w:val="17"/>
          <w:szCs w:val="17"/>
          <w:color w:val="auto"/>
        </w:rPr>
        <w:t>All financial statement information required under this covenant shall be prepared on a consistent basis in accordance with U.S. GAAP. In addition, all financial statement information and all reports required under this covenant shall be presented in the English language.</w:t>
      </w:r>
    </w:p>
    <w:p>
      <w:pPr>
        <w:spacing w:after="0" w:line="38" w:lineRule="exact"/>
        <w:rPr>
          <w:rFonts w:ascii="Arial" w:cs="Arial" w:eastAsia="Arial" w:hAnsi="Arial"/>
          <w:sz w:val="17"/>
          <w:szCs w:val="17"/>
          <w:color w:val="auto"/>
        </w:rPr>
      </w:pPr>
    </w:p>
    <w:p>
      <w:pPr>
        <w:ind w:left="660" w:hanging="216"/>
        <w:spacing w:after="0"/>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color w:val="auto"/>
        </w:rPr>
      </w:pPr>
    </w:p>
    <w:p>
      <w:pPr>
        <w:ind w:right="100" w:firstLine="444"/>
        <w:spacing w:after="0" w:line="312" w:lineRule="auto"/>
        <w:tabs>
          <w:tab w:leader="none" w:pos="696" w:val="left"/>
        </w:tabs>
        <w:numPr>
          <w:ilvl w:val="0"/>
          <w:numId w:val="544"/>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the Officer’s Certificates).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Compliance Certificate.</w:t>
      </w:r>
    </w:p>
    <w:p>
      <w:pPr>
        <w:spacing w:after="0" w:line="117" w:lineRule="exact"/>
        <w:rPr>
          <w:sz w:val="20"/>
          <w:szCs w:val="20"/>
          <w:color w:val="auto"/>
        </w:rPr>
      </w:pPr>
    </w:p>
    <w:p>
      <w:pPr>
        <w:ind w:right="20" w:firstLine="444"/>
        <w:spacing w:after="0" w:line="289" w:lineRule="auto"/>
        <w:tabs>
          <w:tab w:leader="none" w:pos="685" w:val="left"/>
        </w:tabs>
        <w:numPr>
          <w:ilvl w:val="1"/>
          <w:numId w:val="545"/>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58" w:lineRule="exact"/>
        <w:rPr>
          <w:rFonts w:ascii="Arial" w:cs="Arial" w:eastAsia="Arial" w:hAnsi="Arial"/>
          <w:sz w:val="16"/>
          <w:szCs w:val="16"/>
          <w:color w:val="auto"/>
        </w:rPr>
      </w:pPr>
    </w:p>
    <w:p>
      <w:pPr>
        <w:ind w:left="700" w:hanging="256"/>
        <w:spacing w:after="0"/>
        <w:tabs>
          <w:tab w:leader="none" w:pos="700" w:val="left"/>
        </w:tabs>
        <w:numPr>
          <w:ilvl w:val="1"/>
          <w:numId w:val="545"/>
        </w:numPr>
        <w:rPr>
          <w:rFonts w:ascii="Arial" w:cs="Arial" w:eastAsia="Arial" w:hAnsi="Arial"/>
          <w:sz w:val="18"/>
          <w:szCs w:val="18"/>
          <w:i w:val="1"/>
          <w:iCs w:val="1"/>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i w:val="1"/>
          <w:iCs w:val="1"/>
          <w:color w:val="auto"/>
        </w:rPr>
      </w:pPr>
    </w:p>
    <w:p>
      <w:pPr>
        <w:ind w:left="680" w:hanging="236"/>
        <w:spacing w:after="0"/>
        <w:tabs>
          <w:tab w:leader="none" w:pos="680" w:val="left"/>
        </w:tabs>
        <w:numPr>
          <w:ilvl w:val="1"/>
          <w:numId w:val="545"/>
        </w:numPr>
        <w:rPr>
          <w:rFonts w:ascii="Arial" w:cs="Arial" w:eastAsia="Arial" w:hAnsi="Arial"/>
          <w:sz w:val="17"/>
          <w:szCs w:val="17"/>
          <w:color w:val="auto"/>
        </w:rPr>
      </w:pPr>
      <w:r>
        <w:rPr>
          <w:rFonts w:ascii="Arial" w:cs="Arial" w:eastAsia="Arial" w:hAnsi="Arial"/>
          <w:sz w:val="17"/>
          <w:szCs w:val="17"/>
          <w:color w:val="auto"/>
        </w:rPr>
        <w:t>So long as any of the Notes are outstanding, the Company will deliver to the Trustee, as soon as possible and in any event within five</w:t>
      </w:r>
    </w:p>
    <w:p>
      <w:pPr>
        <w:spacing w:after="0" w:line="34" w:lineRule="exact"/>
        <w:rPr>
          <w:rFonts w:ascii="Arial" w:cs="Arial" w:eastAsia="Arial" w:hAnsi="Arial"/>
          <w:sz w:val="17"/>
          <w:szCs w:val="17"/>
          <w:color w:val="auto"/>
        </w:rPr>
      </w:pPr>
    </w:p>
    <w:p>
      <w:pPr>
        <w:ind w:right="140" w:firstLine="4"/>
        <w:spacing w:after="0" w:line="253" w:lineRule="auto"/>
        <w:tabs>
          <w:tab w:leader="none" w:pos="255" w:val="left"/>
        </w:tabs>
        <w:numPr>
          <w:ilvl w:val="0"/>
          <w:numId w:val="546"/>
        </w:numPr>
        <w:rPr>
          <w:rFonts w:ascii="Arial" w:cs="Arial" w:eastAsia="Arial" w:hAnsi="Arial"/>
          <w:sz w:val="18"/>
          <w:szCs w:val="18"/>
          <w:color w:val="auto"/>
        </w:rPr>
      </w:pPr>
      <w:r>
        <w:rPr>
          <w:rFonts w:ascii="Arial" w:cs="Arial" w:eastAsia="Arial" w:hAnsi="Arial"/>
          <w:sz w:val="18"/>
          <w:szCs w:val="18"/>
          <w:color w:val="auto"/>
        </w:rPr>
        <w:t>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(other than a payment default on a scheduled interest payment date) unless a Responsible Officer of the Trustee receives written notice thereof, stating that it is a notice of default and referencing the applicable section of this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p>
    <w:p>
      <w:pPr>
        <w:spacing w:after="0" w:line="11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4.06 </w:t>
      </w:r>
      <w:r>
        <w:rPr>
          <w:rFonts w:ascii="Arial" w:cs="Arial" w:eastAsia="Arial" w:hAnsi="Arial"/>
          <w:sz w:val="18"/>
          <w:szCs w:val="18"/>
          <w:i w:val="1"/>
          <w:iCs w:val="1"/>
          <w:color w:val="auto"/>
        </w:rPr>
        <w:t>Stay, Extension and Usury Laws.</w:t>
      </w:r>
    </w:p>
    <w:p>
      <w:pPr>
        <w:spacing w:after="0" w:line="11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Limitation on Restricted Payments.</w:t>
      </w:r>
    </w:p>
    <w:p>
      <w:pPr>
        <w:spacing w:after="0" w:line="117" w:lineRule="exact"/>
        <w:rPr>
          <w:sz w:val="20"/>
          <w:szCs w:val="20"/>
          <w:color w:val="auto"/>
        </w:rPr>
      </w:pPr>
    </w:p>
    <w:p>
      <w:pPr>
        <w:ind w:left="680" w:hanging="236"/>
        <w:spacing w:after="0"/>
        <w:tabs>
          <w:tab w:leader="none" w:pos="6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40" w:right="80" w:firstLine="428"/>
        <w:spacing w:after="0" w:line="276" w:lineRule="auto"/>
        <w:tabs>
          <w:tab w:leader="none" w:pos="1118" w:val="left"/>
        </w:tabs>
        <w:numPr>
          <w:ilvl w:val="1"/>
          <w:numId w:val="547"/>
        </w:numPr>
        <w:rPr>
          <w:rFonts w:ascii="Arial" w:cs="Arial" w:eastAsia="Arial" w:hAnsi="Arial"/>
          <w:sz w:val="17"/>
          <w:szCs w:val="17"/>
          <w:color w:val="auto"/>
        </w:rPr>
      </w:pPr>
      <w:r>
        <w:rPr>
          <w:rFonts w:ascii="Arial" w:cs="Arial" w:eastAsia="Arial" w:hAnsi="Arial"/>
          <w:sz w:val="17"/>
          <w:szCs w:val="17"/>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64"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1"/>
          <w:numId w:val="54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of its direct or indirect parents;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47"/>
        </w:numPr>
        <w:rPr>
          <w:rFonts w:ascii="Arial" w:cs="Arial" w:eastAsia="Arial" w:hAnsi="Arial"/>
          <w:sz w:val="17"/>
          <w:szCs w:val="17"/>
          <w:color w:val="auto"/>
        </w:rPr>
      </w:pPr>
      <w:r>
        <w:rPr>
          <w:rFonts w:ascii="Arial" w:cs="Arial" w:eastAsia="Arial" w:hAnsi="Arial"/>
          <w:sz w:val="17"/>
          <w:szCs w:val="17"/>
          <w:color w:val="auto"/>
        </w:rPr>
        <w:t>make any payment on or with respect to, or purchase, redeem, defease or otherwise acquire or retire for value any Subordinated</w:t>
      </w:r>
    </w:p>
    <w:p>
      <w:pPr>
        <w:spacing w:after="0" w:line="34" w:lineRule="exact"/>
        <w:rPr>
          <w:rFonts w:ascii="Arial" w:cs="Arial" w:eastAsia="Arial" w:hAnsi="Arial"/>
          <w:sz w:val="17"/>
          <w:szCs w:val="17"/>
          <w:color w:val="auto"/>
        </w:rPr>
      </w:pPr>
    </w:p>
    <w:p>
      <w:pPr>
        <w:ind w:left="440" w:right="20"/>
        <w:spacing w:after="0" w:line="261" w:lineRule="auto"/>
        <w:rPr>
          <w:rFonts w:ascii="Arial" w:cs="Arial" w:eastAsia="Arial" w:hAnsi="Arial"/>
          <w:sz w:val="17"/>
          <w:szCs w:val="17"/>
          <w:color w:val="auto"/>
        </w:rPr>
      </w:pPr>
      <w:r>
        <w:rPr>
          <w:rFonts w:ascii="Arial" w:cs="Arial" w:eastAsia="Arial" w:hAnsi="Arial"/>
          <w:sz w:val="18"/>
          <w:szCs w:val="18"/>
          <w:color w:val="auto"/>
        </w:rPr>
        <w:t>Indebtedness of the Company or any Subsidiary Guarantor (excluding any intercompany Indebtedness between or among the Company and any of its Restricted Subsidiaries), except a payment of interest or principal at the Stated Maturity thereof; or</w:t>
      </w:r>
    </w:p>
    <w:p>
      <w:pPr>
        <w:spacing w:after="0" w:line="75" w:lineRule="exact"/>
        <w:rPr>
          <w:rFonts w:ascii="Arial" w:cs="Arial" w:eastAsia="Arial" w:hAnsi="Arial"/>
          <w:sz w:val="17"/>
          <w:szCs w:val="17"/>
          <w:color w:val="auto"/>
        </w:rPr>
      </w:pPr>
    </w:p>
    <w:p>
      <w:pPr>
        <w:ind w:left="1120" w:hanging="252"/>
        <w:spacing w:after="0"/>
        <w:tabs>
          <w:tab w:leader="none" w:pos="112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such payments and other actions set forth in clauses (1) through (4) above being collectively referred to as “</w:t>
      </w:r>
      <w:r>
        <w:rPr>
          <w:rFonts w:ascii="Arial" w:cs="Arial" w:eastAsia="Arial" w:hAnsi="Arial"/>
          <w:sz w:val="17"/>
          <w:szCs w:val="17"/>
          <w:i w:val="1"/>
          <w:iCs w:val="1"/>
          <w:color w:val="auto"/>
        </w:rPr>
        <w:t>Restricted Payments</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580" w:hanging="289"/>
        <w:spacing w:after="0"/>
        <w:tabs>
          <w:tab w:leader="none" w:pos="15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117" w:lineRule="exact"/>
        <w:rPr>
          <w:rFonts w:ascii="Arial" w:cs="Arial" w:eastAsia="Arial" w:hAnsi="Arial"/>
          <w:sz w:val="18"/>
          <w:szCs w:val="18"/>
          <w:color w:val="auto"/>
        </w:rPr>
      </w:pPr>
    </w:p>
    <w:p>
      <w:pPr>
        <w:ind w:left="880" w:firstLine="411"/>
        <w:spacing w:after="0" w:line="264" w:lineRule="auto"/>
        <w:tabs>
          <w:tab w:leader="none" w:pos="157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 xml:space="preserve">the Company would, at the time of such Restricted Payment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4.09(a) hereof; and</w:t>
      </w:r>
    </w:p>
    <w:p>
      <w:pPr>
        <w:spacing w:after="0" w:line="73" w:lineRule="exact"/>
        <w:rPr>
          <w:rFonts w:ascii="Arial" w:cs="Arial" w:eastAsia="Arial" w:hAnsi="Arial"/>
          <w:sz w:val="18"/>
          <w:szCs w:val="18"/>
          <w:color w:val="auto"/>
        </w:rPr>
      </w:pPr>
    </w:p>
    <w:p>
      <w:pPr>
        <w:jc w:val="both"/>
        <w:ind w:left="880" w:right="480" w:firstLine="411"/>
        <w:spacing w:after="0" w:line="264" w:lineRule="auto"/>
        <w:tabs>
          <w:tab w:leader="none" w:pos="157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Issue Date (excluding Restricted Payments permitted by clauses (2) through (12) of Section 4.07(b)) pursuant to this Indenture, is less than the sum of:</w:t>
      </w:r>
    </w:p>
    <w:p>
      <w:pPr>
        <w:spacing w:after="0" w:line="73" w:lineRule="exact"/>
        <w:rPr>
          <w:rFonts w:ascii="Arial" w:cs="Arial" w:eastAsia="Arial" w:hAnsi="Arial"/>
          <w:sz w:val="18"/>
          <w:szCs w:val="18"/>
          <w:color w:val="auto"/>
        </w:rPr>
      </w:pPr>
    </w:p>
    <w:p>
      <w:pPr>
        <w:ind w:left="1440" w:right="20" w:firstLine="380"/>
        <w:spacing w:after="0" w:line="259" w:lineRule="auto"/>
        <w:tabs>
          <w:tab w:leader="none" w:pos="2038" w:val="left"/>
        </w:tabs>
        <w:numPr>
          <w:ilvl w:val="1"/>
          <w:numId w:val="548"/>
        </w:numPr>
        <w:rPr>
          <w:rFonts w:ascii="Arial" w:cs="Arial" w:eastAsia="Arial" w:hAnsi="Arial"/>
          <w:sz w:val="18"/>
          <w:szCs w:val="18"/>
          <w:color w:val="auto"/>
        </w:rPr>
      </w:pPr>
      <w:r>
        <w:rPr>
          <w:rFonts w:ascii="Arial" w:cs="Arial" w:eastAsia="Arial" w:hAnsi="Arial"/>
          <w:sz w:val="18"/>
          <w:szCs w:val="18"/>
          <w:color w:val="auto"/>
        </w:rPr>
        <w:t xml:space="preserve">75% of the EBITDA of the Company </w:t>
      </w:r>
      <w:r>
        <w:rPr>
          <w:rFonts w:ascii="Arial" w:cs="Arial" w:eastAsia="Arial" w:hAnsi="Arial"/>
          <w:sz w:val="18"/>
          <w:szCs w:val="18"/>
          <w:i w:val="1"/>
          <w:iCs w:val="1"/>
          <w:color w:val="auto"/>
        </w:rPr>
        <w:t>less</w:t>
      </w:r>
      <w:r>
        <w:rPr>
          <w:rFonts w:ascii="Arial" w:cs="Arial" w:eastAsia="Arial" w:hAnsi="Arial"/>
          <w:sz w:val="18"/>
          <w:szCs w:val="18"/>
          <w:color w:val="auto"/>
        </w:rPr>
        <w:t xml:space="preserve"> 2.00 times Fixed Charges for the period (taken as one accounting period) from the beginning of the fiscal quarter in which the Notes are issued to the end of the Company’s most recently ended fiscal quarter for which internal financial statements are available at the time of such Restricted Payment (or, if such EBITDA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of such deficit); </w:t>
      </w:r>
      <w:r>
        <w:rPr>
          <w:rFonts w:ascii="Arial" w:cs="Arial" w:eastAsia="Arial" w:hAnsi="Arial"/>
          <w:sz w:val="18"/>
          <w:szCs w:val="18"/>
          <w:i w:val="1"/>
          <w:iCs w:val="1"/>
          <w:color w:val="auto"/>
        </w:rPr>
        <w:t>plus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390" w:name="page391"/>
    <w:bookmarkEnd w:id="390"/>
    <w:p>
      <w:pPr>
        <w:ind w:left="1000" w:firstLine="380"/>
        <w:spacing w:after="0" w:line="297" w:lineRule="auto"/>
        <w:tabs>
          <w:tab w:leader="none" w:pos="1648" w:val="left"/>
        </w:tabs>
        <w:numPr>
          <w:ilvl w:val="2"/>
          <w:numId w:val="5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100% of the aggregate net cash proceeds received by the Company since the Issue Date as a contribution to its common equity capital or from the issue or sale of Equity Interests (other than Disqualified Stock) of the Company (in each case, other than in connection with any Excluded Contribution)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6"/>
          <w:szCs w:val="16"/>
          <w:i w:val="1"/>
          <w:iCs w:val="1"/>
          <w:color w:val="auto"/>
        </w:rPr>
        <w:t>plus</w:t>
      </w:r>
    </w:p>
    <w:p>
      <w:pPr>
        <w:spacing w:after="0" w:line="50" w:lineRule="exact"/>
        <w:rPr>
          <w:rFonts w:ascii="Arial" w:cs="Arial" w:eastAsia="Arial" w:hAnsi="Arial"/>
          <w:sz w:val="16"/>
          <w:szCs w:val="16"/>
          <w:color w:val="auto"/>
        </w:rPr>
      </w:pPr>
    </w:p>
    <w:p>
      <w:pPr>
        <w:ind w:left="1000" w:right="120" w:firstLine="380"/>
        <w:spacing w:after="0" w:line="293" w:lineRule="auto"/>
        <w:tabs>
          <w:tab w:leader="none" w:pos="1698" w:val="left"/>
        </w:tabs>
        <w:numPr>
          <w:ilvl w:val="2"/>
          <w:numId w:val="549"/>
        </w:numPr>
        <w:rPr>
          <w:rFonts w:ascii="Arial" w:cs="Arial" w:eastAsia="Arial" w:hAnsi="Arial"/>
          <w:sz w:val="16"/>
          <w:szCs w:val="16"/>
          <w:color w:val="auto"/>
        </w:rPr>
      </w:pPr>
      <w:r>
        <w:rPr>
          <w:rFonts w:ascii="Arial" w:cs="Arial" w:eastAsia="Arial" w:hAnsi="Arial"/>
          <w:sz w:val="16"/>
          <w:szCs w:val="16"/>
          <w:color w:val="auto"/>
        </w:rPr>
        <w:t xml:space="preserve">to the extent that any Restricted Investment that was made after the Issue Date (x) is reduced as a result of payments of dividends to the Company or a Restricted Subsidiary of the Company or (y) is sold for cash or otherwise liquidated or repaid for cash, (in the case of sub-clauses (x) and (y)) the lesser of (i) the cash return of capital with respect to such Restricted Investment (less the cost of disposition, if any) and (ii) the initial amount of such Restricted Investment or (z) is reduced upon the release of a Note Guarantee granted by the Company or a Restricted Subsidiary of the Company that constituted a Restricted Investment, to the extent that the initial granting of such Note Guarantee reduced the restricted payments capacity under Section 4.07(a)(4)(C); </w:t>
      </w:r>
      <w:r>
        <w:rPr>
          <w:rFonts w:ascii="Arial" w:cs="Arial" w:eastAsia="Arial" w:hAnsi="Arial"/>
          <w:sz w:val="16"/>
          <w:szCs w:val="16"/>
          <w:i w:val="1"/>
          <w:iCs w:val="1"/>
          <w:color w:val="auto"/>
        </w:rPr>
        <w:t>plus</w:t>
      </w:r>
    </w:p>
    <w:p>
      <w:pPr>
        <w:spacing w:after="0" w:line="56" w:lineRule="exact"/>
        <w:rPr>
          <w:rFonts w:ascii="Arial" w:cs="Arial" w:eastAsia="Arial" w:hAnsi="Arial"/>
          <w:sz w:val="16"/>
          <w:szCs w:val="16"/>
          <w:color w:val="auto"/>
        </w:rPr>
      </w:pPr>
    </w:p>
    <w:p>
      <w:pPr>
        <w:ind w:left="1000" w:right="40" w:firstLine="380"/>
        <w:spacing w:after="0" w:line="276" w:lineRule="auto"/>
        <w:tabs>
          <w:tab w:leader="none" w:pos="1688" w:val="left"/>
        </w:tabs>
        <w:numPr>
          <w:ilvl w:val="2"/>
          <w:numId w:val="549"/>
        </w:numPr>
        <w:rPr>
          <w:rFonts w:ascii="Arial" w:cs="Arial" w:eastAsia="Arial" w:hAnsi="Arial"/>
          <w:sz w:val="17"/>
          <w:szCs w:val="17"/>
          <w:color w:val="auto"/>
        </w:rPr>
      </w:pPr>
      <w:r>
        <w:rPr>
          <w:rFonts w:ascii="Arial" w:cs="Arial" w:eastAsia="Arial" w:hAnsi="Arial"/>
          <w:sz w:val="17"/>
          <w:szCs w:val="17"/>
          <w:color w:val="auto"/>
        </w:rPr>
        <w:t xml:space="preserve">to the extent that any Unrestricted Subsidiary of the Company designated as such after the Issue Date is re-designated as a Restricted Subsidiary after the Issue Date, the lesser of (i) the Fair Market Value of the Company’s Restricted Investment in such Subsidiary as of the date of such re-designation or (ii) the Fair Market Value of the net aggregate Investments made by the Company or a Restricted Subsidiary of the Company in such Unrestricted Subsidiary from the date such entity was originally designated as an Unrestricted Subsidiary through the date of such re-designation; </w:t>
      </w:r>
      <w:r>
        <w:rPr>
          <w:rFonts w:ascii="Arial" w:cs="Arial" w:eastAsia="Arial" w:hAnsi="Arial"/>
          <w:sz w:val="17"/>
          <w:szCs w:val="17"/>
          <w:i w:val="1"/>
          <w:iCs w:val="1"/>
          <w:color w:val="auto"/>
        </w:rPr>
        <w:t>plus</w:t>
      </w:r>
    </w:p>
    <w:p>
      <w:pPr>
        <w:spacing w:after="0" w:line="64" w:lineRule="exact"/>
        <w:rPr>
          <w:rFonts w:ascii="Arial" w:cs="Arial" w:eastAsia="Arial" w:hAnsi="Arial"/>
          <w:sz w:val="17"/>
          <w:szCs w:val="17"/>
          <w:color w:val="auto"/>
        </w:rPr>
      </w:pPr>
    </w:p>
    <w:p>
      <w:pPr>
        <w:jc w:val="both"/>
        <w:ind w:left="1000" w:right="80" w:firstLine="380"/>
        <w:spacing w:after="0" w:line="264" w:lineRule="auto"/>
        <w:tabs>
          <w:tab w:leader="none" w:pos="1638" w:val="left"/>
        </w:tabs>
        <w:numPr>
          <w:ilvl w:val="2"/>
          <w:numId w:val="549"/>
        </w:numPr>
        <w:rPr>
          <w:rFonts w:ascii="Arial" w:cs="Arial" w:eastAsia="Arial" w:hAnsi="Arial"/>
          <w:sz w:val="18"/>
          <w:szCs w:val="18"/>
          <w:color w:val="auto"/>
        </w:rPr>
      </w:pPr>
      <w:r>
        <w:rPr>
          <w:rFonts w:ascii="Arial" w:cs="Arial" w:eastAsia="Arial" w:hAnsi="Arial"/>
          <w:sz w:val="18"/>
          <w:szCs w:val="18"/>
          <w:color w:val="auto"/>
        </w:rPr>
        <w:t>100% of the aggregate amount received from the sale of the stock of any Unrestricted Subsidiary of the Company after the Issue Date or 100% of any dividends received by the Company or a Restricted Subsidiary of the Company after the Issue Date from an Unrestricted Subsidiary of the Company.</w:t>
      </w:r>
    </w:p>
    <w:p>
      <w:pPr>
        <w:spacing w:after="0" w:line="73" w:lineRule="exact"/>
        <w:rPr>
          <w:rFonts w:ascii="Arial" w:cs="Arial" w:eastAsia="Arial" w:hAnsi="Arial"/>
          <w:sz w:val="18"/>
          <w:szCs w:val="18"/>
          <w:color w:val="auto"/>
        </w:rPr>
      </w:pPr>
    </w:p>
    <w:p>
      <w:pPr>
        <w:ind w:left="260" w:hanging="256"/>
        <w:spacing w:after="0"/>
        <w:tabs>
          <w:tab w:leader="none" w:pos="2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provisions of Section 4.07(a) hereof will not prohibit:</w:t>
      </w:r>
    </w:p>
    <w:p>
      <w:pPr>
        <w:spacing w:after="0" w:line="117" w:lineRule="exact"/>
        <w:rPr>
          <w:rFonts w:ascii="Arial" w:cs="Arial" w:eastAsia="Arial" w:hAnsi="Arial"/>
          <w:sz w:val="18"/>
          <w:szCs w:val="18"/>
          <w:color w:val="auto"/>
        </w:rPr>
      </w:pPr>
    </w:p>
    <w:p>
      <w:pPr>
        <w:ind w:right="100" w:firstLine="428"/>
        <w:spacing w:after="0" w:line="264" w:lineRule="auto"/>
        <w:tabs>
          <w:tab w:leader="none" w:pos="678"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73" w:lineRule="exact"/>
        <w:rPr>
          <w:rFonts w:ascii="Arial" w:cs="Arial" w:eastAsia="Arial" w:hAnsi="Arial"/>
          <w:sz w:val="18"/>
          <w:szCs w:val="18"/>
          <w:color w:val="auto"/>
        </w:rPr>
      </w:pPr>
    </w:p>
    <w:p>
      <w:pPr>
        <w:ind w:firstLine="428"/>
        <w:spacing w:after="0" w:line="302" w:lineRule="auto"/>
        <w:tabs>
          <w:tab w:leader="none" w:pos="678" w:val="left"/>
        </w:tabs>
        <w:numPr>
          <w:ilvl w:val="1"/>
          <w:numId w:val="550"/>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the Company (in each case, other than in connection with any Excluded Contribution);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amount of any such net cash proceeds that are utilized for any such Restricted Payment will be excluded from Section 4.07(a)(4)(C)(ii) hereof;</w:t>
      </w:r>
    </w:p>
    <w:p>
      <w:pPr>
        <w:spacing w:after="0" w:line="46" w:lineRule="exact"/>
        <w:rPr>
          <w:rFonts w:ascii="Arial" w:cs="Arial" w:eastAsia="Arial" w:hAnsi="Arial"/>
          <w:sz w:val="16"/>
          <w:szCs w:val="16"/>
          <w:color w:val="auto"/>
        </w:rPr>
      </w:pPr>
    </w:p>
    <w:p>
      <w:pPr>
        <w:ind w:right="60" w:firstLine="428"/>
        <w:spacing w:after="0" w:line="308" w:lineRule="auto"/>
        <w:tabs>
          <w:tab w:leader="none" w:pos="678" w:val="left"/>
        </w:tabs>
        <w:numPr>
          <w:ilvl w:val="1"/>
          <w:numId w:val="550"/>
        </w:numPr>
        <w:rPr>
          <w:rFonts w:ascii="Arial" w:cs="Arial" w:eastAsia="Arial" w:hAnsi="Arial"/>
          <w:sz w:val="17"/>
          <w:szCs w:val="17"/>
          <w:color w:val="auto"/>
        </w:rPr>
      </w:pPr>
      <w:r>
        <w:rPr>
          <w:rFonts w:ascii="Arial" w:cs="Arial" w:eastAsia="Arial" w:hAnsi="Arial"/>
          <w:sz w:val="17"/>
          <w:szCs w:val="17"/>
          <w:color w:val="auto"/>
        </w:rPr>
        <w:t>the repurchase, redemption, defeasance or other acquisition or retirement for value of Subordinated Indebtedness of the Company or any Subsidiary Guarantor with the net cash proceeds from a substantially concurrent Incurrence of Permitted Refinancing Indebtedness;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80"/>
          </w:cols>
          <w:pgMar w:left="880" w:top="274" w:right="439" w:bottom="1440" w:gutter="0" w:footer="0" w:header="0"/>
        </w:sectPr>
      </w:pPr>
    </w:p>
    <w:bookmarkStart w:id="391" w:name="page392"/>
    <w:bookmarkEnd w:id="391"/>
    <w:p>
      <w:pPr>
        <w:ind w:right="360" w:firstLine="428"/>
        <w:spacing w:after="0" w:line="277" w:lineRule="auto"/>
        <w:tabs>
          <w:tab w:leader="none" w:pos="678" w:val="left"/>
        </w:tabs>
        <w:numPr>
          <w:ilvl w:val="0"/>
          <w:numId w:val="5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payment of any dividend (or, in the case of any partnership or limited liability company, any similar distribution) by a Restricted Subsidiary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62" w:lineRule="exact"/>
        <w:rPr>
          <w:rFonts w:ascii="Arial" w:cs="Arial" w:eastAsia="Arial" w:hAnsi="Arial"/>
          <w:sz w:val="18"/>
          <w:szCs w:val="18"/>
          <w:color w:val="auto"/>
        </w:rPr>
      </w:pPr>
    </w:p>
    <w:p>
      <w:pPr>
        <w:ind w:right="20" w:firstLine="428"/>
        <w:spacing w:after="0" w:line="302" w:lineRule="auto"/>
        <w:tabs>
          <w:tab w:leader="none" w:pos="678" w:val="left"/>
        </w:tabs>
        <w:numPr>
          <w:ilvl w:val="0"/>
          <w:numId w:val="551"/>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the Company or any Restricted Subsidiary of the Company held by any current or former officer, director or employee of the Company or any of its Restricted Subsidiaries pursuant to any equity subscription agreement, stock option agreement, shareholders’ agreement or similar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aggregate price paid for all such repurchased, redeemed, acquired or retired Equity Interests may not exceed US$1.0 million in any twelve-month period;</w:t>
      </w:r>
    </w:p>
    <w:p>
      <w:pPr>
        <w:spacing w:after="0" w:line="46" w:lineRule="exact"/>
        <w:rPr>
          <w:rFonts w:ascii="Arial" w:cs="Arial" w:eastAsia="Arial" w:hAnsi="Arial"/>
          <w:sz w:val="16"/>
          <w:szCs w:val="16"/>
          <w:color w:val="auto"/>
        </w:rPr>
      </w:pPr>
    </w:p>
    <w:p>
      <w:pPr>
        <w:ind w:right="400" w:firstLine="428"/>
        <w:spacing w:after="0" w:line="277" w:lineRule="auto"/>
        <w:tabs>
          <w:tab w:leader="none" w:pos="67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62" w:lineRule="exact"/>
        <w:rPr>
          <w:rFonts w:ascii="Arial" w:cs="Arial" w:eastAsia="Arial" w:hAnsi="Arial"/>
          <w:sz w:val="18"/>
          <w:szCs w:val="18"/>
          <w:color w:val="auto"/>
        </w:rPr>
      </w:pPr>
    </w:p>
    <w:p>
      <w:pPr>
        <w:ind w:right="60" w:firstLine="428"/>
        <w:spacing w:after="0" w:line="264" w:lineRule="auto"/>
        <w:tabs>
          <w:tab w:leader="none" w:pos="67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Company or any Restricted Subsidiary of the Company issued on or after the Issue Date in accordance with the Fixed Charge Coverage Ratio test described in Section 4.09(a) hereof;</w:t>
      </w:r>
    </w:p>
    <w:p>
      <w:pPr>
        <w:spacing w:after="0" w:line="73" w:lineRule="exact"/>
        <w:rPr>
          <w:rFonts w:ascii="Arial" w:cs="Arial" w:eastAsia="Arial" w:hAnsi="Arial"/>
          <w:sz w:val="18"/>
          <w:szCs w:val="18"/>
          <w:color w:val="auto"/>
        </w:rPr>
      </w:pPr>
    </w:p>
    <w:p>
      <w:pPr>
        <w:ind w:right="20" w:firstLine="428"/>
        <w:spacing w:after="0" w:line="277" w:lineRule="auto"/>
        <w:tabs>
          <w:tab w:leader="none" w:pos="67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any Restricted Payment made or deemed to be made by the Company or a Restricted Subsidiary of the Company under, pursuant to or in connection with the Services and Right to Use Agreement, the Reinvestment Agreement or the MSA;</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right="140" w:firstLine="428"/>
        <w:spacing w:after="0" w:line="264" w:lineRule="auto"/>
        <w:tabs>
          <w:tab w:leader="none" w:pos="761" w:val="left"/>
        </w:tabs>
        <w:numPr>
          <w:ilvl w:val="0"/>
          <w:numId w:val="551"/>
        </w:numPr>
        <w:rPr>
          <w:rFonts w:ascii="Arial" w:cs="Arial" w:eastAsia="Arial" w:hAnsi="Arial"/>
          <w:sz w:val="18"/>
          <w:szCs w:val="18"/>
          <w:color w:val="auto"/>
        </w:rPr>
      </w:pPr>
      <w:r>
        <w:rPr>
          <w:rFonts w:ascii="Arial" w:cs="Arial" w:eastAsia="Arial" w:hAnsi="Arial"/>
          <w:sz w:val="18"/>
          <w:szCs w:val="18"/>
          <w:color w:val="auto"/>
        </w:rPr>
        <w:t>payments to any parent entity in respect of directors’ fees, remuneration and expenses (including director and officer insurance (including premiums therefore)) to the extent relating to the Company and its Subsidiaries, in an aggregate amount not to exceed US$2.0 million per annum;</w:t>
      </w:r>
    </w:p>
    <w:p>
      <w:pPr>
        <w:spacing w:after="0" w:line="73" w:lineRule="exact"/>
        <w:rPr>
          <w:rFonts w:ascii="Arial" w:cs="Arial" w:eastAsia="Arial" w:hAnsi="Arial"/>
          <w:sz w:val="18"/>
          <w:szCs w:val="18"/>
          <w:color w:val="auto"/>
        </w:rPr>
      </w:pPr>
    </w:p>
    <w:p>
      <w:pPr>
        <w:ind w:left="780" w:hanging="352"/>
        <w:spacing w:after="0"/>
        <w:tabs>
          <w:tab w:leader="none" w:pos="7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the making of Restricted Payments, if applicable:</w:t>
      </w:r>
    </w:p>
    <w:p>
      <w:pPr>
        <w:spacing w:after="0" w:line="117" w:lineRule="exact"/>
        <w:rPr>
          <w:rFonts w:ascii="Arial" w:cs="Arial" w:eastAsia="Arial" w:hAnsi="Arial"/>
          <w:sz w:val="18"/>
          <w:szCs w:val="18"/>
          <w:color w:val="auto"/>
        </w:rPr>
      </w:pPr>
    </w:p>
    <w:p>
      <w:pPr>
        <w:jc w:val="both"/>
        <w:ind w:left="440" w:right="40" w:firstLine="411"/>
        <w:spacing w:after="0" w:line="297" w:lineRule="auto"/>
        <w:tabs>
          <w:tab w:leader="none" w:pos="114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in amounts required for any direct or indirect parent of the Company to pay fees and expenses (including franchise or similar taxes) required to maintain its corporate existence, customary salary, bonus and other benefits payable to, and indemnities provided on behalf of, officers and employees of any direct or indirect parent of the Company and general corporate operating and overhead expenses of any direct or indirect parent of the Company in each case to the extent such fees and expenses are attributable to the ownership or operation of the Company, if applicable, and its Subsidiaries, in an aggregate amount not to exceed US$2.0 million per annum;</w:t>
      </w:r>
    </w:p>
    <w:p>
      <w:pPr>
        <w:spacing w:after="0" w:line="50" w:lineRule="exact"/>
        <w:rPr>
          <w:rFonts w:ascii="Arial" w:cs="Arial" w:eastAsia="Arial" w:hAnsi="Arial"/>
          <w:sz w:val="16"/>
          <w:szCs w:val="16"/>
          <w:color w:val="auto"/>
        </w:rPr>
      </w:pPr>
    </w:p>
    <w:p>
      <w:pPr>
        <w:ind w:left="440" w:firstLine="411"/>
        <w:spacing w:after="0" w:line="259" w:lineRule="auto"/>
        <w:tabs>
          <w:tab w:leader="none" w:pos="1120" w:val="left"/>
        </w:tabs>
        <w:numPr>
          <w:ilvl w:val="1"/>
          <w:numId w:val="551"/>
        </w:numPr>
        <w:rPr>
          <w:rFonts w:ascii="Arial" w:cs="Arial" w:eastAsia="Arial" w:hAnsi="Arial"/>
          <w:sz w:val="18"/>
          <w:szCs w:val="18"/>
          <w:i w:val="1"/>
          <w:iCs w:val="1"/>
          <w:color w:val="auto"/>
        </w:rPr>
      </w:pPr>
      <w:r>
        <w:rPr>
          <w:rFonts w:ascii="Arial" w:cs="Arial" w:eastAsia="Arial" w:hAnsi="Arial"/>
          <w:sz w:val="18"/>
          <w:szCs w:val="18"/>
          <w:color w:val="auto"/>
        </w:rPr>
        <w:t xml:space="preserve">in amounts required for any direct or indirect parent of the Company, if applicable, to pay interest and/or principal on Indebtedness the proceeds of which have been contributed to the Company or any of its Restricted Subsidiaries prior to the Issue Date and that has been guaranteed by, or is otherwise considered Indebtedness of, the Company Incurred in accordance with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proceeds will be excluded from Section 4.07(a)(4)(C)(ii);</w:t>
      </w:r>
    </w:p>
    <w:p>
      <w:pPr>
        <w:spacing w:after="0" w:line="78" w:lineRule="exact"/>
        <w:rPr>
          <w:rFonts w:ascii="Arial" w:cs="Arial" w:eastAsia="Arial" w:hAnsi="Arial"/>
          <w:sz w:val="18"/>
          <w:szCs w:val="18"/>
          <w:i w:val="1"/>
          <w:iCs w:val="1"/>
          <w:color w:val="auto"/>
        </w:rPr>
      </w:pPr>
    </w:p>
    <w:p>
      <w:pPr>
        <w:ind w:left="440" w:right="480" w:firstLine="411"/>
        <w:spacing w:after="0" w:line="277" w:lineRule="auto"/>
        <w:tabs>
          <w:tab w:leader="none" w:pos="113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in amounts required for any direct or indirect parent of the Company to pay fees and expenses, other than to Affiliates of the Company, related to any unsuccessful equity or debt offering of such parent; and</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1"/>
          <w:numId w:val="551"/>
        </w:numPr>
        <w:rPr>
          <w:rFonts w:ascii="Arial" w:cs="Arial" w:eastAsia="Arial" w:hAnsi="Arial"/>
          <w:sz w:val="17"/>
          <w:szCs w:val="17"/>
          <w:color w:val="auto"/>
        </w:rPr>
      </w:pPr>
      <w:r>
        <w:rPr>
          <w:rFonts w:ascii="Arial" w:cs="Arial" w:eastAsia="Arial" w:hAnsi="Arial"/>
          <w:sz w:val="17"/>
          <w:szCs w:val="17"/>
          <w:color w:val="auto"/>
        </w:rPr>
        <w:t>payments for services under any Revenue Sharing Agreement that would constitute or be deemed to constitute a Restricted</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60"/>
          </w:cols>
          <w:pgMar w:left="880" w:top="274" w:right="459" w:bottom="1440" w:gutter="0" w:footer="0" w:header="0"/>
        </w:sectPr>
      </w:pPr>
    </w:p>
    <w:bookmarkStart w:id="392" w:name="page393"/>
    <w:bookmarkEnd w:id="392"/>
    <w:p>
      <w:pPr>
        <w:ind w:left="440" w:right="40" w:firstLine="428"/>
        <w:spacing w:after="0" w:line="276" w:lineRule="auto"/>
        <w:tabs>
          <w:tab w:leader="none" w:pos="1208" w:val="left"/>
        </w:tabs>
        <w:numPr>
          <w:ilvl w:val="0"/>
          <w:numId w:val="5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Restricted Payment used to fund the Transactions and the payment of fees and expenses incurred in connection with the Transactions or owed by the Company or any direct or indirect parent of the Company or its Restricted Subsidiaries to Affiliates, and any other payments made, including any such payments made to any direct or indirect parent of the Company to enable it to make payments, in connection with the consummation of the Transactions, whether payable on the Issue Date or thereafter, in each case on terms described in the Offering Memorandum under “Use of Proceeds” and to the extent permitted by Section 4.11;</w:t>
      </w:r>
    </w:p>
    <w:p>
      <w:pPr>
        <w:spacing w:after="0" w:line="64" w:lineRule="exact"/>
        <w:rPr>
          <w:rFonts w:ascii="Arial" w:cs="Arial" w:eastAsia="Arial" w:hAnsi="Arial"/>
          <w:sz w:val="17"/>
          <w:szCs w:val="17"/>
          <w:color w:val="auto"/>
        </w:rPr>
      </w:pPr>
    </w:p>
    <w:p>
      <w:pPr>
        <w:ind w:left="440" w:right="100" w:firstLine="428"/>
        <w:spacing w:after="0" w:line="277" w:lineRule="auto"/>
        <w:tabs>
          <w:tab w:leader="none" w:pos="1208"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any Restricted Payments, to the extent required to be made by any Gaming Authority having jurisdiction over the Company or any of its Restricted Subsidiaries or Melco Resorts Macau (or any other operator of the Studio City Casino);</w:t>
      </w:r>
    </w:p>
    <w:p>
      <w:pPr>
        <w:spacing w:after="0" w:line="62" w:lineRule="exact"/>
        <w:rPr>
          <w:rFonts w:ascii="Arial" w:cs="Arial" w:eastAsia="Arial" w:hAnsi="Arial"/>
          <w:sz w:val="18"/>
          <w:szCs w:val="18"/>
          <w:color w:val="auto"/>
        </w:rPr>
      </w:pPr>
    </w:p>
    <w:p>
      <w:pPr>
        <w:ind w:left="440" w:right="60" w:firstLine="428"/>
        <w:spacing w:after="0" w:line="264" w:lineRule="auto"/>
        <w:tabs>
          <w:tab w:leader="none" w:pos="1208" w:val="left"/>
        </w:tabs>
        <w:numPr>
          <w:ilvl w:val="0"/>
          <w:numId w:val="552"/>
        </w:numPr>
        <w:rPr>
          <w:rFonts w:ascii="Arial" w:cs="Arial" w:eastAsia="Arial" w:hAnsi="Arial"/>
          <w:sz w:val="18"/>
          <w:szCs w:val="18"/>
          <w:color w:val="auto"/>
        </w:rPr>
      </w:pPr>
      <w:r>
        <w:rPr>
          <w:rFonts w:ascii="Arial" w:cs="Arial" w:eastAsia="Arial" w:hAnsi="Arial"/>
          <w:sz w:val="18"/>
          <w:szCs w:val="18"/>
          <w:color w:val="auto"/>
        </w:rPr>
        <w:t xml:space="preserve">cash payments in lieu of the issuance of fractional shares in connection with the exercise of warrants, options or other securities convertible into or exchangeable for Capital Stock of the Company or any Restricted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cash payment shall not be for the purpose of evading the limitation of this Section 4.07;</w:t>
      </w:r>
    </w:p>
    <w:p>
      <w:pPr>
        <w:spacing w:after="0" w:line="73" w:lineRule="exact"/>
        <w:rPr>
          <w:rFonts w:ascii="Arial" w:cs="Arial" w:eastAsia="Arial" w:hAnsi="Arial"/>
          <w:sz w:val="18"/>
          <w:szCs w:val="18"/>
          <w:color w:val="auto"/>
        </w:rPr>
      </w:pPr>
    </w:p>
    <w:p>
      <w:pPr>
        <w:ind w:left="440" w:right="340" w:firstLine="428"/>
        <w:spacing w:after="0" w:line="286" w:lineRule="auto"/>
        <w:tabs>
          <w:tab w:leader="none" w:pos="1208" w:val="left"/>
        </w:tabs>
        <w:numPr>
          <w:ilvl w:val="0"/>
          <w:numId w:val="552"/>
        </w:numPr>
        <w:rPr>
          <w:rFonts w:ascii="Arial" w:cs="Arial" w:eastAsia="Arial" w:hAnsi="Arial"/>
          <w:sz w:val="17"/>
          <w:szCs w:val="17"/>
          <w:color w:val="auto"/>
        </w:rPr>
      </w:pPr>
      <w:r>
        <w:rPr>
          <w:rFonts w:ascii="Arial" w:cs="Arial" w:eastAsia="Arial" w:hAnsi="Arial"/>
          <w:sz w:val="17"/>
          <w:szCs w:val="17"/>
          <w:color w:val="auto"/>
        </w:rPr>
        <w:t xml:space="preserve">the repurchase, redemption or other acquisition or retirement for value of any Subordinated Indebtedness of the Company or any Subsidiary Guarantor pursuant to provisions similar to those described under Section 4.15,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all Notes tendered by holders of the Notes in connection with a Change of Control Offer have been repurchased, redeemed or acquired for value;</w:t>
      </w:r>
    </w:p>
    <w:p>
      <w:pPr>
        <w:spacing w:after="0" w:line="57" w:lineRule="exact"/>
        <w:rPr>
          <w:rFonts w:ascii="Arial" w:cs="Arial" w:eastAsia="Arial" w:hAnsi="Arial"/>
          <w:sz w:val="17"/>
          <w:szCs w:val="17"/>
          <w:color w:val="auto"/>
        </w:rPr>
      </w:pPr>
    </w:p>
    <w:p>
      <w:pPr>
        <w:ind w:left="440" w:firstLine="428"/>
        <w:spacing w:after="0" w:line="257" w:lineRule="auto"/>
        <w:tabs>
          <w:tab w:leader="none" w:pos="1208" w:val="left"/>
        </w:tabs>
        <w:numPr>
          <w:ilvl w:val="0"/>
          <w:numId w:val="552"/>
        </w:numPr>
        <w:rPr>
          <w:rFonts w:ascii="Arial" w:cs="Arial" w:eastAsia="Arial" w:hAnsi="Arial"/>
          <w:sz w:val="18"/>
          <w:szCs w:val="18"/>
          <w:color w:val="auto"/>
        </w:rPr>
      </w:pPr>
      <w:r>
        <w:rPr>
          <w:rFonts w:ascii="Arial" w:cs="Arial" w:eastAsia="Arial" w:hAnsi="Arial"/>
          <w:sz w:val="18"/>
          <w:szCs w:val="18"/>
          <w:color w:val="auto"/>
        </w:rPr>
        <w:t xml:space="preserve">payments or distributions to dissenting stockholders of Capital Stock of the Company pursuant to applicable law in connection with a consolidation, merger or transfer of all or substantially all of the assets of the Company and its Restricted Subsidiaries, taken as a whole, that complies with Section 5.01;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as a result of such consolidation, merger or transfer of assets, the Company shall have made a Change of Control Offer (if required by this Indenture) and that all Notes tendered by holders in connection with such Change of Control Offer have been repurchased, redeemed or acquired for value; and</w:t>
      </w:r>
    </w:p>
    <w:p>
      <w:pPr>
        <w:spacing w:after="0" w:line="80" w:lineRule="exact"/>
        <w:rPr>
          <w:rFonts w:ascii="Arial" w:cs="Arial" w:eastAsia="Arial" w:hAnsi="Arial"/>
          <w:sz w:val="18"/>
          <w:szCs w:val="18"/>
          <w:color w:val="auto"/>
        </w:rPr>
      </w:pPr>
    </w:p>
    <w:p>
      <w:pPr>
        <w:ind w:left="1220" w:hanging="352"/>
        <w:spacing w:after="0"/>
        <w:tabs>
          <w:tab w:leader="none" w:pos="12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US$15.0 million since the Issue Date,</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at the time of, and after giving effect to, any Restricted Payment permitted under clauses (12), (13) and (18)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4.07(b), no Default shall have occurred and be continuing or would occur as a consequence thereof.</w:t>
      </w:r>
    </w:p>
    <w:p>
      <w:pPr>
        <w:spacing w:after="0" w:line="1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 as set forth in an Officer’s Certificate of the Company. The Company’s Board of Directors’ determination must be based upon an opinion or appraisal issued by an accounting, appraisal or investment banking firm of international standing (an “</w:t>
      </w:r>
      <w:r>
        <w:rPr>
          <w:rFonts w:ascii="Arial" w:cs="Arial" w:eastAsia="Arial" w:hAnsi="Arial"/>
          <w:sz w:val="16"/>
          <w:szCs w:val="16"/>
          <w:i w:val="1"/>
          <w:iCs w:val="1"/>
          <w:color w:val="auto"/>
        </w:rPr>
        <w:t>Independent Financial Advisor</w:t>
      </w:r>
      <w:r>
        <w:rPr>
          <w:rFonts w:ascii="Arial" w:cs="Arial" w:eastAsia="Arial" w:hAnsi="Arial"/>
          <w:sz w:val="16"/>
          <w:szCs w:val="16"/>
          <w:color w:val="auto"/>
        </w:rPr>
        <w:t>”) if the Fair Market Value exceeds US$45.0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Subsidiaries.</w:t>
      </w:r>
    </w:p>
    <w:p>
      <w:pPr>
        <w:spacing w:after="0" w:line="117" w:lineRule="exact"/>
        <w:rPr>
          <w:sz w:val="20"/>
          <w:szCs w:val="20"/>
          <w:color w:val="auto"/>
        </w:rPr>
      </w:pPr>
    </w:p>
    <w:p>
      <w:pPr>
        <w:ind w:right="320" w:firstLine="444"/>
        <w:spacing w:after="0" w:line="308" w:lineRule="auto"/>
        <w:tabs>
          <w:tab w:leader="none" w:pos="685" w:val="left"/>
        </w:tabs>
        <w:numPr>
          <w:ilvl w:val="0"/>
          <w:numId w:val="553"/>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directly or indirectly, create or otherwise cause, permit or suffer to exist or become effective any consensual encumbrance or restriction on the ability of any Restricted Subsidiary to:</w:t>
      </w:r>
    </w:p>
    <w:p>
      <w:pPr>
        <w:spacing w:after="0" w:line="38" w:lineRule="exact"/>
        <w:rPr>
          <w:rFonts w:ascii="Arial" w:cs="Arial" w:eastAsia="Arial" w:hAnsi="Arial"/>
          <w:sz w:val="17"/>
          <w:szCs w:val="17"/>
          <w:color w:val="auto"/>
        </w:rPr>
      </w:pPr>
    </w:p>
    <w:p>
      <w:pPr>
        <w:ind w:left="440" w:right="80" w:firstLine="428"/>
        <w:spacing w:after="0" w:line="264" w:lineRule="auto"/>
        <w:tabs>
          <w:tab w:leader="none" w:pos="1118" w:val="left"/>
        </w:tabs>
        <w:numPr>
          <w:ilvl w:val="1"/>
          <w:numId w:val="553"/>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440" w:top="273" w:right="539" w:bottom="1440" w:gutter="0" w:footer="0" w:header="0"/>
        </w:sectPr>
      </w:pPr>
    </w:p>
    <w:bookmarkStart w:id="393" w:name="page394"/>
    <w:bookmarkEnd w:id="393"/>
    <w:p>
      <w:pPr>
        <w:ind w:left="680" w:hanging="252"/>
        <w:spacing w:after="0"/>
        <w:tabs>
          <w:tab w:leader="none" w:pos="680" w:val="left"/>
        </w:tabs>
        <w:numPr>
          <w:ilvl w:val="1"/>
          <w:numId w:val="5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loans or advances to the Company or any of its Restricted Subsidiaries; or</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117" w:lineRule="exact"/>
        <w:rPr>
          <w:rFonts w:ascii="Arial" w:cs="Arial" w:eastAsia="Arial" w:hAnsi="Arial"/>
          <w:sz w:val="18"/>
          <w:szCs w:val="18"/>
          <w:color w:val="auto"/>
        </w:rPr>
      </w:pPr>
    </w:p>
    <w:p>
      <w:pPr>
        <w:ind w:left="260" w:hanging="256"/>
        <w:spacing w:after="0"/>
        <w:tabs>
          <w:tab w:leader="none" w:pos="2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rFonts w:ascii="Arial" w:cs="Arial" w:eastAsia="Arial" w:hAnsi="Arial"/>
          <w:sz w:val="18"/>
          <w:szCs w:val="18"/>
          <w:color w:val="auto"/>
        </w:rPr>
      </w:pPr>
    </w:p>
    <w:p>
      <w:pPr>
        <w:ind w:firstLine="428"/>
        <w:spacing w:after="0" w:line="302" w:lineRule="auto"/>
        <w:tabs>
          <w:tab w:leader="none" w:pos="678" w:val="left"/>
        </w:tabs>
        <w:numPr>
          <w:ilvl w:val="1"/>
          <w:numId w:val="555"/>
        </w:numPr>
        <w:rPr>
          <w:rFonts w:ascii="Arial" w:cs="Arial" w:eastAsia="Arial" w:hAnsi="Arial"/>
          <w:sz w:val="16"/>
          <w:szCs w:val="16"/>
          <w:color w:val="auto"/>
        </w:rPr>
      </w:pPr>
      <w:r>
        <w:rPr>
          <w:rFonts w:ascii="Arial" w:cs="Arial" w:eastAsia="Arial" w:hAnsi="Arial"/>
          <w:sz w:val="16"/>
          <w:szCs w:val="16"/>
          <w:color w:val="auto"/>
        </w:rPr>
        <w:t xml:space="preserve">agreements governing Indebtedness or any other agreements in existence on the Issue Date as in effect on the Issue Date and any amendments, restatements, modifications, renewals, supplements, refundings, replacements or refinancings of those agreements;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on the Issue Date;</w:t>
      </w:r>
    </w:p>
    <w:p>
      <w:pPr>
        <w:spacing w:after="0" w:line="46" w:lineRule="exact"/>
        <w:rPr>
          <w:rFonts w:ascii="Arial" w:cs="Arial" w:eastAsia="Arial" w:hAnsi="Arial"/>
          <w:sz w:val="16"/>
          <w:szCs w:val="16"/>
          <w:color w:val="auto"/>
        </w:rPr>
      </w:pPr>
    </w:p>
    <w:p>
      <w:pPr>
        <w:ind w:right="140" w:firstLine="428"/>
        <w:spacing w:after="0" w:line="302" w:lineRule="auto"/>
        <w:tabs>
          <w:tab w:leader="none" w:pos="678" w:val="left"/>
        </w:tabs>
        <w:numPr>
          <w:ilvl w:val="1"/>
          <w:numId w:val="555"/>
        </w:numPr>
        <w:rPr>
          <w:rFonts w:ascii="Arial" w:cs="Arial" w:eastAsia="Arial" w:hAnsi="Arial"/>
          <w:sz w:val="16"/>
          <w:szCs w:val="16"/>
          <w:color w:val="auto"/>
        </w:rPr>
      </w:pPr>
      <w:r>
        <w:rPr>
          <w:rFonts w:ascii="Arial" w:cs="Arial" w:eastAsia="Arial" w:hAnsi="Arial"/>
          <w:sz w:val="16"/>
          <w:szCs w:val="16"/>
          <w:color w:val="auto"/>
        </w:rPr>
        <w:t xml:space="preserve">the Credit Facilities Documents (other than the Senior Secured Credit Facilities), and any amendments, restatements, modifications, renewals, supplements, refundings, replacements or refinancings of those agreements;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Credit Facilities Documents and the amendments, restatements, modifications, renewals, supplements, refundings, replacements or refinancings thereof are not materially more restrictive, taken as a whole, with respect to such dividend and the other restrictions than those contained in the Senior Secured Credit Facilities;</w:t>
      </w:r>
    </w:p>
    <w:p>
      <w:pPr>
        <w:spacing w:after="0" w:line="46" w:lineRule="exact"/>
        <w:rPr>
          <w:rFonts w:ascii="Arial" w:cs="Arial" w:eastAsia="Arial" w:hAnsi="Arial"/>
          <w:sz w:val="16"/>
          <w:szCs w:val="16"/>
          <w:color w:val="auto"/>
        </w:rPr>
      </w:pPr>
    </w:p>
    <w:p>
      <w:pPr>
        <w:ind w:left="680" w:hanging="252"/>
        <w:spacing w:after="0"/>
        <w:tabs>
          <w:tab w:leader="none" w:pos="68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Indenture, the Notes and the Note Guarantees;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applicable law, rule, regulation or order, or governmental license, permit or concession;</w:t>
      </w:r>
    </w:p>
    <w:p>
      <w:pPr>
        <w:spacing w:after="0" w:line="117" w:lineRule="exact"/>
        <w:rPr>
          <w:rFonts w:ascii="Arial" w:cs="Arial" w:eastAsia="Arial" w:hAnsi="Arial"/>
          <w:sz w:val="18"/>
          <w:szCs w:val="18"/>
          <w:color w:val="auto"/>
        </w:rPr>
      </w:pPr>
    </w:p>
    <w:p>
      <w:pPr>
        <w:ind w:firstLine="428"/>
        <w:spacing w:after="0" w:line="290" w:lineRule="auto"/>
        <w:tabs>
          <w:tab w:leader="none" w:pos="678" w:val="left"/>
        </w:tabs>
        <w:numPr>
          <w:ilvl w:val="1"/>
          <w:numId w:val="555"/>
        </w:numPr>
        <w:rPr>
          <w:rFonts w:ascii="Arial" w:cs="Arial" w:eastAsia="Arial" w:hAnsi="Arial"/>
          <w:sz w:val="16"/>
          <w:szCs w:val="16"/>
          <w:color w:val="auto"/>
        </w:rPr>
      </w:pPr>
      <w:r>
        <w:rPr>
          <w:rFonts w:ascii="Arial" w:cs="Arial" w:eastAsia="Arial" w:hAnsi="Arial"/>
          <w:sz w:val="16"/>
          <w:szCs w:val="16"/>
          <w:color w:val="auto"/>
        </w:rPr>
        <w:t xml:space="preserve">any agreement or instrument governing Indebtedness or Capital Stock of a Person or assets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or instruments at the time of such acquisition);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in the case of Indebtedness, such Indebtedness was permitted by the terms of this Indenture to be Incurred;</w:t>
      </w:r>
    </w:p>
    <w:p>
      <w:pPr>
        <w:spacing w:after="0" w:line="58" w:lineRule="exact"/>
        <w:rPr>
          <w:rFonts w:ascii="Arial" w:cs="Arial" w:eastAsia="Arial" w:hAnsi="Arial"/>
          <w:sz w:val="16"/>
          <w:szCs w:val="16"/>
          <w:color w:val="auto"/>
        </w:rPr>
      </w:pPr>
    </w:p>
    <w:p>
      <w:pPr>
        <w:ind w:right="240" w:firstLine="428"/>
        <w:spacing w:after="0" w:line="277" w:lineRule="auto"/>
        <w:tabs>
          <w:tab w:leader="none" w:pos="678" w:val="left"/>
        </w:tabs>
        <w:numPr>
          <w:ilvl w:val="1"/>
          <w:numId w:val="555"/>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including, without limitation, with respect to any intellectual property, entered into in the ordinary course of business;</w:t>
      </w:r>
    </w:p>
    <w:p>
      <w:pPr>
        <w:spacing w:after="0" w:line="62" w:lineRule="exact"/>
        <w:rPr>
          <w:rFonts w:ascii="Arial" w:cs="Arial" w:eastAsia="Arial" w:hAnsi="Arial"/>
          <w:sz w:val="18"/>
          <w:szCs w:val="18"/>
          <w:color w:val="auto"/>
        </w:rPr>
      </w:pPr>
    </w:p>
    <w:p>
      <w:pPr>
        <w:ind w:right="700" w:firstLine="428"/>
        <w:spacing w:after="0" w:line="277" w:lineRule="auto"/>
        <w:tabs>
          <w:tab w:leader="none" w:pos="678" w:val="left"/>
        </w:tabs>
        <w:numPr>
          <w:ilvl w:val="1"/>
          <w:numId w:val="555"/>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Section 4.08(a)(3);</w:t>
      </w:r>
    </w:p>
    <w:p>
      <w:pPr>
        <w:spacing w:after="0" w:line="62" w:lineRule="exact"/>
        <w:rPr>
          <w:rFonts w:ascii="Arial" w:cs="Arial" w:eastAsia="Arial" w:hAnsi="Arial"/>
          <w:sz w:val="18"/>
          <w:szCs w:val="18"/>
          <w:color w:val="auto"/>
        </w:rPr>
      </w:pPr>
    </w:p>
    <w:p>
      <w:pPr>
        <w:ind w:right="780" w:firstLine="428"/>
        <w:spacing w:after="0" w:line="277" w:lineRule="auto"/>
        <w:tabs>
          <w:tab w:leader="none" w:pos="678"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Equity Interests or property or assets of a Restricted Subsidiary that restricts distributions by that Restricted Subsidiary pending the sale or other disposition;</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40"/>
          </w:cols>
          <w:pgMar w:left="880" w:top="274" w:right="479" w:bottom="1440" w:gutter="0" w:footer="0" w:header="0"/>
        </w:sectPr>
      </w:pPr>
    </w:p>
    <w:bookmarkStart w:id="394" w:name="page395"/>
    <w:bookmarkEnd w:id="394"/>
    <w:p>
      <w:pPr>
        <w:ind w:left="440" w:right="240" w:firstLine="428"/>
        <w:spacing w:after="0" w:line="264" w:lineRule="auto"/>
        <w:tabs>
          <w:tab w:leader="none" w:pos="1118" w:val="left"/>
        </w:tabs>
        <w:numPr>
          <w:ilvl w:val="0"/>
          <w:numId w:val="5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Refinancing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73" w:lineRule="exact"/>
        <w:rPr>
          <w:rFonts w:ascii="Arial" w:cs="Arial" w:eastAsia="Arial" w:hAnsi="Arial"/>
          <w:sz w:val="18"/>
          <w:szCs w:val="18"/>
          <w:color w:val="auto"/>
        </w:rPr>
      </w:pPr>
    </w:p>
    <w:p>
      <w:pPr>
        <w:ind w:left="440" w:right="460" w:firstLine="428"/>
        <w:spacing w:after="0" w:line="277" w:lineRule="auto"/>
        <w:tabs>
          <w:tab w:leader="none" w:pos="120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hereof that limit the right of the debtor to dispose of the assets subject to such Liens;</w:t>
      </w:r>
    </w:p>
    <w:p>
      <w:pPr>
        <w:spacing w:after="0" w:line="62" w:lineRule="exact"/>
        <w:rPr>
          <w:rFonts w:ascii="Arial" w:cs="Arial" w:eastAsia="Arial" w:hAnsi="Arial"/>
          <w:sz w:val="18"/>
          <w:szCs w:val="18"/>
          <w:color w:val="auto"/>
        </w:rPr>
      </w:pPr>
    </w:p>
    <w:p>
      <w:pPr>
        <w:ind w:left="440" w:right="120" w:firstLine="428"/>
        <w:spacing w:after="0" w:line="259" w:lineRule="auto"/>
        <w:tabs>
          <w:tab w:leader="none" w:pos="1201" w:val="left"/>
        </w:tabs>
        <w:numPr>
          <w:ilvl w:val="0"/>
          <w:numId w:val="556"/>
        </w:numPr>
        <w:rPr>
          <w:rFonts w:ascii="Arial" w:cs="Arial" w:eastAsia="Arial" w:hAnsi="Arial"/>
          <w:sz w:val="18"/>
          <w:szCs w:val="18"/>
          <w:color w:val="auto"/>
        </w:rPr>
      </w:pPr>
      <w:r>
        <w:rPr>
          <w:rFonts w:ascii="Arial" w:cs="Arial" w:eastAsia="Arial" w:hAnsi="Arial"/>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Company’s Board of Directors, which limitation is applicable only to the assets, property or Equity Interests that are the subject of such agreements;</w:t>
      </w:r>
    </w:p>
    <w:p>
      <w:pPr>
        <w:spacing w:after="0" w:line="78" w:lineRule="exact"/>
        <w:rPr>
          <w:rFonts w:ascii="Arial" w:cs="Arial" w:eastAsia="Arial" w:hAnsi="Arial"/>
          <w:sz w:val="18"/>
          <w:szCs w:val="18"/>
          <w:color w:val="auto"/>
        </w:rPr>
      </w:pPr>
    </w:p>
    <w:p>
      <w:pPr>
        <w:ind w:left="440" w:right="40" w:firstLine="428"/>
        <w:spacing w:after="0" w:line="277" w:lineRule="auto"/>
        <w:tabs>
          <w:tab w:leader="none" w:pos="120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suppliers under contracts entered into in the ordinary course of business; and</w:t>
      </w:r>
    </w:p>
    <w:p>
      <w:pPr>
        <w:spacing w:after="0" w:line="62" w:lineRule="exact"/>
        <w:rPr>
          <w:rFonts w:ascii="Arial" w:cs="Arial" w:eastAsia="Arial" w:hAnsi="Arial"/>
          <w:sz w:val="18"/>
          <w:szCs w:val="18"/>
          <w:color w:val="auto"/>
        </w:rPr>
      </w:pPr>
    </w:p>
    <w:p>
      <w:pPr>
        <w:ind w:left="440" w:firstLine="428"/>
        <w:spacing w:after="0" w:line="291" w:lineRule="auto"/>
        <w:tabs>
          <w:tab w:leader="none" w:pos="1208" w:val="left"/>
        </w:tabs>
        <w:numPr>
          <w:ilvl w:val="0"/>
          <w:numId w:val="556"/>
        </w:numPr>
        <w:rPr>
          <w:rFonts w:ascii="Arial" w:cs="Arial" w:eastAsia="Arial" w:hAnsi="Arial"/>
          <w:sz w:val="16"/>
          <w:szCs w:val="16"/>
          <w:color w:val="auto"/>
        </w:rPr>
      </w:pPr>
      <w:r>
        <w:rPr>
          <w:rFonts w:ascii="Arial" w:cs="Arial" w:eastAsia="Arial" w:hAnsi="Arial"/>
          <w:sz w:val="16"/>
          <w:szCs w:val="16"/>
          <w:color w:val="auto"/>
        </w:rPr>
        <w:t xml:space="preserve">any agreement or instrument with respect to any Unrestricted Subsidiary or the property or assets of such Unrestricted Subsidiary that is designated as a Restricted Subsidiary in accordance with the terms of this Indenture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Limitation on Incurrence of Indebtedness and Issuance of Disqualified Stock and Preferred Stock.</w:t>
      </w:r>
    </w:p>
    <w:p>
      <w:pPr>
        <w:spacing w:after="0" w:line="117" w:lineRule="exact"/>
        <w:rPr>
          <w:sz w:val="20"/>
          <w:szCs w:val="20"/>
          <w:color w:val="auto"/>
        </w:rPr>
      </w:pPr>
    </w:p>
    <w:p>
      <w:pPr>
        <w:ind w:right="80" w:firstLine="444"/>
        <w:spacing w:after="0" w:line="289" w:lineRule="auto"/>
        <w:tabs>
          <w:tab w:leader="none" w:pos="685" w:val="left"/>
        </w:tabs>
        <w:numPr>
          <w:ilvl w:val="0"/>
          <w:numId w:val="557"/>
        </w:numPr>
        <w:rPr>
          <w:rFonts w:ascii="Arial" w:cs="Arial" w:eastAsia="Arial" w:hAnsi="Arial"/>
          <w:sz w:val="16"/>
          <w:szCs w:val="16"/>
          <w:color w:val="auto"/>
        </w:rPr>
      </w:pPr>
      <w:r>
        <w:rPr>
          <w:rFonts w:ascii="Arial" w:cs="Arial" w:eastAsia="Arial" w:hAnsi="Arial"/>
          <w:sz w:val="16"/>
          <w:szCs w:val="16"/>
          <w:color w:val="auto"/>
        </w:rPr>
        <w:t xml:space="preserve">The Company will not, and will not permit any of its Restricted Subsidiaries to, directly or indirectly, Incur any Indebtedness (including Acquired Indebtedness) and the Company will not issue any shares of Disqualified Stock and the Company will not, and the Company will not permit any of its Restricted Subsidiaries,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Incur Indebtedness (including Acquired Indebtedness) or issue Disqualified Stock, and the Company or any Subsidiary Guarantor may Incur Indebtedness (including Acquired Indebtedness) or issue Preferred Stock, if the Fixed Charge Coverage Ratio of the Company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58" w:lineRule="exact"/>
        <w:rPr>
          <w:rFonts w:ascii="Arial" w:cs="Arial" w:eastAsia="Arial" w:hAnsi="Arial"/>
          <w:sz w:val="16"/>
          <w:szCs w:val="16"/>
          <w:color w:val="auto"/>
        </w:rPr>
      </w:pPr>
    </w:p>
    <w:p>
      <w:pPr>
        <w:ind w:left="700" w:hanging="256"/>
        <w:spacing w:after="0"/>
        <w:tabs>
          <w:tab w:leader="none" w:pos="7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provisions of Section 4.09(a) hereof do not apply to the following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428"/>
        <w:spacing w:after="0" w:line="293" w:lineRule="auto"/>
        <w:tabs>
          <w:tab w:leader="none" w:pos="1118" w:val="left"/>
        </w:tabs>
        <w:numPr>
          <w:ilvl w:val="1"/>
          <w:numId w:val="557"/>
        </w:numPr>
        <w:rPr>
          <w:rFonts w:ascii="Arial" w:cs="Arial" w:eastAsia="Arial" w:hAnsi="Arial"/>
          <w:sz w:val="16"/>
          <w:szCs w:val="16"/>
          <w:color w:val="auto"/>
        </w:rPr>
      </w:pPr>
      <w:r>
        <w:rPr>
          <w:rFonts w:ascii="Arial" w:cs="Arial" w:eastAsia="Arial" w:hAnsi="Arial"/>
          <w:sz w:val="16"/>
          <w:szCs w:val="16"/>
          <w:color w:val="auto"/>
        </w:rPr>
        <w:t xml:space="preserve">the Incurrence by the Company and the Subsidiary Guarantors of Indebtedness under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the date of the Incurrence of any such Indebtedness and after giving effect thereto, the aggregate principal amount outstanding of all such Indebtedness Incurred pursuant to this clause (1) (together with any refinancing thereof) does not exceed the sum of: (i)(x) US$35.0 million; plus (y) US$100.0 million Incurred in respect of the Phase II Project;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in the case of clause (i)(y), the aggregate amount of all Net Proceeds of Asset Sales applied since the Issue Date to repay any term Indebtedness Incurred pursuant to this clause (1)(i)(y) or to repay any revolving credit indebtedness Incurred under this clause (1)(i)(y) and effect a corresponding commitment reduction thereunder pursuant to Section 4.10 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395" w:name="page396"/>
    <w:bookmarkEnd w:id="395"/>
    <w:p>
      <w:pPr>
        <w:ind w:right="580" w:firstLine="428"/>
        <w:spacing w:after="0" w:line="277" w:lineRule="auto"/>
        <w:tabs>
          <w:tab w:leader="none" w:pos="678" w:val="left"/>
        </w:tabs>
        <w:numPr>
          <w:ilvl w:val="1"/>
          <w:numId w:val="5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Incurrence of Indebtedness represented by the Notes (other than Additional Notes) and the Note Guarantees (other than Notes Guarantees for Additional Notes) and the Intercompany Note Proceeds Loans;</w:t>
      </w:r>
    </w:p>
    <w:p>
      <w:pPr>
        <w:spacing w:after="0" w:line="62" w:lineRule="exact"/>
        <w:rPr>
          <w:rFonts w:ascii="Arial" w:cs="Arial" w:eastAsia="Arial" w:hAnsi="Arial"/>
          <w:sz w:val="18"/>
          <w:szCs w:val="18"/>
          <w:color w:val="auto"/>
        </w:rPr>
      </w:pPr>
    </w:p>
    <w:p>
      <w:pPr>
        <w:ind w:firstLine="428"/>
        <w:spacing w:after="0" w:line="255" w:lineRule="auto"/>
        <w:tabs>
          <w:tab w:leader="none" w:pos="678" w:val="left"/>
        </w:tabs>
        <w:numPr>
          <w:ilvl w:val="1"/>
          <w:numId w:val="558"/>
        </w:numPr>
        <w:rPr>
          <w:rFonts w:ascii="Arial" w:cs="Arial" w:eastAsia="Arial" w:hAnsi="Arial"/>
          <w:sz w:val="18"/>
          <w:szCs w:val="18"/>
          <w:color w:val="auto"/>
        </w:rPr>
      </w:pPr>
      <w:r>
        <w:rPr>
          <w:rFonts w:ascii="Arial" w:cs="Arial" w:eastAsia="Arial" w:hAnsi="Arial"/>
          <w:sz w:val="18"/>
          <w:szCs w:val="18"/>
          <w:color w:val="auto"/>
        </w:rPr>
        <w:t>(a) the Incurrence by the Company or the Subsidiary Guarantors of Indebtedness in an aggregate principal amount at any time outstanding, including all Permitted Refinancing Indebtedness Incurred to renew, refund, refinance, replace, defease or discharge any Indebtedness Incurred pursuant to this clause (3)(a), not to exceed the greater of (x) an amount equal to 3.5 times the EBITDA of the Company for the most recently ended four full fiscal quarters for which internal financial statements are available immediately preceding the relevant time of determination and (y) US$1,200,000,000, and (b) Indebtedness existing on the Issue Date (other than the Existing Studio City Company Notes and Indebtedness described in clauses (1) and (2));</w:t>
      </w:r>
    </w:p>
    <w:p>
      <w:pPr>
        <w:spacing w:after="0" w:line="85" w:lineRule="exact"/>
        <w:rPr>
          <w:rFonts w:ascii="Arial" w:cs="Arial" w:eastAsia="Arial" w:hAnsi="Arial"/>
          <w:sz w:val="18"/>
          <w:szCs w:val="18"/>
          <w:color w:val="auto"/>
        </w:rPr>
      </w:pPr>
    </w:p>
    <w:p>
      <w:pPr>
        <w:ind w:right="80" w:firstLine="428"/>
        <w:spacing w:after="0" w:line="284" w:lineRule="auto"/>
        <w:tabs>
          <w:tab w:leader="none" w:pos="678" w:val="left"/>
        </w:tabs>
        <w:numPr>
          <w:ilvl w:val="1"/>
          <w:numId w:val="558"/>
        </w:numPr>
        <w:rPr>
          <w:rFonts w:ascii="Arial" w:cs="Arial" w:eastAsia="Arial" w:hAnsi="Arial"/>
          <w:sz w:val="16"/>
          <w:szCs w:val="16"/>
          <w:color w:val="auto"/>
        </w:rPr>
      </w:pPr>
      <w:r>
        <w:rPr>
          <w:rFonts w:ascii="Arial" w:cs="Arial" w:eastAsia="Arial" w:hAnsi="Arial"/>
          <w:sz w:val="16"/>
          <w:szCs w:val="16"/>
          <w:color w:val="auto"/>
        </w:rPr>
        <w:t>the Incurrence of Indebtedness of the Company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Company or any of its Restricted Subsidiaries, in an aggregate principal amount, including all Permitted Refinancing Indebtedness Incurred to renew, refund, refinance, replace, defease or discharge any Indebtedness Incurred pursuant to this clause (4), not to exceed the greater of</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US$50.0 million and (y) 2.0% of Total Assets at any time outstanding;</w:t>
      </w:r>
    </w:p>
    <w:p>
      <w:pPr>
        <w:spacing w:after="0" w:line="102" w:lineRule="exact"/>
        <w:rPr>
          <w:rFonts w:ascii="Arial" w:cs="Arial" w:eastAsia="Arial" w:hAnsi="Arial"/>
          <w:sz w:val="18"/>
          <w:szCs w:val="18"/>
          <w:color w:val="auto"/>
        </w:rPr>
      </w:pPr>
    </w:p>
    <w:p>
      <w:pPr>
        <w:jc w:val="both"/>
        <w:ind w:right="240" w:firstLine="428"/>
        <w:spacing w:after="0" w:line="312" w:lineRule="auto"/>
        <w:tabs>
          <w:tab w:leader="none" w:pos="678" w:val="left"/>
        </w:tabs>
        <w:numPr>
          <w:ilvl w:val="1"/>
          <w:numId w:val="559"/>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Permitted Refinancing Indebtedness in exchange for, or the net proceeds of which are used to renew, refund, refinance, replace, defease or discharge Indebtedness (other than intercompany Indebtedness) that was permitted by this Indenture to be Incurred under Section 4.09(a) or clauses (2), (3)(b), (4), (5) or (15) of this Section 4.09(b);</w:t>
      </w:r>
    </w:p>
    <w:p>
      <w:pPr>
        <w:spacing w:after="0" w:line="38" w:lineRule="exact"/>
        <w:rPr>
          <w:rFonts w:ascii="Arial" w:cs="Arial" w:eastAsia="Arial" w:hAnsi="Arial"/>
          <w:sz w:val="16"/>
          <w:szCs w:val="16"/>
          <w:color w:val="auto"/>
        </w:rPr>
      </w:pPr>
    </w:p>
    <w:p>
      <w:pPr>
        <w:ind w:right="180" w:firstLine="428"/>
        <w:spacing w:after="0" w:line="273" w:lineRule="auto"/>
        <w:tabs>
          <w:tab w:leader="none" w:pos="678" w:val="left"/>
        </w:tabs>
        <w:numPr>
          <w:ilvl w:val="1"/>
          <w:numId w:val="559"/>
        </w:numPr>
        <w:rPr>
          <w:rFonts w:ascii="Arial" w:cs="Arial" w:eastAsia="Arial" w:hAnsi="Arial"/>
          <w:sz w:val="17"/>
          <w:szCs w:val="17"/>
          <w:color w:val="auto"/>
        </w:rPr>
      </w:pPr>
      <w:r>
        <w:rPr>
          <w:rFonts w:ascii="Arial" w:cs="Arial" w:eastAsia="Arial" w:hAnsi="Arial"/>
          <w:sz w:val="17"/>
          <w:szCs w:val="17"/>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 (b) 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70" w:lineRule="exact"/>
        <w:rPr>
          <w:rFonts w:ascii="Arial" w:cs="Arial" w:eastAsia="Arial" w:hAnsi="Arial"/>
          <w:sz w:val="17"/>
          <w:szCs w:val="17"/>
          <w:color w:val="auto"/>
        </w:rPr>
      </w:pPr>
    </w:p>
    <w:p>
      <w:pPr>
        <w:ind w:right="220" w:firstLine="428"/>
        <w:spacing w:after="0" w:line="277" w:lineRule="auto"/>
        <w:tabs>
          <w:tab w:leader="none" w:pos="678" w:val="left"/>
        </w:tabs>
        <w:numPr>
          <w:ilvl w:val="1"/>
          <w:numId w:val="559"/>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or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440" w:right="20" w:firstLine="411"/>
        <w:spacing w:after="0" w:line="286" w:lineRule="auto"/>
        <w:tabs>
          <w:tab w:leader="none" w:pos="1140" w:val="left"/>
        </w:tabs>
        <w:numPr>
          <w:ilvl w:val="2"/>
          <w:numId w:val="559"/>
        </w:numPr>
        <w:rPr>
          <w:rFonts w:ascii="Arial" w:cs="Arial" w:eastAsia="Arial" w:hAnsi="Arial"/>
          <w:sz w:val="17"/>
          <w:szCs w:val="17"/>
          <w:color w:val="auto"/>
        </w:rPr>
      </w:pPr>
      <w:r>
        <w:rPr>
          <w:rFonts w:ascii="Arial" w:cs="Arial" w:eastAsia="Arial" w:hAnsi="Arial"/>
          <w:sz w:val="17"/>
          <w:szCs w:val="17"/>
          <w:color w:val="auto"/>
        </w:rPr>
        <w:t>if the Company or any Subsidiary Guarantor is the obligor on such Indebtedness and the payee is not the Company or a Subsidiary Guarantor, such Indebtedness must be expressly subordinated to the prior payment in full in cash of all Obligations then due with respect to the Notes, in the case of the Company, or the Note Guarantee, in the case of a Subsidiary Guarantor; and</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80"/>
          </w:cols>
          <w:pgMar w:left="880" w:top="274" w:right="439" w:bottom="1440" w:gutter="0" w:footer="0" w:header="0"/>
        </w:sectPr>
      </w:pPr>
    </w:p>
    <w:bookmarkStart w:id="396" w:name="page397"/>
    <w:bookmarkEnd w:id="396"/>
    <w:p>
      <w:pPr>
        <w:jc w:val="both"/>
        <w:ind w:left="440" w:right="120" w:firstLine="411"/>
        <w:spacing w:after="0" w:line="279" w:lineRule="auto"/>
        <w:tabs>
          <w:tab w:leader="none" w:pos="1130" w:val="left"/>
        </w:tabs>
        <w:numPr>
          <w:ilvl w:val="1"/>
          <w:numId w:val="5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subsequent issuance or transfer of Equity Interests that results in any such Indebtedness being held by a Person other than the Company or a Restricted Subsidiary of the Company and (ii) any sale or other transfer of any such Indebtedness to a Person that is not the Company or a Restricted Subsidiary of the Company, will be deemed, in each case, to constitute an Incurrence of such Indebtedness by the Company or such Restricted Subsidiary, as the case may be, that was not permitted by this clause (7);</w:t>
      </w:r>
    </w:p>
    <w:p>
      <w:pPr>
        <w:spacing w:after="0" w:line="63" w:lineRule="exact"/>
        <w:rPr>
          <w:rFonts w:ascii="Arial" w:cs="Arial" w:eastAsia="Arial" w:hAnsi="Arial"/>
          <w:sz w:val="17"/>
          <w:szCs w:val="17"/>
          <w:color w:val="auto"/>
        </w:rPr>
      </w:pPr>
    </w:p>
    <w:p>
      <w:pPr>
        <w:ind w:left="680" w:hanging="252"/>
        <w:spacing w:after="0"/>
        <w:tabs>
          <w:tab w:leader="none" w:pos="68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xml:space="preserve">shares of Preferred Stock of a Restricted Subsidiary issued to the Company or another Restricted Subsidiary of the Company; </w:t>
      </w:r>
      <w:r>
        <w:rPr>
          <w:rFonts w:ascii="Arial" w:cs="Arial" w:eastAsia="Arial" w:hAnsi="Arial"/>
          <w:sz w:val="16"/>
          <w:szCs w:val="16"/>
          <w:i w:val="1"/>
          <w:iCs w:val="1"/>
          <w:color w:val="auto"/>
        </w:rPr>
        <w:t>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that</w:t>
      </w:r>
    </w:p>
    <w:p>
      <w:pPr>
        <w:spacing w:after="0" w:line="103" w:lineRule="exact"/>
        <w:rPr>
          <w:sz w:val="20"/>
          <w:szCs w:val="20"/>
          <w:color w:val="auto"/>
        </w:rPr>
      </w:pPr>
    </w:p>
    <w:p>
      <w:pPr>
        <w:ind w:left="440" w:right="180" w:firstLine="411"/>
        <w:spacing w:after="0" w:line="277" w:lineRule="auto"/>
        <w:tabs>
          <w:tab w:leader="none" w:pos="114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jc w:val="both"/>
        <w:ind w:left="440" w:right="580" w:firstLine="411"/>
        <w:spacing w:after="0" w:line="264" w:lineRule="auto"/>
        <w:tabs>
          <w:tab w:leader="none" w:pos="113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the Company or a Restricted Subsidiary of the Company, will be deemed, in each case, to constitute an issuance of such Preferred Stock by such Restricted Subsidiary that was not permitted by this clause (8).</w:t>
      </w:r>
    </w:p>
    <w:p>
      <w:pPr>
        <w:spacing w:after="0" w:line="73" w:lineRule="exact"/>
        <w:rPr>
          <w:rFonts w:ascii="Arial" w:cs="Arial" w:eastAsia="Arial" w:hAnsi="Arial"/>
          <w:sz w:val="18"/>
          <w:szCs w:val="18"/>
          <w:color w:val="auto"/>
        </w:rPr>
      </w:pPr>
    </w:p>
    <w:p>
      <w:pPr>
        <w:ind w:right="200" w:firstLine="428"/>
        <w:spacing w:after="0" w:line="277" w:lineRule="auto"/>
        <w:tabs>
          <w:tab w:leader="none" w:pos="678"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not for speculative purposes;</w:t>
      </w:r>
    </w:p>
    <w:p>
      <w:pPr>
        <w:spacing w:after="0" w:line="62" w:lineRule="exact"/>
        <w:rPr>
          <w:rFonts w:ascii="Arial" w:cs="Arial" w:eastAsia="Arial" w:hAnsi="Arial"/>
          <w:sz w:val="18"/>
          <w:szCs w:val="18"/>
          <w:color w:val="auto"/>
        </w:rPr>
      </w:pPr>
    </w:p>
    <w:p>
      <w:pPr>
        <w:ind w:firstLine="428"/>
        <w:spacing w:after="0" w:line="259" w:lineRule="auto"/>
        <w:tabs>
          <w:tab w:leader="none" w:pos="768" w:val="left"/>
        </w:tabs>
        <w:numPr>
          <w:ilvl w:val="0"/>
          <w:numId w:val="563"/>
        </w:numPr>
        <w:rPr>
          <w:rFonts w:ascii="Arial" w:cs="Arial" w:eastAsia="Arial" w:hAnsi="Arial"/>
          <w:sz w:val="18"/>
          <w:szCs w:val="18"/>
          <w:color w:val="auto"/>
        </w:rPr>
      </w:pPr>
      <w:r>
        <w:rPr>
          <w:rFonts w:ascii="Arial" w:cs="Arial" w:eastAsia="Arial" w:hAnsi="Arial"/>
          <w:sz w:val="18"/>
          <w:szCs w:val="18"/>
          <w:color w:val="auto"/>
        </w:rPr>
        <w:t xml:space="preserve">the guarantee by the Company or any Restricted Subsidiary of the Company of Indebtedness of the Company or a Restricted Subsidiary of the Company that was permitted to be Incurred by another provision of this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8" w:lineRule="exact"/>
        <w:rPr>
          <w:rFonts w:ascii="Arial" w:cs="Arial" w:eastAsia="Arial" w:hAnsi="Arial"/>
          <w:sz w:val="18"/>
          <w:szCs w:val="18"/>
          <w:color w:val="auto"/>
        </w:rPr>
      </w:pPr>
    </w:p>
    <w:p>
      <w:pPr>
        <w:ind w:right="400" w:firstLine="428"/>
        <w:spacing w:after="0" w:line="342" w:lineRule="auto"/>
        <w:tabs>
          <w:tab w:leader="none" w:pos="761" w:val="left"/>
        </w:tabs>
        <w:numPr>
          <w:ilvl w:val="0"/>
          <w:numId w:val="563"/>
        </w:numPr>
        <w:rPr>
          <w:rFonts w:ascii="Arial" w:cs="Arial" w:eastAsia="Arial" w:hAnsi="Arial"/>
          <w:sz w:val="16"/>
          <w:szCs w:val="16"/>
          <w:color w:val="auto"/>
        </w:rPr>
      </w:pPr>
      <w:r>
        <w:rPr>
          <w:rFonts w:ascii="Arial" w:cs="Arial" w:eastAsia="Arial" w:hAnsi="Arial"/>
          <w:sz w:val="16"/>
          <w:szCs w:val="16"/>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15" w:lineRule="exact"/>
        <w:rPr>
          <w:rFonts w:ascii="Arial" w:cs="Arial" w:eastAsia="Arial" w:hAnsi="Arial"/>
          <w:sz w:val="16"/>
          <w:szCs w:val="16"/>
          <w:color w:val="auto"/>
        </w:rPr>
      </w:pPr>
    </w:p>
    <w:p>
      <w:pPr>
        <w:ind w:firstLine="428"/>
        <w:spacing w:after="0" w:line="302" w:lineRule="auto"/>
        <w:tabs>
          <w:tab w:leader="none" w:pos="768"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agreements shall give rise to Indebtedness for borrowed money);</w:t>
      </w:r>
    </w:p>
    <w:p>
      <w:pPr>
        <w:spacing w:after="0" w:line="46" w:lineRule="exact"/>
        <w:rPr>
          <w:rFonts w:ascii="Arial" w:cs="Arial" w:eastAsia="Arial" w:hAnsi="Arial"/>
          <w:sz w:val="16"/>
          <w:szCs w:val="16"/>
          <w:color w:val="auto"/>
        </w:rPr>
      </w:pPr>
    </w:p>
    <w:p>
      <w:pPr>
        <w:ind w:right="80" w:firstLine="428"/>
        <w:spacing w:after="0" w:line="273" w:lineRule="auto"/>
        <w:tabs>
          <w:tab w:leader="none" w:pos="768" w:val="left"/>
        </w:tabs>
        <w:numPr>
          <w:ilvl w:val="0"/>
          <w:numId w:val="563"/>
        </w:numPr>
        <w:rPr>
          <w:rFonts w:ascii="Arial" w:cs="Arial" w:eastAsia="Arial" w:hAnsi="Arial"/>
          <w:sz w:val="17"/>
          <w:szCs w:val="17"/>
          <w:color w:val="auto"/>
        </w:rPr>
      </w:pPr>
      <w:r>
        <w:rPr>
          <w:rFonts w:ascii="Arial" w:cs="Arial" w:eastAsia="Arial" w:hAnsi="Arial"/>
          <w:sz w:val="17"/>
          <w:szCs w:val="17"/>
          <w:color w:val="auto"/>
        </w:rPr>
        <w:t xml:space="preserve">Indebtedness arising from agreements providing for indemnification, adjustment of purchase price or similar obligations, or from guarantees or letters of credit, surety bonds, or performance bonds securing any obligation of the Company or any Restricted Subsidiary of the Company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maximum aggregate liability in respect of all such Indebtedness shall at no time exceed the gross proceeds actually received in connection with such disposition;</w:t>
      </w:r>
    </w:p>
    <w:p>
      <w:pPr>
        <w:spacing w:after="0" w:line="70" w:lineRule="exact"/>
        <w:rPr>
          <w:rFonts w:ascii="Arial" w:cs="Arial" w:eastAsia="Arial" w:hAnsi="Arial"/>
          <w:sz w:val="17"/>
          <w:szCs w:val="17"/>
          <w:color w:val="auto"/>
        </w:rPr>
      </w:pPr>
    </w:p>
    <w:p>
      <w:pPr>
        <w:ind w:left="780" w:hanging="352"/>
        <w:spacing w:after="0"/>
        <w:tabs>
          <w:tab w:leader="none" w:pos="78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Obligations in respect of Shareholder Subordinated Debt;</w:t>
      </w:r>
    </w:p>
    <w:p>
      <w:pPr>
        <w:spacing w:after="0" w:line="117" w:lineRule="exact"/>
        <w:rPr>
          <w:rFonts w:ascii="Arial" w:cs="Arial" w:eastAsia="Arial" w:hAnsi="Arial"/>
          <w:sz w:val="18"/>
          <w:szCs w:val="18"/>
          <w:color w:val="auto"/>
        </w:rPr>
      </w:pPr>
    </w:p>
    <w:p>
      <w:pPr>
        <w:ind w:firstLine="428"/>
        <w:spacing w:after="0" w:line="264" w:lineRule="auto"/>
        <w:tabs>
          <w:tab w:leader="none" w:pos="768"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any guarantees made solely in connection with (and limited in scope to) the giving of a Lien of the type specified in clause (22) of “Permitted Liens” to secure Indebtedness of an Unrestricted Subsidiary, the only recourse of which to the Company and its Restricted Subsidiaries is to the Equity Interests subject to the Liens;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60"/>
          </w:cols>
          <w:pgMar w:left="880" w:top="274" w:right="459" w:bottom="1440" w:gutter="0" w:footer="0" w:header="0"/>
        </w:sectPr>
      </w:pPr>
    </w:p>
    <w:bookmarkStart w:id="397" w:name="page398"/>
    <w:bookmarkEnd w:id="397"/>
    <w:p>
      <w:pPr>
        <w:ind w:left="440" w:right="140" w:firstLine="428"/>
        <w:spacing w:after="0" w:line="286" w:lineRule="auto"/>
        <w:tabs>
          <w:tab w:leader="none" w:pos="1208" w:val="left"/>
        </w:tabs>
        <w:numPr>
          <w:ilvl w:val="0"/>
          <w:numId w:val="5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Incurrence by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(16), not to exceed US$50.0 million; and</w:t>
      </w:r>
    </w:p>
    <w:p>
      <w:pPr>
        <w:spacing w:after="0" w:line="57" w:lineRule="exact"/>
        <w:rPr>
          <w:rFonts w:ascii="Arial" w:cs="Arial" w:eastAsia="Arial" w:hAnsi="Arial"/>
          <w:sz w:val="17"/>
          <w:szCs w:val="17"/>
          <w:color w:val="auto"/>
        </w:rPr>
      </w:pPr>
    </w:p>
    <w:p>
      <w:pPr>
        <w:ind w:left="440" w:right="140" w:firstLine="428"/>
        <w:spacing w:after="0" w:line="276" w:lineRule="auto"/>
        <w:tabs>
          <w:tab w:leader="none" w:pos="120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(17),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173"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The Company will not Incur, and will not permit any Subsidiary Guarantor to Incur, any Indebtedness (including Permitted Debt) that is contractually subordinated in right of payment to any other Indebtedness of the Company or such Subsidiary Guarantor unless such Indebtedness is also contractually subordinated in right of payment to the Notes and the applicable Note Guarantee on substantially identical terms;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Indebtedness will be deemed to be contractually subordinated in right of payment to any other Indebtedness of the Company or any Subsidiary Guarantor solely by virtue of being unsecured or by virtue of being secured on a first or junior Lien basis.</w:t>
      </w:r>
    </w:p>
    <w:p>
      <w:pPr>
        <w:spacing w:after="0" w:line="17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For purposes of determining compliance with this Section 4.09, in the event that an item of proposed Indebtedness meets the criteria of more than one of the categories of Permitted Debt described in clauses (1) through (17) above, or is entitled to be Incurred pursuant to the first paragraph of this covenant, the Company will be permitted to classify such item of Indebtedness on the date of its Incurrence, or later reclassify all or a portion of such item of Indebtedness, in any manner that complies with this Section 4.09. Indebtedness incurred under the Senior Secured Credit Facilities will be deemed to have been incurred in reliance on the exception provided by clause (1)(x) of the definition of Permitted Debt and may not be reclassified and Indebtedness incurred under the Existing Studio City Company Notes will be deemed to have been incurred in reliance on the exception provided by clause (3)(a)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provided, in each such case, that the amount of any such accrual, accretion or payment is included in Fixed Charges of the Company as accrued. Notwithstanding any other provision of this Section 4.09, the maximum amount of Indebtedness that the Company or any Restricted Subsidiary of the Company may Incur pursuant to this Section 4.09 shall not be deemed to be exceeded solely as a result of fluctuations in exchange rates or currency values.</w:t>
      </w:r>
    </w:p>
    <w:p>
      <w:pPr>
        <w:spacing w:after="0" w:line="185"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Further, for purposes of determining compliance with this covenant, to the extent the Company or any of its Restricted Subsidiaries guarantees Indebtedness of a direct or indirect parent entity to the extent otherwise permitted by this covenant, the on-loan by such direct or indirect parent entity to the Company or any of its Restricted Subsidiaries of all or a portion of the principal amount of such Indebtedness will not be double counted.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3" w:right="459" w:bottom="1440" w:gutter="0" w:footer="0" w:header="0"/>
        </w:sectPr>
      </w:pPr>
    </w:p>
    <w:bookmarkStart w:id="398" w:name="page399"/>
    <w:bookmarkEnd w:id="3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Indebtedness outstanding as of any date will be:</w:t>
      </w:r>
    </w:p>
    <w:p>
      <w:pPr>
        <w:spacing w:after="0" w:line="117" w:lineRule="exact"/>
        <w:rPr>
          <w:sz w:val="20"/>
          <w:szCs w:val="20"/>
          <w:color w:val="auto"/>
        </w:rPr>
      </w:pPr>
    </w:p>
    <w:p>
      <w:pPr>
        <w:ind w:left="1120" w:hanging="252"/>
        <w:spacing w:after="0"/>
        <w:tabs>
          <w:tab w:leader="none" w:pos="11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face amount of the Indebtedness of the 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p>
    <w:p>
      <w:pPr>
        <w:spacing w:after="0" w:line="117" w:lineRule="exact"/>
        <w:rPr>
          <w:sz w:val="20"/>
          <w:szCs w:val="20"/>
          <w:color w:val="auto"/>
        </w:rPr>
      </w:pPr>
    </w:p>
    <w:p>
      <w:pPr>
        <w:ind w:left="680" w:hanging="236"/>
        <w:spacing w:after="0"/>
        <w:tabs>
          <w:tab w:leader="none" w:pos="68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consummate an Asset Sale (other than an Event of Loss),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unless:</w:t>
      </w:r>
    </w:p>
    <w:p>
      <w:pPr>
        <w:spacing w:after="0" w:line="102"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1"/>
          <w:numId w:val="566"/>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and</w:t>
      </w:r>
    </w:p>
    <w:p>
      <w:pPr>
        <w:spacing w:after="0" w:line="62" w:lineRule="exact"/>
        <w:rPr>
          <w:rFonts w:ascii="Arial" w:cs="Arial" w:eastAsia="Arial" w:hAnsi="Arial"/>
          <w:sz w:val="18"/>
          <w:szCs w:val="18"/>
          <w:color w:val="auto"/>
        </w:rPr>
      </w:pPr>
    </w:p>
    <w:p>
      <w:pPr>
        <w:ind w:left="440" w:right="320" w:firstLine="428"/>
        <w:spacing w:after="0" w:line="277" w:lineRule="auto"/>
        <w:tabs>
          <w:tab w:leader="none" w:pos="1118" w:val="left"/>
        </w:tabs>
        <w:numPr>
          <w:ilvl w:val="1"/>
          <w:numId w:val="566"/>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For purposes of this provision, each of the following will be deemed to be cash:</w:t>
      </w:r>
    </w:p>
    <w:p>
      <w:pPr>
        <w:spacing w:after="0" w:line="62" w:lineRule="exact"/>
        <w:rPr>
          <w:rFonts w:ascii="Arial" w:cs="Arial" w:eastAsia="Arial" w:hAnsi="Arial"/>
          <w:sz w:val="18"/>
          <w:szCs w:val="18"/>
          <w:color w:val="auto"/>
        </w:rPr>
      </w:pPr>
    </w:p>
    <w:p>
      <w:pPr>
        <w:ind w:left="880" w:right="60" w:firstLine="411"/>
        <w:spacing w:after="0" w:line="259" w:lineRule="auto"/>
        <w:tabs>
          <w:tab w:leader="none" w:pos="1580" w:val="left"/>
        </w:tabs>
        <w:numPr>
          <w:ilvl w:val="2"/>
          <w:numId w:val="566"/>
        </w:numPr>
        <w:rPr>
          <w:rFonts w:ascii="Arial" w:cs="Arial" w:eastAsia="Arial" w:hAnsi="Arial"/>
          <w:sz w:val="18"/>
          <w:szCs w:val="18"/>
          <w:color w:val="auto"/>
        </w:rPr>
      </w:pPr>
      <w:r>
        <w:rPr>
          <w:rFonts w:ascii="Arial" w:cs="Arial" w:eastAsia="Arial" w:hAnsi="Arial"/>
          <w:sz w:val="18"/>
          <w:szCs w:val="18"/>
          <w:color w:val="auto"/>
        </w:rPr>
        <w:t>any liabilities, as shown on the Company’s most recent consolidated balance sheet, of the Company or any Restricted Subsidiary (other than contingent liabilities and liabilities that are by their terms subordinated to the Notes or any Note Guarantee) that are assumed by the transferee of any such assets pursuant to a customary novation agreement that releases the Company or such Restricted Subsidiary from further liability;</w:t>
      </w:r>
    </w:p>
    <w:p>
      <w:pPr>
        <w:spacing w:after="0" w:line="78" w:lineRule="exact"/>
        <w:rPr>
          <w:rFonts w:ascii="Arial" w:cs="Arial" w:eastAsia="Arial" w:hAnsi="Arial"/>
          <w:sz w:val="18"/>
          <w:szCs w:val="18"/>
          <w:color w:val="auto"/>
        </w:rPr>
      </w:pPr>
    </w:p>
    <w:p>
      <w:pPr>
        <w:ind w:left="880" w:right="280" w:firstLine="411"/>
        <w:spacing w:after="0" w:line="264" w:lineRule="auto"/>
        <w:tabs>
          <w:tab w:leader="none" w:pos="1570" w:val="left"/>
        </w:tabs>
        <w:numPr>
          <w:ilvl w:val="2"/>
          <w:numId w:val="566"/>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within 30 days of the receipt thereof, converted by the Company or such Restricted Subsidiary into cash, to the extent of the cash received in that conversion; and</w:t>
      </w:r>
    </w:p>
    <w:p>
      <w:pPr>
        <w:spacing w:after="0" w:line="73" w:lineRule="exact"/>
        <w:rPr>
          <w:rFonts w:ascii="Arial" w:cs="Arial" w:eastAsia="Arial" w:hAnsi="Arial"/>
          <w:sz w:val="18"/>
          <w:szCs w:val="18"/>
          <w:color w:val="auto"/>
        </w:rPr>
      </w:pPr>
    </w:p>
    <w:p>
      <w:pPr>
        <w:ind w:left="1580" w:hanging="289"/>
        <w:spacing w:after="0"/>
        <w:tabs>
          <w:tab w:leader="none" w:pos="1580" w:val="left"/>
        </w:tabs>
        <w:numPr>
          <w:ilvl w:val="2"/>
          <w:numId w:val="566"/>
        </w:numPr>
        <w:rPr>
          <w:rFonts w:ascii="Arial" w:cs="Arial" w:eastAsia="Arial" w:hAnsi="Arial"/>
          <w:sz w:val="18"/>
          <w:szCs w:val="18"/>
          <w:color w:val="auto"/>
        </w:rPr>
      </w:pPr>
      <w:r>
        <w:rPr>
          <w:rFonts w:ascii="Arial" w:cs="Arial" w:eastAsia="Arial" w:hAnsi="Arial"/>
          <w:sz w:val="18"/>
          <w:szCs w:val="18"/>
          <w:color w:val="auto"/>
        </w:rPr>
        <w:t>any stock or assets of the kind referred to in Section 4.10(b)(2) or Section 4.10(b)(4).</w:t>
      </w:r>
    </w:p>
    <w:p>
      <w:pPr>
        <w:spacing w:after="0" w:line="117" w:lineRule="exact"/>
        <w:rPr>
          <w:rFonts w:ascii="Arial" w:cs="Arial" w:eastAsia="Arial" w:hAnsi="Arial"/>
          <w:sz w:val="18"/>
          <w:szCs w:val="18"/>
          <w:color w:val="auto"/>
        </w:rPr>
      </w:pPr>
    </w:p>
    <w:p>
      <w:pPr>
        <w:ind w:right="640" w:firstLine="444"/>
        <w:spacing w:after="0" w:line="277" w:lineRule="auto"/>
        <w:tabs>
          <w:tab w:leader="none" w:pos="69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Within 360 days after the receipt of any Net Proceeds from an Asset Sale (including an Event of Loss), the Company or the applicable Restricted Subsidiary, as the case may be may apply such Net Proceeds:</w:t>
      </w:r>
    </w:p>
    <w:p>
      <w:pPr>
        <w:spacing w:after="0" w:line="62" w:lineRule="exact"/>
        <w:rPr>
          <w:rFonts w:ascii="Arial" w:cs="Arial" w:eastAsia="Arial" w:hAnsi="Arial"/>
          <w:sz w:val="18"/>
          <w:szCs w:val="18"/>
          <w:color w:val="auto"/>
        </w:rPr>
      </w:pPr>
    </w:p>
    <w:p>
      <w:pPr>
        <w:jc w:val="both"/>
        <w:ind w:left="440" w:right="20" w:firstLine="428"/>
        <w:spacing w:after="0" w:line="279" w:lineRule="auto"/>
        <w:tabs>
          <w:tab w:leader="none" w:pos="1118" w:val="left"/>
        </w:tabs>
        <w:numPr>
          <w:ilvl w:val="1"/>
          <w:numId w:val="566"/>
        </w:numPr>
        <w:rPr>
          <w:rFonts w:ascii="Arial" w:cs="Arial" w:eastAsia="Arial" w:hAnsi="Arial"/>
          <w:sz w:val="17"/>
          <w:szCs w:val="17"/>
          <w:color w:val="auto"/>
        </w:rPr>
      </w:pPr>
      <w:r>
        <w:rPr>
          <w:rFonts w:ascii="Arial" w:cs="Arial" w:eastAsia="Arial" w:hAnsi="Arial"/>
          <w:sz w:val="17"/>
          <w:szCs w:val="17"/>
          <w:color w:val="auto"/>
        </w:rPr>
        <w:t>to repay (a) Indebtedness Incurred under Section 4.09(b)(1) and Section 4.09(b)(17), (b) other Indebtedness of the Company or a Subsidiary Guarantor secured by property and assets that are the subject of such Asset Sale, and, in each case, if the Indebtedness repaid is revolving credit Indebtedness, to correspondingly reduce commitments with respect thereto, (c) Indebtedness of a Restricted Subsidiary that is not a Subsidiary Guarantor or (d) the Notes pursuant to the redemption provisions of this Indenture;</w:t>
      </w:r>
    </w:p>
    <w:p>
      <w:pPr>
        <w:spacing w:after="0" w:line="63" w:lineRule="exact"/>
        <w:rPr>
          <w:rFonts w:ascii="Arial" w:cs="Arial" w:eastAsia="Arial" w:hAnsi="Arial"/>
          <w:sz w:val="17"/>
          <w:szCs w:val="17"/>
          <w:color w:val="auto"/>
        </w:rPr>
      </w:pPr>
    </w:p>
    <w:p>
      <w:pPr>
        <w:ind w:left="440" w:firstLine="428"/>
        <w:spacing w:after="0" w:line="293" w:lineRule="auto"/>
        <w:tabs>
          <w:tab w:leader="none" w:pos="1118" w:val="left"/>
        </w:tabs>
        <w:numPr>
          <w:ilvl w:val="1"/>
          <w:numId w:val="566"/>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3" w:right="459" w:bottom="1440" w:gutter="0" w:footer="0" w:header="0"/>
        </w:sectPr>
      </w:pPr>
    </w:p>
    <w:bookmarkStart w:id="399" w:name="page400"/>
    <w:bookmarkEnd w:id="399"/>
    <w:p>
      <w:pPr>
        <w:ind w:left="440" w:firstLine="428"/>
        <w:spacing w:after="0" w:line="312" w:lineRule="auto"/>
        <w:tabs>
          <w:tab w:leader="none" w:pos="1118" w:val="left"/>
        </w:tabs>
        <w:numPr>
          <w:ilvl w:val="0"/>
          <w:numId w:val="5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 capital expenditure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 or</w:t>
      </w:r>
    </w:p>
    <w:p>
      <w:pPr>
        <w:spacing w:after="0" w:line="38" w:lineRule="exact"/>
        <w:rPr>
          <w:rFonts w:ascii="Arial" w:cs="Arial" w:eastAsia="Arial" w:hAnsi="Arial"/>
          <w:sz w:val="16"/>
          <w:szCs w:val="16"/>
          <w:color w:val="auto"/>
        </w:rPr>
      </w:pPr>
    </w:p>
    <w:p>
      <w:pPr>
        <w:ind w:left="1120" w:hanging="252"/>
        <w:spacing w:after="0"/>
        <w:tabs>
          <w:tab w:leader="none" w:pos="112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U.S. GAAP and that are used or useful in a Permitted Business</w:t>
      </w:r>
    </w:p>
    <w:p>
      <w:pPr>
        <w:spacing w:after="0" w:line="46"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or enter into a binding commitment regarding clauses (2), (3) or (4) above (in addition to the binding commitments expressly referenced in those clauses);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binding commitment shall be treated as a permitted application of Net Proceeds from the date of such commitment until the earlier of (x) the date on which such acquisition or expenditure is consummated and (y) the 180th day following the expiration of the aforementioned 360-day period. To the extent such acquisition or expenditure is not consummated on or before such 180th day and the Company or such Restricted Subsidiary shall not have applied such Net Proceeds pursuant to clauses (2), (3) or (4) above on or before such 180th day, such commitment shall be deemed not to have been a permitted application of Net Proceeds, and such Net Proceeds will constitute Excess Proceeds.</w:t>
      </w:r>
    </w:p>
    <w:p>
      <w:pPr>
        <w:spacing w:after="0" w:line="57" w:lineRule="exact"/>
        <w:rPr>
          <w:sz w:val="20"/>
          <w:szCs w:val="20"/>
          <w:color w:val="auto"/>
        </w:rPr>
      </w:pPr>
    </w:p>
    <w:p>
      <w:pPr>
        <w:ind w:right="160" w:firstLine="444"/>
        <w:spacing w:after="0" w:line="277" w:lineRule="auto"/>
        <w:tabs>
          <w:tab w:leader="none" w:pos="68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62" w:lineRule="exact"/>
        <w:rPr>
          <w:rFonts w:ascii="Arial" w:cs="Arial" w:eastAsia="Arial" w:hAnsi="Arial"/>
          <w:sz w:val="18"/>
          <w:szCs w:val="18"/>
          <w:color w:val="auto"/>
        </w:rPr>
      </w:pPr>
    </w:p>
    <w:p>
      <w:pPr>
        <w:ind w:right="120" w:firstLine="444"/>
        <w:spacing w:after="0" w:line="271" w:lineRule="auto"/>
        <w:tabs>
          <w:tab w:leader="none" w:pos="696" w:val="left"/>
        </w:tabs>
        <w:numPr>
          <w:ilvl w:val="0"/>
          <w:numId w:val="568"/>
        </w:numPr>
        <w:rPr>
          <w:rFonts w:ascii="Arial" w:cs="Arial" w:eastAsia="Arial" w:hAnsi="Arial"/>
          <w:sz w:val="17"/>
          <w:szCs w:val="17"/>
          <w:color w:val="auto"/>
        </w:rPr>
      </w:pPr>
      <w:r>
        <w:rPr>
          <w:rFonts w:ascii="Arial" w:cs="Arial" w:eastAsia="Arial" w:hAnsi="Arial"/>
          <w:sz w:val="17"/>
          <w:szCs w:val="17"/>
          <w:color w:val="auto"/>
        </w:rPr>
        <w:t xml:space="preserve">Any Net Proceeds from Asset Sales that are not applied or invested as provided in the second paragraph of this Section 4.10 will constitute “Excess Proceeds.” When the aggregate amount of Excess Proceeds exceeds US$5.0 million, within ten (10) days thereof, the Company shall make an Asset Sale Offer to all Holders with respect to offers to purchase or redeem with the proceeds of sales of assets to purchase the maximum principal amount of Notes. The offer price in any Asset Sale Offer will be equal to 100% of the principal amount plus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tendered into such Asset Sale Offer exceeds the amount of Excess Proceeds, the Company will purchase all tendered Notes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70" w:lineRule="exact"/>
        <w:rPr>
          <w:rFonts w:ascii="Arial" w:cs="Arial" w:eastAsia="Arial" w:hAnsi="Arial"/>
          <w:sz w:val="17"/>
          <w:szCs w:val="17"/>
          <w:color w:val="auto"/>
        </w:rPr>
      </w:pPr>
    </w:p>
    <w:p>
      <w:pPr>
        <w:ind w:right="40" w:firstLine="444"/>
        <w:spacing w:after="0" w:line="257" w:lineRule="auto"/>
        <w:tabs>
          <w:tab w:leader="none" w:pos="68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to the extent such laws or regulations are applicable in connection with the repurchase of the Notes pursuant to an Asset Sale Offer. To the extent that the provisions of any securities laws or regulations conflict with the provisions of Section 3.09 hereof or this Section 4.10, the Company will comply with the applicable securities laws and regulations and shall not be deemed to have breached its obligations under Section 3.09 hereof or this Section 4.10 by virtue thereof.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4.11 </w:t>
      </w:r>
      <w:r>
        <w:rPr>
          <w:rFonts w:ascii="Arial" w:cs="Arial" w:eastAsia="Arial" w:hAnsi="Arial"/>
          <w:sz w:val="18"/>
          <w:szCs w:val="18"/>
          <w:i w:val="1"/>
          <w:iCs w:val="1"/>
          <w:color w:val="auto"/>
        </w:rPr>
        <w:t>Transactions with Affiliates.</w:t>
      </w:r>
    </w:p>
    <w:p>
      <w:pPr>
        <w:spacing w:after="0" w:line="117" w:lineRule="exact"/>
        <w:rPr>
          <w:sz w:val="20"/>
          <w:szCs w:val="20"/>
          <w:color w:val="auto"/>
        </w:rPr>
      </w:pPr>
    </w:p>
    <w:p>
      <w:pPr>
        <w:ind w:right="120" w:firstLine="444"/>
        <w:spacing w:after="0" w:line="259" w:lineRule="auto"/>
        <w:tabs>
          <w:tab w:leader="none" w:pos="68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unless:</w:t>
      </w:r>
    </w:p>
    <w:p>
      <w:pPr>
        <w:spacing w:after="0" w:line="78" w:lineRule="exact"/>
        <w:rPr>
          <w:rFonts w:ascii="Arial" w:cs="Arial" w:eastAsia="Arial" w:hAnsi="Arial"/>
          <w:sz w:val="18"/>
          <w:szCs w:val="18"/>
          <w:color w:val="auto"/>
        </w:rPr>
      </w:pPr>
    </w:p>
    <w:p>
      <w:pPr>
        <w:ind w:left="440" w:firstLine="428"/>
        <w:spacing w:after="0" w:line="264" w:lineRule="auto"/>
        <w:tabs>
          <w:tab w:leader="none" w:pos="1118"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Company or the relevant Restricted Subsidiary than those that would have been obtained in a comparable transaction by the Company or such Restricted Subsidiary with a Person that is not an Affiliate of the Company;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117" w:lineRule="exact"/>
        <w:rPr>
          <w:rFonts w:ascii="Arial" w:cs="Arial" w:eastAsia="Arial" w:hAnsi="Arial"/>
          <w:sz w:val="18"/>
          <w:szCs w:val="18"/>
          <w:color w:val="auto"/>
        </w:rPr>
      </w:pPr>
    </w:p>
    <w:p>
      <w:pPr>
        <w:ind w:left="880" w:right="80" w:firstLine="411"/>
        <w:spacing w:after="0" w:line="255" w:lineRule="auto"/>
        <w:tabs>
          <w:tab w:leader="none" w:pos="1580" w:val="left"/>
        </w:tabs>
        <w:numPr>
          <w:ilvl w:val="2"/>
          <w:numId w:val="569"/>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US$45.0 million, a resolution of the Board of Directors of the Company set forth in an Officer’s Certificate certifying that such Affiliate Transaction complies with this Section 4.11(a) and that such Affiliate Transaction has been approved by a majority of the disinterested members of the Board of Directors of the Company or, if the Board of Directors of the Company has no disinterested directors, approved in good faith by a majority of the members (or in the case of a single member, the sole member) of the Board of Directors of the Company; and</w:t>
      </w:r>
    </w:p>
    <w:p>
      <w:pPr>
        <w:spacing w:after="0" w:line="85" w:lineRule="exact"/>
        <w:rPr>
          <w:rFonts w:ascii="Arial" w:cs="Arial" w:eastAsia="Arial" w:hAnsi="Arial"/>
          <w:sz w:val="18"/>
          <w:szCs w:val="18"/>
          <w:color w:val="auto"/>
        </w:rPr>
      </w:pPr>
    </w:p>
    <w:p>
      <w:pPr>
        <w:ind w:left="880" w:right="160" w:firstLine="411"/>
        <w:spacing w:after="0" w:line="302" w:lineRule="auto"/>
        <w:tabs>
          <w:tab w:leader="none" w:pos="1570" w:val="left"/>
        </w:tabs>
        <w:numPr>
          <w:ilvl w:val="2"/>
          <w:numId w:val="569"/>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US$60.0 million, an opinion as to the fairness to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The following items will not be deemed to be Affiliate Transactions and, therefore, will not be subject to the provisions of Section 4.11(a)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left="440" w:right="160" w:firstLine="428"/>
        <w:spacing w:after="0" w:line="312" w:lineRule="auto"/>
        <w:tabs>
          <w:tab w:leader="none" w:pos="1118" w:val="left"/>
        </w:tabs>
        <w:numPr>
          <w:ilvl w:val="1"/>
          <w:numId w:val="569"/>
        </w:numPr>
        <w:rPr>
          <w:rFonts w:ascii="Arial" w:cs="Arial" w:eastAsia="Arial" w:hAnsi="Arial"/>
          <w:sz w:val="16"/>
          <w:szCs w:val="16"/>
          <w:color w:val="auto"/>
        </w:rPr>
      </w:pPr>
      <w:r>
        <w:rPr>
          <w:rFonts w:ascii="Arial" w:cs="Arial" w:eastAsia="Arial" w:hAnsi="Arial"/>
          <w:sz w:val="16"/>
          <w:szCs w:val="16"/>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Company or any of its Restricted Subsidiaries in the ordinary course of business and payments pursuant thereto;</w:t>
      </w:r>
    </w:p>
    <w:p>
      <w:pPr>
        <w:spacing w:after="0" w:line="38" w:lineRule="exact"/>
        <w:rPr>
          <w:rFonts w:ascii="Arial" w:cs="Arial" w:eastAsia="Arial" w:hAnsi="Arial"/>
          <w:sz w:val="16"/>
          <w:szCs w:val="16"/>
          <w:color w:val="auto"/>
        </w:rPr>
      </w:pPr>
    </w:p>
    <w:p>
      <w:pPr>
        <w:ind w:left="1120" w:hanging="252"/>
        <w:spacing w:after="0"/>
        <w:tabs>
          <w:tab w:leader="none" w:pos="112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17" w:lineRule="exact"/>
        <w:rPr>
          <w:rFonts w:ascii="Arial" w:cs="Arial" w:eastAsia="Arial" w:hAnsi="Arial"/>
          <w:sz w:val="18"/>
          <w:szCs w:val="18"/>
          <w:color w:val="auto"/>
        </w:rPr>
      </w:pPr>
    </w:p>
    <w:p>
      <w:pPr>
        <w:ind w:left="440" w:right="80" w:firstLine="428"/>
        <w:spacing w:after="0" w:line="277" w:lineRule="auto"/>
        <w:tabs>
          <w:tab w:leader="none" w:pos="1118" w:val="left"/>
        </w:tabs>
        <w:numPr>
          <w:ilvl w:val="1"/>
          <w:numId w:val="569"/>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that is an Affiliate of the Company solely because the Company owns directly or through a Restricted Subsidiary, an Equity Interest in, or controls, such Person;</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118" w:val="left"/>
        </w:tabs>
        <w:numPr>
          <w:ilvl w:val="1"/>
          <w:numId w:val="569"/>
        </w:numPr>
        <w:rPr>
          <w:rFonts w:ascii="Arial" w:cs="Arial" w:eastAsia="Arial" w:hAnsi="Arial"/>
          <w:sz w:val="18"/>
          <w:szCs w:val="18"/>
          <w:color w:val="auto"/>
        </w:rPr>
      </w:pPr>
      <w:r>
        <w:rPr>
          <w:rFonts w:ascii="Arial" w:cs="Arial" w:eastAsia="Arial" w:hAnsi="Arial"/>
          <w:sz w:val="18"/>
          <w:szCs w:val="18"/>
          <w:color w:val="auto"/>
        </w:rPr>
        <w:t>payment of reasonable officers’ and directors’ fees and reimbursement of expenses (including the provision of indemnity to officers and directors) to Persons who are not otherwise Affiliates of the Company;</w:t>
      </w:r>
    </w:p>
    <w:p>
      <w:pPr>
        <w:spacing w:after="0" w:line="62" w:lineRule="exact"/>
        <w:rPr>
          <w:rFonts w:ascii="Arial" w:cs="Arial" w:eastAsia="Arial" w:hAnsi="Arial"/>
          <w:sz w:val="18"/>
          <w:szCs w:val="18"/>
          <w:color w:val="auto"/>
        </w:rPr>
      </w:pPr>
    </w:p>
    <w:p>
      <w:pPr>
        <w:ind w:left="440" w:right="440" w:firstLine="428"/>
        <w:spacing w:after="0" w:line="277" w:lineRule="auto"/>
        <w:tabs>
          <w:tab w:leader="none" w:pos="1118"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 or contribution to the common equity capital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401" w:name="page402"/>
    <w:bookmarkEnd w:id="401"/>
    <w:p>
      <w:pPr>
        <w:ind w:right="180" w:firstLine="428"/>
        <w:spacing w:after="0" w:line="277" w:lineRule="auto"/>
        <w:tabs>
          <w:tab w:leader="none" w:pos="678" w:val="left"/>
        </w:tabs>
        <w:numPr>
          <w:ilvl w:val="0"/>
          <w:numId w:val="5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Payments (including any payments made under, pursuant to or in connection with the Services and Right to Use Agreement, the Reinvestment Agreement or the MSA) that do not violate Section 4.07 hereof;</w:t>
      </w:r>
    </w:p>
    <w:p>
      <w:pPr>
        <w:spacing w:after="0" w:line="62" w:lineRule="exact"/>
        <w:rPr>
          <w:rFonts w:ascii="Arial" w:cs="Arial" w:eastAsia="Arial" w:hAnsi="Arial"/>
          <w:sz w:val="18"/>
          <w:szCs w:val="18"/>
          <w:color w:val="auto"/>
        </w:rPr>
      </w:pPr>
    </w:p>
    <w:p>
      <w:pPr>
        <w:ind w:right="100" w:firstLine="428"/>
        <w:spacing w:after="0" w:line="291" w:lineRule="auto"/>
        <w:tabs>
          <w:tab w:leader="none" w:pos="678" w:val="left"/>
        </w:tabs>
        <w:numPr>
          <w:ilvl w:val="0"/>
          <w:numId w:val="570"/>
        </w:numPr>
        <w:rPr>
          <w:rFonts w:ascii="Arial" w:cs="Arial" w:eastAsia="Arial" w:hAnsi="Arial"/>
          <w:sz w:val="16"/>
          <w:szCs w:val="16"/>
          <w:color w:val="auto"/>
        </w:rPr>
      </w:pPr>
      <w:r>
        <w:rPr>
          <w:rFonts w:ascii="Arial" w:cs="Arial" w:eastAsia="Arial" w:hAnsi="Arial"/>
          <w:sz w:val="16"/>
          <w:szCs w:val="16"/>
          <w:color w:val="auto"/>
        </w:rPr>
        <w:t>any agreement or arrangement existing on the Issue Date,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Company and its Restricted Subsidiaries, taken as a whole, than the original agreement or arrangement as in effect on the Issue Date,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Company or any of its Restricted Subsidiaries, including, but not limited to, the government of the Macau SAR);</w:t>
      </w:r>
    </w:p>
    <w:p>
      <w:pPr>
        <w:spacing w:after="0" w:line="59" w:lineRule="exact"/>
        <w:rPr>
          <w:rFonts w:ascii="Arial" w:cs="Arial" w:eastAsia="Arial" w:hAnsi="Arial"/>
          <w:sz w:val="16"/>
          <w:szCs w:val="16"/>
          <w:color w:val="auto"/>
        </w:rPr>
      </w:pPr>
    </w:p>
    <w:p>
      <w:pPr>
        <w:ind w:right="40" w:firstLine="428"/>
        <w:spacing w:after="0" w:line="308" w:lineRule="auto"/>
        <w:tabs>
          <w:tab w:leader="none" w:pos="678" w:val="left"/>
        </w:tabs>
        <w:numPr>
          <w:ilvl w:val="0"/>
          <w:numId w:val="570"/>
        </w:numPr>
        <w:rPr>
          <w:rFonts w:ascii="Arial" w:cs="Arial" w:eastAsia="Arial" w:hAnsi="Arial"/>
          <w:sz w:val="17"/>
          <w:szCs w:val="17"/>
          <w:color w:val="auto"/>
        </w:rPr>
      </w:pPr>
      <w:r>
        <w:rPr>
          <w:rFonts w:ascii="Arial" w:cs="Arial" w:eastAsia="Arial" w:hAnsi="Arial"/>
          <w:sz w:val="17"/>
          <w:szCs w:val="17"/>
          <w:color w:val="auto"/>
        </w:rPr>
        <w:t>loans or advances to employees (including personnel who provide services to the Company or any of its Restricted Subsidiaries pursuant to the MSA) in the ordinary course of business not to exceed US$2.0 million in the aggregate at any one time outstanding;</w:t>
      </w:r>
    </w:p>
    <w:p>
      <w:pPr>
        <w:spacing w:after="0" w:line="38" w:lineRule="exact"/>
        <w:rPr>
          <w:rFonts w:ascii="Arial" w:cs="Arial" w:eastAsia="Arial" w:hAnsi="Arial"/>
          <w:sz w:val="17"/>
          <w:szCs w:val="17"/>
          <w:color w:val="auto"/>
        </w:rPr>
      </w:pPr>
    </w:p>
    <w:p>
      <w:pPr>
        <w:ind w:left="680" w:hanging="252"/>
        <w:spacing w:after="0"/>
        <w:tabs>
          <w:tab w:leader="none" w:pos="6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28"/>
        <w:spacing w:after="0" w:line="286" w:lineRule="auto"/>
        <w:tabs>
          <w:tab w:leader="none" w:pos="768" w:val="left"/>
        </w:tabs>
        <w:numPr>
          <w:ilvl w:val="0"/>
          <w:numId w:val="570"/>
        </w:numPr>
        <w:rPr>
          <w:rFonts w:ascii="Arial" w:cs="Arial" w:eastAsia="Arial" w:hAnsi="Arial"/>
          <w:sz w:val="16"/>
          <w:szCs w:val="16"/>
          <w:color w:val="auto"/>
        </w:rPr>
      </w:pPr>
      <w:r>
        <w:rPr>
          <w:rFonts w:ascii="Arial" w:cs="Arial" w:eastAsia="Arial" w:hAnsi="Arial"/>
          <w:sz w:val="16"/>
          <w:szCs w:val="16"/>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Company and its Restricted Subsidiaries, taken as a whole, than the Services and Right to Use Agreement and the Reinvestment Agreement, taken as a whole, or the MSA, respectively, as in effect on the Issue Date or, as determined in good faith by the Board of Directors of the Company, would not materially and adversely affect the Company’s ability to make payments of principal of and interest on the Notes) and (b) other than with respect to transactions or arrangements subject to clause (a) above, transactions or arrangements with customers, clients, suppliers or sellers of goods or services in the ordinary course of business, on terms that are fair to the Company or any of its Restricted Subsidiaries, as applicable, or are no less favorable than those that might reasonably have been obtained in a comparable transaction at such time on an arms-length basis from a Person that is not an Affiliate of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Company or any of its Restricted Subsidiaries, including, but not limited to, the government of the Macau SAR;</w:t>
      </w:r>
    </w:p>
    <w:p>
      <w:pPr>
        <w:spacing w:after="0" w:line="63" w:lineRule="exact"/>
        <w:rPr>
          <w:rFonts w:ascii="Arial" w:cs="Arial" w:eastAsia="Arial" w:hAnsi="Arial"/>
          <w:sz w:val="16"/>
          <w:szCs w:val="16"/>
          <w:color w:val="auto"/>
        </w:rPr>
      </w:pPr>
    </w:p>
    <w:p>
      <w:pPr>
        <w:ind w:right="560" w:firstLine="428"/>
        <w:spacing w:after="0" w:line="277" w:lineRule="auto"/>
        <w:tabs>
          <w:tab w:leader="none" w:pos="761"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execution of the Transactions, and the payment of all fees and expenses relating to the Transactions described in the Offering Memorandum;</w:t>
      </w:r>
    </w:p>
    <w:p>
      <w:pPr>
        <w:spacing w:after="0" w:line="62" w:lineRule="exact"/>
        <w:rPr>
          <w:rFonts w:ascii="Arial" w:cs="Arial" w:eastAsia="Arial" w:hAnsi="Arial"/>
          <w:sz w:val="18"/>
          <w:szCs w:val="18"/>
          <w:color w:val="auto"/>
        </w:rPr>
      </w:pPr>
    </w:p>
    <w:p>
      <w:pPr>
        <w:ind w:right="300" w:firstLine="428"/>
        <w:spacing w:after="0" w:line="259" w:lineRule="auto"/>
        <w:tabs>
          <w:tab w:leader="none" w:pos="76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transactions or arrangements must comply with clauses 4.11(a)(1) and (a)(2)(A) hereof;</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80"/>
          </w:cols>
          <w:pgMar w:left="880" w:top="274" w:right="439" w:bottom="1440" w:gutter="0" w:footer="0" w:header="0"/>
        </w:sectPr>
      </w:pPr>
    </w:p>
    <w:bookmarkStart w:id="402" w:name="page403"/>
    <w:bookmarkEnd w:id="402"/>
    <w:p>
      <w:pPr>
        <w:ind w:left="440" w:right="220" w:firstLine="428"/>
        <w:spacing w:after="0" w:line="257" w:lineRule="auto"/>
        <w:tabs>
          <w:tab w:leader="none" w:pos="1208" w:val="left"/>
        </w:tabs>
        <w:numPr>
          <w:ilvl w:val="0"/>
          <w:numId w:val="5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or arrangements duly approved by the Audit and Risk Committee of Studio City International so long as Studio City International is listed on the New York Stock Exchange or another internationally recognized stock exchange and the Company delivers to the Trustee a copy of the resolution of the Audit and Risk Committee of Studio City International annexed to an Officer’s Certificate certifying that such Affiliate Transaction complies with this clause (13) and that such Affiliate Transaction has been duly approved by the Audit and Risk Committee of Studio City International;</w:t>
      </w:r>
    </w:p>
    <w:p>
      <w:pPr>
        <w:spacing w:after="0" w:line="80" w:lineRule="exact"/>
        <w:rPr>
          <w:rFonts w:ascii="Arial" w:cs="Arial" w:eastAsia="Arial" w:hAnsi="Arial"/>
          <w:sz w:val="18"/>
          <w:szCs w:val="18"/>
          <w:color w:val="auto"/>
        </w:rPr>
      </w:pPr>
    </w:p>
    <w:p>
      <w:pPr>
        <w:ind w:left="440" w:right="60" w:firstLine="428"/>
        <w:spacing w:after="0" w:line="277" w:lineRule="auto"/>
        <w:tabs>
          <w:tab w:leader="none" w:pos="1208" w:val="left"/>
        </w:tabs>
        <w:numPr>
          <w:ilvl w:val="0"/>
          <w:numId w:val="571"/>
        </w:numPr>
        <w:rPr>
          <w:rFonts w:ascii="Arial" w:cs="Arial" w:eastAsia="Arial" w:hAnsi="Arial"/>
          <w:sz w:val="18"/>
          <w:szCs w:val="18"/>
          <w:color w:val="auto"/>
        </w:rPr>
      </w:pPr>
      <w:r>
        <w:rPr>
          <w:rFonts w:ascii="Arial" w:cs="Arial" w:eastAsia="Arial" w:hAnsi="Arial"/>
          <w:sz w:val="18"/>
          <w:szCs w:val="18"/>
          <w:color w:val="auto"/>
        </w:rPr>
        <w:t>execution, delivery and performance of any tax sharing agreement or the formation and maintenance of any consolidated group for tax, accounting or cash pooling or management purposes; and</w:t>
      </w:r>
    </w:p>
    <w:p>
      <w:pPr>
        <w:spacing w:after="0" w:line="62" w:lineRule="exact"/>
        <w:rPr>
          <w:rFonts w:ascii="Arial" w:cs="Arial" w:eastAsia="Arial" w:hAnsi="Arial"/>
          <w:sz w:val="18"/>
          <w:szCs w:val="18"/>
          <w:color w:val="auto"/>
        </w:rPr>
      </w:pPr>
    </w:p>
    <w:p>
      <w:pPr>
        <w:ind w:left="440" w:right="240" w:firstLine="428"/>
        <w:spacing w:after="0" w:line="277" w:lineRule="auto"/>
        <w:tabs>
          <w:tab w:leader="none" w:pos="1208" w:val="left"/>
        </w:tabs>
        <w:numPr>
          <w:ilvl w:val="0"/>
          <w:numId w:val="571"/>
        </w:numPr>
        <w:rPr>
          <w:rFonts w:ascii="Arial" w:cs="Arial" w:eastAsia="Arial" w:hAnsi="Arial"/>
          <w:sz w:val="18"/>
          <w:szCs w:val="18"/>
          <w:color w:val="auto"/>
        </w:rPr>
      </w:pPr>
      <w:r>
        <w:rPr>
          <w:rFonts w:ascii="Arial" w:cs="Arial" w:eastAsia="Arial" w:hAnsi="Arial"/>
          <w:sz w:val="18"/>
          <w:szCs w:val="18"/>
          <w:color w:val="auto"/>
        </w:rPr>
        <w:t>provision by, between, among, to or from Persons who may be deemed Affiliates of group administrative, treasury, legal, accounting and similar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Liens.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Company will not, and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Notes and the Note Guarantees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so secured until such time as such obligations are no longer secured by a Lien.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Business Activities.</w:t>
      </w:r>
    </w:p>
    <w:p>
      <w:pPr>
        <w:spacing w:after="0" w:line="11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engage in any business other than Permitted Business, except to such extent as would not be material to the Company and its Restricted Subsidiaries (taken as a whole).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Corporate Existence.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w:t>
      </w:r>
    </w:p>
    <w:p>
      <w:pPr>
        <w:spacing w:after="0" w:line="129" w:lineRule="exact"/>
        <w:rPr>
          <w:sz w:val="20"/>
          <w:szCs w:val="20"/>
          <w:color w:val="auto"/>
        </w:rPr>
      </w:pPr>
    </w:p>
    <w:p>
      <w:pPr>
        <w:ind w:left="440" w:right="320" w:firstLine="428"/>
        <w:spacing w:after="0" w:line="308" w:lineRule="auto"/>
        <w:tabs>
          <w:tab w:leader="none" w:pos="1118" w:val="left"/>
        </w:tabs>
        <w:numPr>
          <w:ilvl w:val="0"/>
          <w:numId w:val="572"/>
        </w:numPr>
        <w:rPr>
          <w:rFonts w:ascii="Arial" w:cs="Arial" w:eastAsia="Arial" w:hAnsi="Arial"/>
          <w:sz w:val="17"/>
          <w:szCs w:val="17"/>
          <w:color w:val="auto"/>
        </w:rPr>
      </w:pPr>
      <w:r>
        <w:rPr>
          <w:rFonts w:ascii="Arial" w:cs="Arial" w:eastAsia="Arial" w:hAnsi="Arial"/>
          <w:sz w:val="17"/>
          <w:szCs w:val="17"/>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38" w:lineRule="exact"/>
        <w:rPr>
          <w:rFonts w:ascii="Arial" w:cs="Arial" w:eastAsia="Arial" w:hAnsi="Arial"/>
          <w:sz w:val="17"/>
          <w:szCs w:val="17"/>
          <w:color w:val="auto"/>
        </w:rPr>
      </w:pPr>
    </w:p>
    <w:p>
      <w:pPr>
        <w:ind w:left="440" w:firstLine="428"/>
        <w:spacing w:after="0" w:line="279" w:lineRule="auto"/>
        <w:tabs>
          <w:tab w:leader="none" w:pos="1118" w:val="left"/>
        </w:tabs>
        <w:numPr>
          <w:ilvl w:val="0"/>
          <w:numId w:val="572"/>
        </w:numPr>
        <w:rPr>
          <w:rFonts w:ascii="Arial" w:cs="Arial" w:eastAsia="Arial" w:hAnsi="Arial"/>
          <w:sz w:val="17"/>
          <w:szCs w:val="17"/>
          <w:color w:val="auto"/>
        </w:rPr>
      </w:pPr>
      <w:r>
        <w:rPr>
          <w:rFonts w:ascii="Arial" w:cs="Arial" w:eastAsia="Arial" w:hAnsi="Arial"/>
          <w:sz w:val="17"/>
          <w:szCs w:val="17"/>
          <w:color w:val="auto"/>
        </w:rPr>
        <w:t xml:space="preserve">the rights (charter and statutory), licenses and franchises of the Company and its Subsidiaries;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3" w:right="45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4.15 </w:t>
      </w:r>
      <w:r>
        <w:rPr>
          <w:rFonts w:ascii="Arial" w:cs="Arial" w:eastAsia="Arial" w:hAnsi="Arial"/>
          <w:sz w:val="18"/>
          <w:szCs w:val="18"/>
          <w:i w:val="1"/>
          <w:iCs w:val="1"/>
          <w:color w:val="auto"/>
        </w:rPr>
        <w:t>Offer to Repurchase upon Change of Control.</w:t>
      </w:r>
    </w:p>
    <w:p>
      <w:pPr>
        <w:spacing w:after="0" w:line="117" w:lineRule="exact"/>
        <w:rPr>
          <w:sz w:val="20"/>
          <w:szCs w:val="20"/>
          <w:color w:val="auto"/>
        </w:rPr>
      </w:pPr>
    </w:p>
    <w:p>
      <w:pPr>
        <w:ind w:firstLine="444"/>
        <w:spacing w:after="0" w:line="286" w:lineRule="auto"/>
        <w:tabs>
          <w:tab w:leader="none" w:pos="685" w:val="left"/>
        </w:tabs>
        <w:numPr>
          <w:ilvl w:val="1"/>
          <w:numId w:val="573"/>
        </w:numPr>
        <w:rPr>
          <w:rFonts w:ascii="Arial" w:cs="Arial" w:eastAsia="Arial" w:hAnsi="Arial"/>
          <w:sz w:val="16"/>
          <w:szCs w:val="16"/>
          <w:color w:val="auto"/>
        </w:rPr>
      </w:pPr>
      <w:r>
        <w:rPr>
          <w:rFonts w:ascii="Arial" w:cs="Arial" w:eastAsia="Arial" w:hAnsi="Arial"/>
          <w:sz w:val="16"/>
          <w:szCs w:val="16"/>
          <w:color w:val="auto"/>
        </w:rPr>
        <w:t>Upon the occurrence of a Change of Control, each Holder will have the right to require the Company to repurchase all or any part of such Holder’s Notes at a purchase price in cash equal to 101% of the principal amount thereof, plus accrued and unpaid interest and Additional Amounts, if any, to the date of repurchase (subject to the right of holders of record on the relevant record date to receive interest due on the relevant interest payment date), except to the extent the Company has previously or concurrently elected to redeem the Notes in full pursuant to Section 3.07 hereof. Within ten</w:t>
      </w:r>
    </w:p>
    <w:p>
      <w:pPr>
        <w:spacing w:after="0" w:line="1" w:lineRule="exact"/>
        <w:rPr>
          <w:rFonts w:ascii="Arial" w:cs="Arial" w:eastAsia="Arial" w:hAnsi="Arial"/>
          <w:sz w:val="16"/>
          <w:szCs w:val="16"/>
          <w:color w:val="auto"/>
        </w:rPr>
      </w:pPr>
    </w:p>
    <w:p>
      <w:pPr>
        <w:ind w:right="80" w:firstLine="4"/>
        <w:spacing w:after="0" w:line="255" w:lineRule="auto"/>
        <w:tabs>
          <w:tab w:leader="none" w:pos="34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days following any Change of Control, except to the extent that the Company has exercised its right to redeem the Notes by delivery of a notice of redemption pursuant to Section 3.03 hereof, the Company shall mail a notice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with a copy to the Trustee stating:</w:t>
      </w:r>
    </w:p>
    <w:p>
      <w:pPr>
        <w:spacing w:after="0" w:line="82" w:lineRule="exact"/>
        <w:rPr>
          <w:rFonts w:ascii="Arial" w:cs="Arial" w:eastAsia="Arial" w:hAnsi="Arial"/>
          <w:sz w:val="18"/>
          <w:szCs w:val="18"/>
          <w:color w:val="auto"/>
        </w:rPr>
      </w:pPr>
    </w:p>
    <w:p>
      <w:pPr>
        <w:ind w:left="440" w:right="80" w:firstLine="428"/>
        <w:spacing w:after="0" w:line="312" w:lineRule="auto"/>
        <w:tabs>
          <w:tab w:leader="none" w:pos="1118" w:val="left"/>
        </w:tabs>
        <w:numPr>
          <w:ilvl w:val="2"/>
          <w:numId w:val="574"/>
        </w:numPr>
        <w:rPr>
          <w:rFonts w:ascii="Arial" w:cs="Arial" w:eastAsia="Arial" w:hAnsi="Arial"/>
          <w:sz w:val="16"/>
          <w:szCs w:val="16"/>
          <w:color w:val="auto"/>
        </w:rPr>
      </w:pPr>
      <w:r>
        <w:rPr>
          <w:rFonts w:ascii="Arial" w:cs="Arial" w:eastAsia="Arial" w:hAnsi="Arial"/>
          <w:sz w:val="16"/>
          <w:szCs w:val="16"/>
          <w:color w:val="auto"/>
        </w:rPr>
        <w:t>that a Change of Control has occurred and that such Holder has the right to require the Company to repurchase such Holder’s Notes at a repurchase price in cash equal to 101% of the principal amount thereof, plus accrued and unpaid interest to the date of repurchase (subject to the right of holders of record on a record date to receive interest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120" w:hanging="252"/>
        <w:spacing w:after="0"/>
        <w:tabs>
          <w:tab w:leader="none" w:pos="1120" w:val="left"/>
        </w:tabs>
        <w:numPr>
          <w:ilvl w:val="2"/>
          <w:numId w:val="574"/>
        </w:numPr>
        <w:rPr>
          <w:rFonts w:ascii="Arial" w:cs="Arial" w:eastAsia="Arial" w:hAnsi="Arial"/>
          <w:sz w:val="18"/>
          <w:szCs w:val="18"/>
          <w:color w:val="auto"/>
        </w:rPr>
      </w:pPr>
      <w:r>
        <w:rPr>
          <w:rFonts w:ascii="Arial" w:cs="Arial" w:eastAsia="Arial" w:hAnsi="Arial"/>
          <w:sz w:val="18"/>
          <w:szCs w:val="18"/>
          <w:color w:val="auto"/>
        </w:rPr>
        <w:t>the circumstances and relevant facts and financial information regarding such Change of Control;</w:t>
      </w:r>
    </w:p>
    <w:p>
      <w:pPr>
        <w:spacing w:after="0" w:line="117"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2"/>
          <w:numId w:val="574"/>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(the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Payment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2"/>
          <w:numId w:val="574"/>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440" w:right="340" w:firstLine="428"/>
        <w:spacing w:after="0" w:line="277" w:lineRule="auto"/>
        <w:tabs>
          <w:tab w:leader="none" w:pos="1118" w:val="left"/>
        </w:tabs>
        <w:numPr>
          <w:ilvl w:val="2"/>
          <w:numId w:val="574"/>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62" w:lineRule="exact"/>
        <w:rPr>
          <w:rFonts w:ascii="Arial" w:cs="Arial" w:eastAsia="Arial" w:hAnsi="Arial"/>
          <w:sz w:val="18"/>
          <w:szCs w:val="18"/>
          <w:color w:val="auto"/>
        </w:rPr>
      </w:pPr>
    </w:p>
    <w:p>
      <w:pPr>
        <w:jc w:val="both"/>
        <w:ind w:left="440" w:firstLine="428"/>
        <w:spacing w:after="0" w:line="312" w:lineRule="auto"/>
        <w:tabs>
          <w:tab w:leader="none" w:pos="1118" w:val="left"/>
        </w:tabs>
        <w:numPr>
          <w:ilvl w:val="2"/>
          <w:numId w:val="574"/>
        </w:numPr>
        <w:rPr>
          <w:rFonts w:ascii="Arial" w:cs="Arial" w:eastAsia="Arial" w:hAnsi="Arial"/>
          <w:sz w:val="16"/>
          <w:szCs w:val="16"/>
          <w:color w:val="auto"/>
        </w:rPr>
      </w:pPr>
      <w:r>
        <w:rPr>
          <w:rFonts w:ascii="Arial" w:cs="Arial" w:eastAsia="Arial" w:hAnsi="Arial"/>
          <w:sz w:val="16"/>
          <w:szCs w:val="16"/>
          <w:color w:val="auto"/>
        </w:rPr>
        <w:t>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38" w:lineRule="exact"/>
        <w:rPr>
          <w:rFonts w:ascii="Arial" w:cs="Arial" w:eastAsia="Arial" w:hAnsi="Arial"/>
          <w:sz w:val="16"/>
          <w:szCs w:val="16"/>
          <w:color w:val="auto"/>
        </w:rPr>
      </w:pPr>
    </w:p>
    <w:p>
      <w:pPr>
        <w:ind w:left="440" w:right="160" w:firstLine="428"/>
        <w:spacing w:after="0" w:line="259" w:lineRule="auto"/>
        <w:tabs>
          <w:tab w:leader="none" w:pos="1118" w:val="left"/>
        </w:tabs>
        <w:numPr>
          <w:ilvl w:val="2"/>
          <w:numId w:val="574"/>
        </w:numPr>
        <w:rPr>
          <w:rFonts w:ascii="Arial" w:cs="Arial" w:eastAsia="Arial" w:hAnsi="Arial"/>
          <w:sz w:val="18"/>
          <w:szCs w:val="18"/>
          <w:color w:val="auto"/>
        </w:rPr>
      </w:pPr>
      <w:r>
        <w:rPr>
          <w:rFonts w:ascii="Arial" w:cs="Arial" w:eastAsia="Arial" w:hAnsi="Arial"/>
          <w:sz w:val="18"/>
          <w:szCs w:val="18"/>
          <w:color w:val="auto"/>
        </w:rPr>
        <w:t>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78" w:lineRule="exact"/>
        <w:rPr>
          <w:rFonts w:ascii="Arial" w:cs="Arial" w:eastAsia="Arial" w:hAnsi="Arial"/>
          <w:sz w:val="18"/>
          <w:szCs w:val="18"/>
          <w:color w:val="auto"/>
        </w:rPr>
      </w:pPr>
    </w:p>
    <w:p>
      <w:pPr>
        <w:ind w:left="440" w:right="500" w:firstLine="428"/>
        <w:spacing w:after="0" w:line="308" w:lineRule="auto"/>
        <w:tabs>
          <w:tab w:leader="none" w:pos="1118" w:val="left"/>
        </w:tabs>
        <w:numPr>
          <w:ilvl w:val="2"/>
          <w:numId w:val="574"/>
        </w:numPr>
        <w:rPr>
          <w:rFonts w:ascii="Arial" w:cs="Arial" w:eastAsia="Arial" w:hAnsi="Arial"/>
          <w:sz w:val="17"/>
          <w:szCs w:val="17"/>
          <w:color w:val="auto"/>
        </w:rPr>
      </w:pPr>
      <w:r>
        <w:rPr>
          <w:rFonts w:ascii="Arial" w:cs="Arial" w:eastAsia="Arial" w:hAnsi="Arial"/>
          <w:sz w:val="17"/>
          <w:szCs w:val="17"/>
          <w:color w:val="auto"/>
        </w:rPr>
        <w:t xml:space="preserve">that Holders whose Notes are being purchased only in part will be issued new Notes equal in principal amount to the unpurchased portion of the Notes surrendered,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unpurchased portion has a minimum denomination of US$200,000.</w:t>
      </w:r>
    </w:p>
    <w:p>
      <w:pPr>
        <w:spacing w:after="0" w:line="38" w:lineRule="exact"/>
        <w:rPr>
          <w:rFonts w:ascii="Arial" w:cs="Arial" w:eastAsia="Arial" w:hAnsi="Arial"/>
          <w:sz w:val="17"/>
          <w:szCs w:val="17"/>
          <w:color w:val="auto"/>
        </w:rPr>
      </w:pPr>
    </w:p>
    <w:p>
      <w:pPr>
        <w:ind w:left="700" w:hanging="256"/>
        <w:spacing w:after="0"/>
        <w:tabs>
          <w:tab w:leader="none" w:pos="70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2"/>
          <w:numId w:val="57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2"/>
          <w:numId w:val="57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440" w:right="560" w:firstLine="428"/>
        <w:spacing w:after="0" w:line="308" w:lineRule="auto"/>
        <w:tabs>
          <w:tab w:leader="none" w:pos="1118" w:val="left"/>
        </w:tabs>
        <w:numPr>
          <w:ilvl w:val="2"/>
          <w:numId w:val="574"/>
        </w:numPr>
        <w:rPr>
          <w:rFonts w:ascii="Arial" w:cs="Arial" w:eastAsia="Arial" w:hAnsi="Arial"/>
          <w:sz w:val="17"/>
          <w:szCs w:val="17"/>
          <w:color w:val="auto"/>
        </w:rPr>
      </w:pPr>
      <w:r>
        <w:rPr>
          <w:rFonts w:ascii="Arial" w:cs="Arial" w:eastAsia="Arial" w:hAnsi="Arial"/>
          <w:sz w:val="17"/>
          <w:szCs w:val="17"/>
          <w:color w:val="auto"/>
        </w:rPr>
        <w:t>deliver or cause to be delivered to the Paying Agent the Notes properly accepted together with an Officer’s Certificate stating the aggregate principal amount of Notes or portions of Notes properly tendered and being purchased by the Company.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3" w:right="479" w:bottom="1440" w:gutter="0" w:footer="0" w:header="0"/>
        </w:sectPr>
      </w:pPr>
    </w:p>
    <w:bookmarkStart w:id="404" w:name="page405"/>
    <w:bookmarkEnd w:id="404"/>
    <w:p>
      <w:pPr>
        <w:ind w:right="12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Paying Agent will promptly mail (but in any case not later than five (5) days after the Change of Control Payment Date) to each Holder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 The Company will publicly announce the results of the Change of Control Offer on or as soon as practicable after the Change of Control Payment Date.</w:t>
      </w:r>
    </w:p>
    <w:p>
      <w:pPr>
        <w:spacing w:after="0" w:line="80" w:lineRule="exact"/>
        <w:rPr>
          <w:sz w:val="20"/>
          <w:szCs w:val="20"/>
          <w:color w:val="auto"/>
        </w:rPr>
      </w:pPr>
    </w:p>
    <w:p>
      <w:pPr>
        <w:ind w:right="80" w:firstLine="444"/>
        <w:spacing w:after="0" w:line="302" w:lineRule="auto"/>
        <w:tabs>
          <w:tab w:leader="none" w:pos="685" w:val="left"/>
        </w:tabs>
        <w:numPr>
          <w:ilvl w:val="0"/>
          <w:numId w:val="57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hereof and purchases all Notes properly tendered and not withdrawn under the Change of Control Offer, or (2) notice of redemption has been given pursuant to Section 3.03 hereof, unless and until there is a default in payment of the applicable redemption price.</w:t>
      </w:r>
    </w:p>
    <w:p>
      <w:pPr>
        <w:spacing w:after="0" w:line="46" w:lineRule="exact"/>
        <w:rPr>
          <w:rFonts w:ascii="Arial" w:cs="Arial" w:eastAsia="Arial" w:hAnsi="Arial"/>
          <w:sz w:val="16"/>
          <w:szCs w:val="16"/>
          <w:color w:val="auto"/>
        </w:rPr>
      </w:pPr>
    </w:p>
    <w:p>
      <w:pPr>
        <w:ind w:right="380" w:firstLine="444"/>
        <w:spacing w:after="0" w:line="277" w:lineRule="auto"/>
        <w:tabs>
          <w:tab w:leader="none" w:pos="696"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62" w:lineRule="exact"/>
        <w:rPr>
          <w:rFonts w:ascii="Arial" w:cs="Arial" w:eastAsia="Arial" w:hAnsi="Arial"/>
          <w:sz w:val="18"/>
          <w:szCs w:val="18"/>
          <w:color w:val="auto"/>
        </w:rPr>
      </w:pPr>
    </w:p>
    <w:p>
      <w:pPr>
        <w:ind w:right="240" w:firstLine="444"/>
        <w:spacing w:after="0" w:line="277" w:lineRule="auto"/>
        <w:tabs>
          <w:tab w:leader="none" w:pos="68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Notes repurchased by the Company pursuant to a Change of Control Offer will be retired and cancelled at the option of the Company. Notes purchased by a third party pursuant to the preceding paragraph will have the status of Notes issued and outstanding.</w:t>
      </w:r>
    </w:p>
    <w:p>
      <w:pPr>
        <w:spacing w:after="0" w:line="62" w:lineRule="exact"/>
        <w:rPr>
          <w:rFonts w:ascii="Arial" w:cs="Arial" w:eastAsia="Arial" w:hAnsi="Arial"/>
          <w:sz w:val="18"/>
          <w:szCs w:val="18"/>
          <w:color w:val="auto"/>
        </w:rPr>
      </w:pPr>
    </w:p>
    <w:p>
      <w:pPr>
        <w:ind w:firstLine="444"/>
        <w:spacing w:after="0" w:line="279" w:lineRule="auto"/>
        <w:tabs>
          <w:tab w:leader="none" w:pos="66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Company will comply, to the extent applicable, with the requirements of Section 14(e) of the Exchange Act and any other securities laws or regulations in connection with the repurchase of the Notes pursuant to this Section 4.15. To the extent that the provisions of any securities laws or regulations conflict with the provisions of this Section 4.15, the Company will comply with the applicable securities laws and regulations and will not be deemed to have breached its obligations under this Section 4.15 by virtue of such compliance.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Payments for Consents.</w:t>
      </w:r>
    </w:p>
    <w:p>
      <w:pPr>
        <w:spacing w:after="0" w:line="117"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The Company will not, and will not permit any of its Restricted Subsidiaries to, directly or indirectly, pay or cause to be paid any consideration to or for the benefit of any Holder for or as an inducement to any consent, waiver or amendment of any of the terms or provisions of this Indenture, the Notes or the Note Guarantees unless such consideration is (1) offered to be paid; and (2) is paid to all Holders that consent, waive or agree to amend within the time frame and on the terms set forth in the solicitation documents relating to such consent, waiver or agreement.</w:t>
      </w:r>
    </w:p>
    <w:p>
      <w:pPr>
        <w:spacing w:after="0" w:line="15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Notwithstanding the foregoing, in any offer or payment of consideration for, or as an inducement to, any consent, waiver or amendment of any of the terms or provisions of this Indenture or the Notes in connection with an exchange offer, the Company and any of the Restricted Subsidiaries may exclude (a) in connection with an exchange offer, holders or beneficial owners of the Notes that are not “qualified institutional buyers” as defined in Rule 144A under the Securities Act, and (b) in connection with any consent, waiver or amendment, holders or beneficial owners of the Notes in any jurisdiction where the inclusion of such holders or beneficial owners would require the Company or any of its Restricted Subsidiaries to (i) file a registration statement, prospectus or similar document or subject the Company or any of its Restricted Subsidiaries to ongoing periodic reporting or similar requirements under any securities laws (including but not limited to, the United States federal securities laws and the laws of the European Union or its member states), (ii) qualify as a foreign corporation or other entity as a dealer in securities in such jurisdiction if it is not otherwise required to so qualify, (iii) generally consent to service of process in any such jurisdiction or (iv) subject the Company or any of its Restricted Subsidiaries to taxation in any such jurisdiction if it is not otherwise so subject, or the solicitation of such consent, waiver or amendment from, or the granting of such consent or waiver, or the approval of such amendment by, holders or beneficial owners in such jurisdiction would be unlawful, in each case as determined by the Company in its sole discretion.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4.17 </w:t>
      </w:r>
      <w:r>
        <w:rPr>
          <w:rFonts w:ascii="Arial" w:cs="Arial" w:eastAsia="Arial" w:hAnsi="Arial"/>
          <w:sz w:val="18"/>
          <w:szCs w:val="18"/>
          <w:i w:val="1"/>
          <w:iCs w:val="1"/>
          <w:color w:val="auto"/>
        </w:rPr>
        <w:t>Future Subsidiary Guarantors.</w:t>
      </w:r>
    </w:p>
    <w:p>
      <w:pPr>
        <w:spacing w:after="0" w:line="117" w:lineRule="exact"/>
        <w:rPr>
          <w:sz w:val="20"/>
          <w:szCs w:val="20"/>
          <w:color w:val="auto"/>
        </w:rPr>
      </w:pPr>
    </w:p>
    <w:p>
      <w:pPr>
        <w:ind w:right="60" w:firstLine="444"/>
        <w:spacing w:after="0" w:line="259" w:lineRule="auto"/>
        <w:tabs>
          <w:tab w:leader="none" w:pos="685" w:val="left"/>
        </w:tabs>
        <w:numPr>
          <w:ilvl w:val="0"/>
          <w:numId w:val="576"/>
        </w:numPr>
        <w:rPr>
          <w:rFonts w:ascii="Arial" w:cs="Arial" w:eastAsia="Arial" w:hAnsi="Arial"/>
          <w:sz w:val="18"/>
          <w:szCs w:val="18"/>
          <w:color w:val="auto"/>
        </w:rPr>
      </w:pPr>
      <w:r>
        <w:rPr>
          <w:rFonts w:ascii="Arial" w:cs="Arial" w:eastAsia="Arial" w:hAnsi="Arial"/>
          <w:sz w:val="18"/>
          <w:szCs w:val="18"/>
          <w:color w:val="auto"/>
        </w:rPr>
        <w:t>If the Company or any of its Restricted Subsidiaries acquires or creates another Subsidiary after the Issue Date, then the Company shall cause such newly acquired or created Subsidiary to become a Subsidiary Guarantor (in the event that such Subsidiary provides a guarantee of any other Indebtedness of the Company or a Subsidiary Guarantor of the type specified under clauses (1) or (2) of the definition of “Indebtedness”), at which time such Subsidiary shall:</w:t>
      </w:r>
    </w:p>
    <w:p>
      <w:pPr>
        <w:spacing w:after="0" w:line="78" w:lineRule="exact"/>
        <w:rPr>
          <w:rFonts w:ascii="Arial" w:cs="Arial" w:eastAsia="Arial" w:hAnsi="Arial"/>
          <w:sz w:val="18"/>
          <w:szCs w:val="18"/>
          <w:color w:val="auto"/>
        </w:rPr>
      </w:pPr>
    </w:p>
    <w:p>
      <w:pPr>
        <w:ind w:left="440" w:right="480" w:firstLine="428"/>
        <w:spacing w:after="0" w:line="342" w:lineRule="auto"/>
        <w:tabs>
          <w:tab w:leader="none" w:pos="1118" w:val="left"/>
        </w:tabs>
        <w:numPr>
          <w:ilvl w:val="1"/>
          <w:numId w:val="576"/>
        </w:numPr>
        <w:rPr>
          <w:rFonts w:ascii="Arial" w:cs="Arial" w:eastAsia="Arial" w:hAnsi="Arial"/>
          <w:sz w:val="16"/>
          <w:szCs w:val="16"/>
          <w:color w:val="auto"/>
        </w:rPr>
      </w:pPr>
      <w:r>
        <w:rPr>
          <w:rFonts w:ascii="Arial" w:cs="Arial" w:eastAsia="Arial" w:hAnsi="Arial"/>
          <w:sz w:val="16"/>
          <w:szCs w:val="16"/>
          <w:color w:val="auto"/>
        </w:rPr>
        <w:t>execute a supplemental indenture in the form attached as Exhibit D hereto pursuant to which such Subsidiary shall unconditionally guarantee, on a senior basis, all of the Company’s Obligations under this Indenture and the Notes on the terms set forth in this Indenture;</w:t>
      </w:r>
    </w:p>
    <w:p>
      <w:pPr>
        <w:spacing w:after="0" w:line="15" w:lineRule="exact"/>
        <w:rPr>
          <w:rFonts w:ascii="Arial" w:cs="Arial" w:eastAsia="Arial" w:hAnsi="Arial"/>
          <w:sz w:val="16"/>
          <w:szCs w:val="16"/>
          <w:color w:val="auto"/>
        </w:rPr>
      </w:pPr>
    </w:p>
    <w:p>
      <w:pPr>
        <w:ind w:left="440" w:right="160" w:firstLine="428"/>
        <w:spacing w:after="0" w:line="277" w:lineRule="auto"/>
        <w:tabs>
          <w:tab w:leader="none" w:pos="1118" w:val="left"/>
        </w:tabs>
        <w:numPr>
          <w:ilvl w:val="1"/>
          <w:numId w:val="576"/>
        </w:numPr>
        <w:rPr>
          <w:rFonts w:ascii="Arial" w:cs="Arial" w:eastAsia="Arial" w:hAnsi="Arial"/>
          <w:sz w:val="18"/>
          <w:szCs w:val="18"/>
          <w:color w:val="auto"/>
        </w:rPr>
      </w:pPr>
      <w:r>
        <w:rPr>
          <w:rFonts w:ascii="Arial" w:cs="Arial" w:eastAsia="Arial" w:hAnsi="Arial"/>
          <w:sz w:val="18"/>
          <w:szCs w:val="18"/>
          <w:color w:val="auto"/>
        </w:rPr>
        <w:t>take such further action and execute and deliver such other documents as otherwise may be reasonably requested by the Trustee to give effect to the foregoing; and</w:t>
      </w:r>
    </w:p>
    <w:p>
      <w:pPr>
        <w:spacing w:after="0" w:line="62" w:lineRule="exact"/>
        <w:rPr>
          <w:rFonts w:ascii="Arial" w:cs="Arial" w:eastAsia="Arial" w:hAnsi="Arial"/>
          <w:sz w:val="18"/>
          <w:szCs w:val="18"/>
          <w:color w:val="auto"/>
        </w:rPr>
      </w:pPr>
    </w:p>
    <w:p>
      <w:pPr>
        <w:ind w:left="440" w:right="60" w:firstLine="428"/>
        <w:spacing w:after="0" w:line="264" w:lineRule="auto"/>
        <w:tabs>
          <w:tab w:leader="none" w:pos="1118" w:val="left"/>
        </w:tabs>
        <w:numPr>
          <w:ilvl w:val="1"/>
          <w:numId w:val="576"/>
        </w:numPr>
        <w:rPr>
          <w:rFonts w:ascii="Arial" w:cs="Arial" w:eastAsia="Arial" w:hAnsi="Arial"/>
          <w:sz w:val="18"/>
          <w:szCs w:val="18"/>
          <w:color w:val="auto"/>
        </w:rPr>
      </w:pPr>
      <w:r>
        <w:rPr>
          <w:rFonts w:ascii="Arial" w:cs="Arial" w:eastAsia="Arial" w:hAnsi="Arial"/>
          <w:sz w:val="18"/>
          <w:szCs w:val="18"/>
          <w:color w:val="auto"/>
        </w:rPr>
        <w:t>deliver to the Trustee an Opinion of Counsel that (i) such supplemental indenture and any other documents required to be delivered have been duly authorized, executed and delivered by such Subsidiary and constitute legal, valid, binding and enforceable Obligations of such Subsidiary.</w:t>
      </w:r>
    </w:p>
    <w:p>
      <w:pPr>
        <w:spacing w:after="0" w:line="73" w:lineRule="exact"/>
        <w:rPr>
          <w:rFonts w:ascii="Arial" w:cs="Arial" w:eastAsia="Arial" w:hAnsi="Arial"/>
          <w:sz w:val="18"/>
          <w:szCs w:val="18"/>
          <w:color w:val="auto"/>
        </w:rPr>
      </w:pPr>
    </w:p>
    <w:p>
      <w:pPr>
        <w:ind w:firstLine="444"/>
        <w:spacing w:after="0" w:line="277" w:lineRule="auto"/>
        <w:tabs>
          <w:tab w:leader="none" w:pos="69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Notwithstanding the foregoing, any Guarantee of the Notes created pursuant to the provisions described in paragraph (a) above may provide by its terms that it will be automatically and unconditionally released and discharged upon:</w:t>
      </w:r>
    </w:p>
    <w:p>
      <w:pPr>
        <w:spacing w:after="0" w:line="62" w:lineRule="exact"/>
        <w:rPr>
          <w:rFonts w:ascii="Arial" w:cs="Arial" w:eastAsia="Arial" w:hAnsi="Arial"/>
          <w:sz w:val="18"/>
          <w:szCs w:val="18"/>
          <w:color w:val="auto"/>
        </w:rPr>
      </w:pPr>
    </w:p>
    <w:p>
      <w:pPr>
        <w:ind w:left="440" w:right="140" w:firstLine="428"/>
        <w:spacing w:after="0" w:line="312" w:lineRule="auto"/>
        <w:tabs>
          <w:tab w:leader="none" w:pos="1118" w:val="left"/>
        </w:tabs>
        <w:numPr>
          <w:ilvl w:val="1"/>
          <w:numId w:val="576"/>
        </w:numPr>
        <w:rPr>
          <w:rFonts w:ascii="Arial" w:cs="Arial" w:eastAsia="Arial" w:hAnsi="Arial"/>
          <w:sz w:val="16"/>
          <w:szCs w:val="16"/>
          <w:color w:val="auto"/>
        </w:rPr>
      </w:pPr>
      <w:r>
        <w:rPr>
          <w:rFonts w:ascii="Arial" w:cs="Arial" w:eastAsia="Arial" w:hAnsi="Arial"/>
          <w:sz w:val="16"/>
          <w:szCs w:val="16"/>
          <w:color w:val="auto"/>
        </w:rPr>
        <w:t>(with respect to any Guarantee created after the date of this Indenture) the release by the holders of the Company’s or the Subsidiary Guarantor’s Indebtedness described in paragraph (a) above, of their guarantee by such Restricted Subsidiary (including any deemed release upon payment in full of all obligations under such Indebtedness other than as a result of payment under such guarantee), at a time when:</w:t>
      </w:r>
    </w:p>
    <w:p>
      <w:pPr>
        <w:spacing w:after="0" w:line="38" w:lineRule="exact"/>
        <w:rPr>
          <w:rFonts w:ascii="Arial" w:cs="Arial" w:eastAsia="Arial" w:hAnsi="Arial"/>
          <w:sz w:val="16"/>
          <w:szCs w:val="16"/>
          <w:color w:val="auto"/>
        </w:rPr>
      </w:pPr>
    </w:p>
    <w:p>
      <w:pPr>
        <w:ind w:left="1580" w:hanging="289"/>
        <w:spacing w:after="0"/>
        <w:tabs>
          <w:tab w:leader="none" w:pos="1580" w:val="left"/>
        </w:tabs>
        <w:numPr>
          <w:ilvl w:val="2"/>
          <w:numId w:val="576"/>
        </w:numPr>
        <w:rPr>
          <w:rFonts w:ascii="Arial" w:cs="Arial" w:eastAsia="Arial" w:hAnsi="Arial"/>
          <w:sz w:val="16"/>
          <w:szCs w:val="16"/>
          <w:color w:val="auto"/>
        </w:rPr>
      </w:pPr>
      <w:r>
        <w:rPr>
          <w:rFonts w:ascii="Arial" w:cs="Arial" w:eastAsia="Arial" w:hAnsi="Arial"/>
          <w:sz w:val="16"/>
          <w:szCs w:val="16"/>
          <w:color w:val="auto"/>
        </w:rPr>
        <w:t>no other Indebtedness of either the Company or any Subsidiary Guarantor has been guaranteed by such Restricted Subsidiary; or</w:t>
      </w:r>
    </w:p>
    <w:p>
      <w:pPr>
        <w:spacing w:after="0" w:line="140" w:lineRule="exact"/>
        <w:rPr>
          <w:rFonts w:ascii="Arial" w:cs="Arial" w:eastAsia="Arial" w:hAnsi="Arial"/>
          <w:sz w:val="16"/>
          <w:szCs w:val="16"/>
          <w:color w:val="auto"/>
        </w:rPr>
      </w:pPr>
    </w:p>
    <w:p>
      <w:pPr>
        <w:ind w:left="880" w:right="180" w:firstLine="411"/>
        <w:spacing w:after="0" w:line="264" w:lineRule="auto"/>
        <w:tabs>
          <w:tab w:leader="none" w:pos="1570" w:val="left"/>
        </w:tabs>
        <w:numPr>
          <w:ilvl w:val="2"/>
          <w:numId w:val="576"/>
        </w:numPr>
        <w:rPr>
          <w:rFonts w:ascii="Arial" w:cs="Arial" w:eastAsia="Arial" w:hAnsi="Arial"/>
          <w:sz w:val="18"/>
          <w:szCs w:val="18"/>
          <w:color w:val="auto"/>
        </w:rPr>
      </w:pPr>
      <w:r>
        <w:rPr>
          <w:rFonts w:ascii="Arial" w:cs="Arial" w:eastAsia="Arial" w:hAnsi="Arial"/>
          <w:sz w:val="18"/>
          <w:szCs w:val="18"/>
          <w:color w:val="auto"/>
        </w:rPr>
        <w:t>the holders of all such other Indebtedness that is guaranteed by such Restricted Subsidiary also release their guarantee by such Restricted Subsidiary (including any deemed release upon payment in full of all obligations under such Indebtedness other than as a result of payment under such guarantee); or</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the release of the Note Guarantees on the terms and conditions and in the circumstances described in Section 11.08 hereof.</w:t>
      </w:r>
    </w:p>
    <w:p>
      <w:pPr>
        <w:spacing w:after="0" w:line="117" w:lineRule="exact"/>
        <w:rPr>
          <w:rFonts w:ascii="Arial" w:cs="Arial" w:eastAsia="Arial" w:hAnsi="Arial"/>
          <w:sz w:val="18"/>
          <w:szCs w:val="18"/>
          <w:color w:val="auto"/>
        </w:rPr>
      </w:pPr>
    </w:p>
    <w:p>
      <w:pPr>
        <w:ind w:right="80" w:firstLine="444"/>
        <w:spacing w:after="0" w:line="291" w:lineRule="auto"/>
        <w:tabs>
          <w:tab w:leader="none" w:pos="685" w:val="left"/>
        </w:tabs>
        <w:numPr>
          <w:ilvl w:val="0"/>
          <w:numId w:val="576"/>
        </w:numPr>
        <w:rPr>
          <w:rFonts w:ascii="Arial" w:cs="Arial" w:eastAsia="Arial" w:hAnsi="Arial"/>
          <w:sz w:val="16"/>
          <w:szCs w:val="16"/>
          <w:color w:val="auto"/>
        </w:rPr>
      </w:pPr>
      <w:r>
        <w:rPr>
          <w:rFonts w:ascii="Arial" w:cs="Arial" w:eastAsia="Arial" w:hAnsi="Arial"/>
          <w:sz w:val="16"/>
          <w:szCs w:val="16"/>
          <w:color w:val="auto"/>
        </w:rPr>
        <w:t>Each additional Note Guarantee will be limited as necessary to recognize certain defences generally available to guarantors (including those that relate to fraudulent conveyance or transfer, voidable preference, financial assistance, corporate purpose, capital maintenance or similar laws, regulations or defences affecting the rights of creditors generally) or other considerations under applicable law. Notwithstanding Section 4.17(a) hereof, the Company shall not be obligated to cause such Restricted Subsidiary to Guarantee the Notes to the extent that such Guarantee by such Restricted Subsidiary would reasonably be expected to give rise to or result in (i) any liability for the officers, directors or shareholders of such Restricted Subsidiary or (ii) any significant cost, expense, liability or obligation (including with respect of any Taxes, but excluding any reasonable guarantee or similar fee payable to the Company or a Restricted Subsidiary of the Company) other than reasonable out of pocket expenses.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4.18 </w:t>
      </w:r>
      <w:r>
        <w:rPr>
          <w:rFonts w:ascii="Arial" w:cs="Arial" w:eastAsia="Arial" w:hAnsi="Arial"/>
          <w:sz w:val="18"/>
          <w:szCs w:val="18"/>
          <w:i w:val="1"/>
          <w:iCs w:val="1"/>
          <w:color w:val="auto"/>
        </w:rPr>
        <w:t>Designation of Restricted and Unrestricted Subsidiaries.</w:t>
      </w:r>
    </w:p>
    <w:p>
      <w:pPr>
        <w:spacing w:after="0" w:line="117"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The Board of Directors of the Company may designate any Restricted Subsidiary to be an Unrestricted Subsidiary if that designation would not cause a Default;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no event will the business currently operated by the Company, Studio City Developments Limited, Studio City Entertainment Limited or Studio City Hotels Limited be transferred to or held by an Unrestricted Subsidiary.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Section 4.07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that re-designation would not cause a Default.</w:t>
      </w:r>
    </w:p>
    <w:p>
      <w:pPr>
        <w:spacing w:after="0" w:line="18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Any designation of a Subsidiary of the Company as an Unrestricted Subsidiary will be evidenced to the Trustee by filing with the Trustee a certified copy of a resolution of the Board of Directors of the Company giving effect to such designation and an Officer’s Certificate of the Company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of the Company;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such designation will be deemed to be an Incurrence of Indebtedness by a Restricted Subsidiary of the Company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Indebtedness of such Unrestricted Subsidiary, and such designation will only be permitted if (1) such Indebtedness is permitted under Section 4.09 hereof,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designation had occurred at the beginning of the reference period; and (2) no Default or Event of Default would be in existence following such designation. On such designation, the Company shall deliver an Officer’s Certificate of the Company to the Trustee regarding such designation and certifying that such designation complies with the preceding conditions and the relevant covenants under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Listing.</w:t>
      </w:r>
    </w:p>
    <w:p>
      <w:pPr>
        <w:spacing w:after="0" w:line="11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Limitations on Use of Proceeds</w:t>
      </w:r>
    </w:p>
    <w:p>
      <w:pPr>
        <w:spacing w:after="0" w:line="11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Company will not, and will not cause or permit any of its Restricted Subsidiaries to, use the net proceeds from the sale of the Notes, in any amount, for any purpose other than as set forth under the caption “Use of Proceeds” in the Offering Memorandum.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Special Put Option.</w:t>
      </w:r>
    </w:p>
    <w:p>
      <w:pPr>
        <w:spacing w:after="0" w:line="117" w:lineRule="exact"/>
        <w:rPr>
          <w:sz w:val="20"/>
          <w:szCs w:val="20"/>
          <w:color w:val="auto"/>
        </w:rPr>
      </w:pPr>
    </w:p>
    <w:p>
      <w:pPr>
        <w:ind w:right="60" w:firstLine="444"/>
        <w:spacing w:after="0" w:line="255" w:lineRule="auto"/>
        <w:tabs>
          <w:tab w:leader="none" w:pos="68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Upon a Special Put Option Triggering Event, each Holder will have the right to require the Company to repurchase all or any part of such Holder’s Notes pursuant to a Special Put Option Offer (as defined below) on the terms set forth in this Section 4.21.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of record on the relevant record date to receive interest due on the relevant interest payment date), except to the extent the Company has previously or concurrently elected to redeem the Notes in full as described under Section 3.07 hereof.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407" w:name="page408"/>
    <w:bookmarkEnd w:id="407"/>
    <w:p>
      <w:pPr>
        <w:ind w:right="300" w:firstLine="444"/>
        <w:spacing w:after="0" w:line="264" w:lineRule="auto"/>
        <w:tabs>
          <w:tab w:leader="none" w:pos="696" w:val="left"/>
        </w:tabs>
        <w:numPr>
          <w:ilvl w:val="1"/>
          <w:numId w:val="5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ten days following the occurrence of a Special Put Option Triggering Event, except to the extent that the Company has exercised its right to redeem the Notes in full by delivery of a notice of redemption as described under Section 3.07 hereof the Company shall mail a notice (a “</w:t>
      </w:r>
      <w:r>
        <w:rPr>
          <w:rFonts w:ascii="Arial" w:cs="Arial" w:eastAsia="Arial" w:hAnsi="Arial"/>
          <w:sz w:val="18"/>
          <w:szCs w:val="18"/>
          <w:i w:val="1"/>
          <w:iCs w:val="1"/>
          <w:color w:val="auto"/>
        </w:rPr>
        <w:t>Special Put Option Offer</w:t>
      </w:r>
      <w:r>
        <w:rPr>
          <w:rFonts w:ascii="Arial" w:cs="Arial" w:eastAsia="Arial" w:hAnsi="Arial"/>
          <w:sz w:val="18"/>
          <w:szCs w:val="18"/>
          <w:color w:val="auto"/>
        </w:rPr>
        <w:t>”) to each Holder with a copy to the Trustee and the Paying Agent stating:</w:t>
      </w:r>
    </w:p>
    <w:p>
      <w:pPr>
        <w:spacing w:after="0" w:line="73" w:lineRule="exact"/>
        <w:rPr>
          <w:rFonts w:ascii="Arial" w:cs="Arial" w:eastAsia="Arial" w:hAnsi="Arial"/>
          <w:sz w:val="18"/>
          <w:szCs w:val="18"/>
          <w:color w:val="auto"/>
        </w:rPr>
      </w:pPr>
    </w:p>
    <w:p>
      <w:pPr>
        <w:ind w:left="440" w:right="20" w:firstLine="428"/>
        <w:spacing w:after="0" w:line="259" w:lineRule="auto"/>
        <w:tabs>
          <w:tab w:leader="none" w:pos="1118" w:val="left"/>
        </w:tabs>
        <w:numPr>
          <w:ilvl w:val="2"/>
          <w:numId w:val="578"/>
        </w:numPr>
        <w:rPr>
          <w:rFonts w:ascii="Arial" w:cs="Arial" w:eastAsia="Arial" w:hAnsi="Arial"/>
          <w:sz w:val="18"/>
          <w:szCs w:val="18"/>
          <w:color w:val="auto"/>
        </w:rPr>
      </w:pPr>
      <w:r>
        <w:rPr>
          <w:rFonts w:ascii="Arial" w:cs="Arial" w:eastAsia="Arial" w:hAnsi="Arial"/>
          <w:sz w:val="18"/>
          <w:szCs w:val="18"/>
          <w:color w:val="auto"/>
        </w:rPr>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2"/>
          <w:numId w:val="578"/>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and</w:t>
      </w:r>
    </w:p>
    <w:p>
      <w:pPr>
        <w:spacing w:after="0" w:line="117" w:lineRule="exact"/>
        <w:rPr>
          <w:rFonts w:ascii="Arial" w:cs="Arial" w:eastAsia="Arial" w:hAnsi="Arial"/>
          <w:sz w:val="18"/>
          <w:szCs w:val="18"/>
          <w:color w:val="auto"/>
        </w:rPr>
      </w:pPr>
    </w:p>
    <w:p>
      <w:pPr>
        <w:ind w:left="440" w:right="500" w:firstLine="428"/>
        <w:spacing w:after="0" w:line="277" w:lineRule="auto"/>
        <w:tabs>
          <w:tab w:leader="none" w:pos="1118" w:val="left"/>
        </w:tabs>
        <w:numPr>
          <w:ilvl w:val="2"/>
          <w:numId w:val="578"/>
        </w:numPr>
        <w:rPr>
          <w:rFonts w:ascii="Arial" w:cs="Arial" w:eastAsia="Arial" w:hAnsi="Arial"/>
          <w:sz w:val="18"/>
          <w:szCs w:val="18"/>
          <w:color w:val="auto"/>
        </w:rPr>
      </w:pPr>
      <w:r>
        <w:rPr>
          <w:rFonts w:ascii="Arial" w:cs="Arial" w:eastAsia="Arial" w:hAnsi="Arial"/>
          <w:sz w:val="18"/>
          <w:szCs w:val="18"/>
          <w:color w:val="auto"/>
        </w:rPr>
        <w:t>the instructions determined by the Company, consistent with this Section 4.21, that a Holder must follow in order to have its Notes repurchased.</w:t>
      </w:r>
    </w:p>
    <w:p>
      <w:pPr>
        <w:spacing w:after="0" w:line="62" w:lineRule="exact"/>
        <w:rPr>
          <w:rFonts w:ascii="Arial" w:cs="Arial" w:eastAsia="Arial" w:hAnsi="Arial"/>
          <w:sz w:val="18"/>
          <w:szCs w:val="18"/>
          <w:color w:val="auto"/>
        </w:rPr>
      </w:pPr>
    </w:p>
    <w:p>
      <w:pPr>
        <w:ind w:right="200" w:firstLine="444"/>
        <w:spacing w:after="0" w:line="264" w:lineRule="auto"/>
        <w:tabs>
          <w:tab w:leader="none" w:pos="685" w:val="left"/>
        </w:tabs>
        <w:numPr>
          <w:ilvl w:val="1"/>
          <w:numId w:val="578"/>
        </w:numPr>
        <w:rPr>
          <w:rFonts w:ascii="Arial" w:cs="Arial" w:eastAsia="Arial" w:hAnsi="Arial"/>
          <w:sz w:val="18"/>
          <w:szCs w:val="18"/>
          <w:color w:val="auto"/>
        </w:rPr>
      </w:pPr>
      <w:r>
        <w:rPr>
          <w:rFonts w:ascii="Arial" w:cs="Arial" w:eastAsia="Arial" w:hAnsi="Arial"/>
          <w:sz w:val="18"/>
          <w:szCs w:val="18"/>
          <w:color w:val="auto"/>
        </w:rPr>
        <w:t>Notes repurchased by the Company pursuant to a Special Put Option Offer will have the status of Notes issued but not outstanding or will be retired and cancelled at the option of the Company. Notes purchased by a third party pursuant to sub-clause (b)(3) of this Section 4.21 will have the status of Notes issued and outstanding.</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1"/>
          <w:numId w:val="578"/>
        </w:numPr>
        <w:rPr>
          <w:rFonts w:ascii="Arial" w:cs="Arial" w:eastAsia="Arial" w:hAnsi="Arial"/>
          <w:sz w:val="18"/>
          <w:szCs w:val="18"/>
          <w:color w:val="auto"/>
        </w:rPr>
      </w:pPr>
      <w:r>
        <w:rPr>
          <w:rFonts w:ascii="Arial" w:cs="Arial" w:eastAsia="Arial" w:hAnsi="Arial"/>
          <w:sz w:val="18"/>
          <w:szCs w:val="18"/>
          <w:color w:val="auto"/>
        </w:rPr>
        <w:t>On the date of repurchase pursuant to a Special Put Option Offer, the Company will, to the extent lawful:</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2"/>
          <w:numId w:val="57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Special Put Option Offer;</w:t>
      </w:r>
    </w:p>
    <w:p>
      <w:pPr>
        <w:spacing w:after="0" w:line="117" w:lineRule="exact"/>
        <w:rPr>
          <w:rFonts w:ascii="Arial" w:cs="Arial" w:eastAsia="Arial" w:hAnsi="Arial"/>
          <w:sz w:val="18"/>
          <w:szCs w:val="18"/>
          <w:color w:val="auto"/>
        </w:rPr>
      </w:pPr>
    </w:p>
    <w:p>
      <w:pPr>
        <w:ind w:left="440" w:firstLine="428"/>
        <w:spacing w:after="0" w:line="264" w:lineRule="auto"/>
        <w:tabs>
          <w:tab w:leader="none" w:pos="1118" w:val="left"/>
        </w:tabs>
        <w:numPr>
          <w:ilvl w:val="2"/>
          <w:numId w:val="578"/>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18"/>
          <w:szCs w:val="18"/>
          <w:i w:val="1"/>
          <w:iCs w:val="1"/>
          <w:color w:val="auto"/>
        </w:rPr>
        <w:t>Special Put Option Payment</w:t>
      </w:r>
      <w:r>
        <w:rPr>
          <w:rFonts w:ascii="Arial" w:cs="Arial" w:eastAsia="Arial" w:hAnsi="Arial"/>
          <w:sz w:val="18"/>
          <w:szCs w:val="18"/>
          <w:color w:val="auto"/>
        </w:rPr>
        <w:t>”), in respect of all Notes or portions of Notes properly tendered; and</w:t>
      </w:r>
    </w:p>
    <w:p>
      <w:pPr>
        <w:spacing w:after="0" w:line="73" w:lineRule="exact"/>
        <w:rPr>
          <w:rFonts w:ascii="Arial" w:cs="Arial" w:eastAsia="Arial" w:hAnsi="Arial"/>
          <w:sz w:val="18"/>
          <w:szCs w:val="18"/>
          <w:color w:val="auto"/>
        </w:rPr>
      </w:pPr>
    </w:p>
    <w:p>
      <w:pPr>
        <w:ind w:left="440" w:right="260" w:firstLine="428"/>
        <w:spacing w:after="0" w:line="277" w:lineRule="auto"/>
        <w:tabs>
          <w:tab w:leader="none" w:pos="1118" w:val="left"/>
        </w:tabs>
        <w:numPr>
          <w:ilvl w:val="2"/>
          <w:numId w:val="57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properly tendered and being purchased by the Company.</w:t>
      </w:r>
    </w:p>
    <w:p>
      <w:pPr>
        <w:spacing w:after="0" w:line="62" w:lineRule="exact"/>
        <w:rPr>
          <w:rFonts w:ascii="Arial" w:cs="Arial" w:eastAsia="Arial" w:hAnsi="Arial"/>
          <w:sz w:val="18"/>
          <w:szCs w:val="18"/>
          <w:color w:val="auto"/>
        </w:rPr>
      </w:pPr>
    </w:p>
    <w:p>
      <w:pPr>
        <w:ind w:right="20" w:firstLine="444"/>
        <w:spacing w:after="0" w:line="264" w:lineRule="auto"/>
        <w:tabs>
          <w:tab w:leader="none" w:pos="685"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Paying Agent will promptly mail to each Holder properly tendered the Special Put Option Payment for such Notes, and the Trustee, or its authenticating agent, will promptly authenticate and mail (or cause to be transferred by book entry) to each Holder a new Note equal in principal amount to any unpurchased portion of the Notes surrendered, if any.</w:t>
      </w:r>
    </w:p>
    <w:p>
      <w:pPr>
        <w:spacing w:after="0" w:line="73" w:lineRule="exact"/>
        <w:rPr>
          <w:rFonts w:ascii="Arial" w:cs="Arial" w:eastAsia="Arial" w:hAnsi="Arial"/>
          <w:sz w:val="18"/>
          <w:szCs w:val="18"/>
          <w:color w:val="auto"/>
        </w:rPr>
      </w:pPr>
    </w:p>
    <w:p>
      <w:pPr>
        <w:ind w:right="380" w:firstLine="444"/>
        <w:spacing w:after="0" w:line="279" w:lineRule="auto"/>
        <w:tabs>
          <w:tab w:leader="none" w:pos="665" w:val="left"/>
        </w:tabs>
        <w:numPr>
          <w:ilvl w:val="1"/>
          <w:numId w:val="578"/>
        </w:numPr>
        <w:rPr>
          <w:rFonts w:ascii="Arial" w:cs="Arial" w:eastAsia="Arial" w:hAnsi="Arial"/>
          <w:sz w:val="17"/>
          <w:szCs w:val="17"/>
          <w:color w:val="auto"/>
        </w:rPr>
      </w:pPr>
      <w:r>
        <w:rPr>
          <w:rFonts w:ascii="Arial" w:cs="Arial" w:eastAsia="Arial" w:hAnsi="Arial"/>
          <w:sz w:val="17"/>
          <w:szCs w:val="17"/>
          <w:color w:val="auto"/>
        </w:rPr>
        <w:t>The provisions described in this Section 4.21 that require the Company to make a Special Put Option Offer following a Special Put Option Triggering Event will be applicable whether or not any other provisions of the Indenture are applicable. Except as described this Section 4.21 with respect to a Special Put Option Triggering Event, this Indenture does not contain provisions that permit the Holders to require that the Company repurchase or redeem the Notes in the event of a termination, rescission or expiration of any Gaming License.</w:t>
      </w:r>
    </w:p>
    <w:p>
      <w:pPr>
        <w:spacing w:after="0" w:line="63" w:lineRule="exact"/>
        <w:rPr>
          <w:rFonts w:ascii="Arial" w:cs="Arial" w:eastAsia="Arial" w:hAnsi="Arial"/>
          <w:sz w:val="17"/>
          <w:szCs w:val="17"/>
          <w:color w:val="auto"/>
        </w:rPr>
      </w:pPr>
    </w:p>
    <w:p>
      <w:pPr>
        <w:ind w:right="220" w:firstLine="444"/>
        <w:spacing w:after="0" w:line="288" w:lineRule="auto"/>
        <w:tabs>
          <w:tab w:leader="none" w:pos="696" w:val="left"/>
        </w:tabs>
        <w:numPr>
          <w:ilvl w:val="1"/>
          <w:numId w:val="578"/>
        </w:numPr>
        <w:rPr>
          <w:rFonts w:ascii="Arial" w:cs="Arial" w:eastAsia="Arial" w:hAnsi="Arial"/>
          <w:sz w:val="16"/>
          <w:szCs w:val="16"/>
          <w:color w:val="auto"/>
        </w:rPr>
      </w:pPr>
      <w:r>
        <w:rPr>
          <w:rFonts w:ascii="Arial" w:cs="Arial" w:eastAsia="Arial" w:hAnsi="Arial"/>
          <w:sz w:val="16"/>
          <w:szCs w:val="16"/>
          <w:color w:val="auto"/>
        </w:rPr>
        <w:t>The Company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Company and purchases all Notes properly tendered and not withdrawn under the Special Put Option Offer, or</w:t>
      </w:r>
    </w:p>
    <w:p>
      <w:pPr>
        <w:ind w:right="80" w:firstLine="4"/>
        <w:spacing w:after="0" w:line="261" w:lineRule="auto"/>
        <w:tabs>
          <w:tab w:leader="none" w:pos="255" w:val="left"/>
        </w:tabs>
        <w:numPr>
          <w:ilvl w:val="0"/>
          <w:numId w:val="579"/>
        </w:numPr>
        <w:rPr>
          <w:rFonts w:ascii="Arial" w:cs="Arial" w:eastAsia="Arial" w:hAnsi="Arial"/>
          <w:sz w:val="18"/>
          <w:szCs w:val="18"/>
          <w:color w:val="auto"/>
        </w:rPr>
      </w:pPr>
      <w:r>
        <w:rPr>
          <w:rFonts w:ascii="Arial" w:cs="Arial" w:eastAsia="Arial" w:hAnsi="Arial"/>
          <w:sz w:val="18"/>
          <w:szCs w:val="18"/>
          <w:color w:val="auto"/>
        </w:rPr>
        <w:t>notice of redemption has been given in accordance with Section 3.07 and Section 3.10 hereof pursuant to which the Company has exercised its right to redeem the Notes in full, unless and until there is a default in payment of the applicable redemption price.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3" w:right="439" w:bottom="1440" w:gutter="0" w:footer="0" w:header="0"/>
        </w:sectPr>
      </w:pPr>
    </w:p>
    <w:bookmarkStart w:id="408" w:name="page409"/>
    <w:bookmarkEnd w:id="408"/>
    <w:p>
      <w:pPr>
        <w:ind w:right="120" w:firstLine="444"/>
        <w:spacing w:after="0" w:line="259" w:lineRule="auto"/>
        <w:tabs>
          <w:tab w:leader="none" w:pos="696" w:val="left"/>
        </w:tabs>
        <w:numPr>
          <w:ilvl w:val="0"/>
          <w:numId w:val="5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i w:val="1"/>
          <w:iCs w:val="1"/>
          <w:color w:val="auto"/>
        </w:rPr>
        <w:t>Suspension of Covenants</w:t>
      </w:r>
    </w:p>
    <w:p>
      <w:pPr>
        <w:spacing w:after="0" w:line="117" w:lineRule="exact"/>
        <w:rPr>
          <w:sz w:val="20"/>
          <w:szCs w:val="20"/>
          <w:color w:val="auto"/>
        </w:rPr>
      </w:pPr>
    </w:p>
    <w:p>
      <w:pPr>
        <w:ind w:right="160" w:firstLine="444"/>
        <w:spacing w:after="0" w:line="312" w:lineRule="auto"/>
        <w:tabs>
          <w:tab w:leader="none" w:pos="685" w:val="left"/>
        </w:tabs>
        <w:numPr>
          <w:ilvl w:val="1"/>
          <w:numId w:val="581"/>
        </w:numPr>
        <w:rPr>
          <w:rFonts w:ascii="Arial" w:cs="Arial" w:eastAsia="Arial" w:hAnsi="Arial"/>
          <w:sz w:val="16"/>
          <w:szCs w:val="16"/>
          <w:color w:val="auto"/>
        </w:rPr>
      </w:pPr>
      <w:r>
        <w:rPr>
          <w:rFonts w:ascii="Arial" w:cs="Arial" w:eastAsia="Arial" w:hAnsi="Arial"/>
          <w:sz w:val="16"/>
          <w:szCs w:val="16"/>
          <w:color w:val="auto"/>
        </w:rPr>
        <w:t>The following covenants (the “</w:t>
      </w:r>
      <w:r>
        <w:rPr>
          <w:rFonts w:ascii="Arial" w:cs="Arial" w:eastAsia="Arial" w:hAnsi="Arial"/>
          <w:sz w:val="16"/>
          <w:szCs w:val="16"/>
          <w:i w:val="1"/>
          <w:iCs w:val="1"/>
          <w:color w:val="auto"/>
        </w:rPr>
        <w:t>Suspended Covenants</w:t>
      </w:r>
      <w:r>
        <w:rPr>
          <w:rFonts w:ascii="Arial" w:cs="Arial" w:eastAsia="Arial" w:hAnsi="Arial"/>
          <w:sz w:val="16"/>
          <w:szCs w:val="16"/>
          <w:color w:val="auto"/>
        </w:rPr>
        <w:t>”) will not apply during any period during which the Notes have an Investment Grade Status (a “</w:t>
      </w:r>
      <w:r>
        <w:rPr>
          <w:rFonts w:ascii="Arial" w:cs="Arial" w:eastAsia="Arial" w:hAnsi="Arial"/>
          <w:sz w:val="16"/>
          <w:szCs w:val="16"/>
          <w:i w:val="1"/>
          <w:iCs w:val="1"/>
          <w:color w:val="auto"/>
        </w:rPr>
        <w:t>Suspension Period</w:t>
      </w:r>
      <w:r>
        <w:rPr>
          <w:rFonts w:ascii="Arial" w:cs="Arial" w:eastAsia="Arial" w:hAnsi="Arial"/>
          <w:sz w:val="16"/>
          <w:szCs w:val="16"/>
          <w:color w:val="auto"/>
        </w:rPr>
        <w:t>”): Section 4.07, Section 4.08, Section 4.09, Section 4.10, Section 4.11, Section 5.01(a)(3) and Section 4.17. Additionally, during any Suspension Period, the Company will not be permitted to designate any Restricted Subsidiary as an Unrestricted Subsidiary.</w:t>
      </w:r>
    </w:p>
    <w:p>
      <w:pPr>
        <w:spacing w:after="0" w:line="38" w:lineRule="exact"/>
        <w:rPr>
          <w:rFonts w:ascii="Arial" w:cs="Arial" w:eastAsia="Arial" w:hAnsi="Arial"/>
          <w:sz w:val="16"/>
          <w:szCs w:val="16"/>
          <w:color w:val="auto"/>
        </w:rPr>
      </w:pPr>
    </w:p>
    <w:p>
      <w:pPr>
        <w:ind w:right="100" w:firstLine="444"/>
        <w:spacing w:after="0" w:line="269" w:lineRule="auto"/>
        <w:tabs>
          <w:tab w:leader="none" w:pos="696" w:val="left"/>
        </w:tabs>
        <w:numPr>
          <w:ilvl w:val="1"/>
          <w:numId w:val="581"/>
        </w:numPr>
        <w:rPr>
          <w:rFonts w:ascii="Arial" w:cs="Arial" w:eastAsia="Arial" w:hAnsi="Arial"/>
          <w:sz w:val="17"/>
          <w:szCs w:val="17"/>
          <w:color w:val="auto"/>
        </w:rPr>
      </w:pPr>
      <w:r>
        <w:rPr>
          <w:rFonts w:ascii="Arial" w:cs="Arial" w:eastAsia="Arial" w:hAnsi="Arial"/>
          <w:sz w:val="17"/>
          <w:szCs w:val="17"/>
          <w:color w:val="auto"/>
        </w:rPr>
        <w:t>In the event that the Company and its Restricted Subsidiaries are not subject to the Suspended Covenants for any period of time as a result of the foregoing, and on any subsequent date (the “</w:t>
      </w:r>
      <w:r>
        <w:rPr>
          <w:rFonts w:ascii="Arial" w:cs="Arial" w:eastAsia="Arial" w:hAnsi="Arial"/>
          <w:sz w:val="17"/>
          <w:szCs w:val="17"/>
          <w:i w:val="1"/>
          <w:iCs w:val="1"/>
          <w:color w:val="auto"/>
        </w:rPr>
        <w:t>Reversion Date</w:t>
      </w:r>
      <w:r>
        <w:rPr>
          <w:rFonts w:ascii="Arial" w:cs="Arial" w:eastAsia="Arial" w:hAnsi="Arial"/>
          <w:sz w:val="17"/>
          <w:szCs w:val="17"/>
          <w:color w:val="auto"/>
        </w:rPr>
        <w:t xml:space="preserve">”) the Notes cease to have Investment Grade Status, then the Suspended Covenants will apply with respect to events occurring following the Reversion Date (unless and until the Notes subsequently attain an Investment Grade Status, in which case the Suspended Covenants will again be suspended for such time that the Notes maintain an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Default or Event of Default will be deemed to exist under the Indenture with respect to the Suspended Covenants, and none of the Company or any of its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Trustee should the Notes achieve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notification shall not be a condition for the suspension of the covenants set forth above to be effective. The Trustee shall be under no obligation to notify the holders of the Notes that the Notes have achieved Investment Grade Status.</w:t>
      </w:r>
    </w:p>
    <w:p>
      <w:pPr>
        <w:spacing w:after="0" w:line="74" w:lineRule="exact"/>
        <w:rPr>
          <w:rFonts w:ascii="Arial" w:cs="Arial" w:eastAsia="Arial" w:hAnsi="Arial"/>
          <w:sz w:val="17"/>
          <w:szCs w:val="17"/>
          <w:color w:val="auto"/>
        </w:rPr>
      </w:pPr>
    </w:p>
    <w:p>
      <w:pPr>
        <w:jc w:val="center"/>
        <w:ind w:right="220" w:firstLine="444"/>
        <w:spacing w:after="0" w:line="291" w:lineRule="auto"/>
        <w:tabs>
          <w:tab w:leader="none" w:pos="685" w:val="left"/>
        </w:tabs>
        <w:numPr>
          <w:ilvl w:val="1"/>
          <w:numId w:val="581"/>
        </w:numPr>
        <w:rPr>
          <w:rFonts w:ascii="Arial" w:cs="Arial" w:eastAsia="Arial" w:hAnsi="Arial"/>
          <w:sz w:val="16"/>
          <w:szCs w:val="16"/>
          <w:color w:val="auto"/>
        </w:rPr>
      </w:pPr>
      <w:r>
        <w:rPr>
          <w:rFonts w:ascii="Arial" w:cs="Arial" w:eastAsia="Arial" w:hAnsi="Arial"/>
          <w:sz w:val="16"/>
          <w:szCs w:val="16"/>
          <w:color w:val="auto"/>
        </w:rPr>
        <w:t>On each Reversion Date, all Indebtedness Incurred during the Suspension Period prior to such Reversion Date will be deemed to be Indebtedness existing on the Issue Date. For purposes of calculating the amount available to be made as Restricted Payments under Section 4.07(a)(4)</w:t>
      </w:r>
    </w:p>
    <w:p>
      <w:pPr>
        <w:ind w:firstLine="4"/>
        <w:spacing w:after="0" w:line="252" w:lineRule="auto"/>
        <w:tabs>
          <w:tab w:leader="none" w:pos="285" w:val="left"/>
        </w:tabs>
        <w:numPr>
          <w:ilvl w:val="0"/>
          <w:numId w:val="582"/>
        </w:numPr>
        <w:rPr>
          <w:rFonts w:ascii="Arial" w:cs="Arial" w:eastAsia="Arial" w:hAnsi="Arial"/>
          <w:sz w:val="18"/>
          <w:szCs w:val="18"/>
          <w:color w:val="auto"/>
        </w:rPr>
      </w:pPr>
      <w:r>
        <w:rPr>
          <w:rFonts w:ascii="Arial" w:cs="Arial" w:eastAsia="Arial" w:hAnsi="Arial"/>
          <w:sz w:val="18"/>
          <w:szCs w:val="18"/>
          <w:color w:val="auto"/>
        </w:rPr>
        <w:t>hereof on or after the Reversion Date, calculations under such covenant shall be made as though such covenant had been in effect during the entire period of time after the Issue Date (including the Suspension Period). Restricted Payments made during the Suspension Period not otherwise permitted pursuant to any of clauses (2) through (6) or (18) under Section 4.07(b) hereof will reduce the amount available to be made as Restricted Payments under Section 4.07(a)(4)(C) hereof; provided, that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Issue Date.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3" w:right="439" w:bottom="1440" w:gutter="0" w:footer="0" w:header="0"/>
        </w:sectPr>
      </w:pPr>
    </w:p>
    <w:bookmarkStart w:id="409" w:name="page410"/>
    <w:bookmarkEnd w:id="4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p>
    <w:p>
      <w:pPr>
        <w:spacing w:after="0" w:line="117" w:lineRule="exact"/>
        <w:rPr>
          <w:sz w:val="20"/>
          <w:szCs w:val="20"/>
          <w:color w:val="auto"/>
        </w:rPr>
      </w:pPr>
    </w:p>
    <w:p>
      <w:pPr>
        <w:jc w:val="both"/>
        <w:ind w:right="20" w:firstLine="444"/>
        <w:spacing w:after="0" w:line="264" w:lineRule="auto"/>
        <w:tabs>
          <w:tab w:leader="none" w:pos="685" w:val="left"/>
        </w:tabs>
        <w:numPr>
          <w:ilvl w:val="1"/>
          <w:numId w:val="583"/>
        </w:numPr>
        <w:rPr>
          <w:rFonts w:ascii="Arial" w:cs="Arial" w:eastAsia="Arial" w:hAnsi="Arial"/>
          <w:sz w:val="18"/>
          <w:szCs w:val="18"/>
          <w:color w:val="auto"/>
        </w:rPr>
      </w:pPr>
      <w:r>
        <w:rPr>
          <w:rFonts w:ascii="Arial" w:cs="Arial" w:eastAsia="Arial" w:hAnsi="Arial"/>
          <w:sz w:val="18"/>
          <w:szCs w:val="18"/>
          <w:i w:val="1"/>
          <w:iCs w:val="1"/>
          <w:color w:val="auto"/>
        </w:rPr>
        <w:t>The Company</w:t>
      </w:r>
      <w:r>
        <w:rPr>
          <w:rFonts w:ascii="Arial" w:cs="Arial" w:eastAsia="Arial" w:hAnsi="Arial"/>
          <w:sz w:val="18"/>
          <w:szCs w:val="18"/>
          <w:color w:val="auto"/>
        </w:rPr>
        <w:t>. The Company will not, directly or indirectly: (1) consolidate or merge with or into another Person (whether or not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survives); or (2) sell, assign, transfer, convey or otherwise dispose of all or substantially all of the properties or assets of the Company and its Restricted Subsidiaries taken as a whole, in one or more related transactions, to another Person unless:</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2"/>
          <w:numId w:val="58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880" w:right="340" w:firstLine="411"/>
        <w:spacing w:after="0" w:line="277" w:lineRule="auto"/>
        <w:tabs>
          <w:tab w:leader="none" w:pos="1580" w:val="left"/>
        </w:tabs>
        <w:numPr>
          <w:ilvl w:val="3"/>
          <w:numId w:val="583"/>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the Company with or a merger of the Company with or into any other Person, the Company shall be the surviving entity of such merger or consolidation; or</w:t>
      </w:r>
    </w:p>
    <w:p>
      <w:pPr>
        <w:spacing w:after="0" w:line="62" w:lineRule="exact"/>
        <w:rPr>
          <w:rFonts w:ascii="Arial" w:cs="Arial" w:eastAsia="Arial" w:hAnsi="Arial"/>
          <w:sz w:val="18"/>
          <w:szCs w:val="18"/>
          <w:color w:val="auto"/>
        </w:rPr>
      </w:pPr>
    </w:p>
    <w:p>
      <w:pPr>
        <w:ind w:left="880" w:right="380" w:firstLine="411"/>
        <w:spacing w:after="0" w:line="276" w:lineRule="auto"/>
        <w:tabs>
          <w:tab w:leader="none" w:pos="1570" w:val="left"/>
        </w:tabs>
        <w:numPr>
          <w:ilvl w:val="3"/>
          <w:numId w:val="583"/>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Notes and this Indenture, pursuant to supplemental indentures or other documents or agreements reasonably satisfactory to the Trustee;</w:t>
      </w:r>
    </w:p>
    <w:p>
      <w:pPr>
        <w:spacing w:after="0" w:line="64" w:lineRule="exact"/>
        <w:rPr>
          <w:rFonts w:ascii="Arial" w:cs="Arial" w:eastAsia="Arial" w:hAnsi="Arial"/>
          <w:sz w:val="17"/>
          <w:szCs w:val="17"/>
          <w:color w:val="auto"/>
        </w:rPr>
      </w:pPr>
    </w:p>
    <w:p>
      <w:pPr>
        <w:ind w:left="1120" w:hanging="252"/>
        <w:spacing w:after="0"/>
        <w:tabs>
          <w:tab w:leader="none" w:pos="1120" w:val="left"/>
        </w:tabs>
        <w:numPr>
          <w:ilvl w:val="2"/>
          <w:numId w:val="58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ind w:left="440" w:right="240" w:firstLine="428"/>
        <w:spacing w:after="0" w:line="257" w:lineRule="auto"/>
        <w:tabs>
          <w:tab w:leader="none" w:pos="1118" w:val="left"/>
        </w:tabs>
        <w:numPr>
          <w:ilvl w:val="2"/>
          <w:numId w:val="583"/>
        </w:numPr>
        <w:rPr>
          <w:rFonts w:ascii="Arial" w:cs="Arial" w:eastAsia="Arial" w:hAnsi="Arial"/>
          <w:sz w:val="18"/>
          <w:szCs w:val="18"/>
          <w:color w:val="auto"/>
        </w:rPr>
      </w:pPr>
      <w:r>
        <w:rPr>
          <w:rFonts w:ascii="Arial" w:cs="Arial" w:eastAsia="Arial" w:hAnsi="Arial"/>
          <w:sz w:val="18"/>
          <w:szCs w:val="18"/>
          <w:color w:val="auto"/>
        </w:rPr>
        <w:t>the Company, or if applicable, the Person formed by or surviving any such consolidation or merger (if other than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4.09(a) hereof.</w:t>
      </w:r>
    </w:p>
    <w:p>
      <w:pPr>
        <w:spacing w:after="0" w:line="80" w:lineRule="exact"/>
        <w:rPr>
          <w:rFonts w:ascii="Arial" w:cs="Arial" w:eastAsia="Arial" w:hAnsi="Arial"/>
          <w:sz w:val="18"/>
          <w:szCs w:val="18"/>
          <w:color w:val="auto"/>
        </w:rPr>
      </w:pPr>
    </w:p>
    <w:p>
      <w:pPr>
        <w:ind w:right="580" w:firstLine="444"/>
        <w:spacing w:after="0" w:line="258" w:lineRule="auto"/>
        <w:tabs>
          <w:tab w:leader="none" w:pos="695" w:val="left"/>
        </w:tabs>
        <w:numPr>
          <w:ilvl w:val="1"/>
          <w:numId w:val="583"/>
        </w:numPr>
        <w:rPr>
          <w:rFonts w:ascii="Arial" w:cs="Arial" w:eastAsia="Arial" w:hAnsi="Arial"/>
          <w:sz w:val="18"/>
          <w:szCs w:val="18"/>
          <w:color w:val="auto"/>
        </w:rPr>
      </w:pPr>
      <w:r>
        <w:rPr>
          <w:rFonts w:ascii="Arial" w:cs="Arial" w:eastAsia="Arial" w:hAnsi="Arial"/>
          <w:sz w:val="18"/>
          <w:szCs w:val="18"/>
          <w:i w:val="1"/>
          <w:iCs w:val="1"/>
          <w:color w:val="auto"/>
        </w:rPr>
        <w:t>The Subsidiary Guarantors</w:t>
      </w:r>
      <w:r>
        <w:rPr>
          <w:rFonts w:ascii="Arial" w:cs="Arial" w:eastAsia="Arial" w:hAnsi="Arial"/>
          <w:sz w:val="18"/>
          <w:szCs w:val="18"/>
          <w:color w:val="auto"/>
        </w:rPr>
        <w:t>. Subject to the Section 11.08(c) hereof, no Subsidiary Guarantor will, and the Company will not permit 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Guarantor to, directly or indirectly:</w:t>
      </w:r>
    </w:p>
    <w:p>
      <w:pPr>
        <w:spacing w:after="0" w:line="1" w:lineRule="exact"/>
        <w:rPr>
          <w:rFonts w:ascii="Arial" w:cs="Arial" w:eastAsia="Arial" w:hAnsi="Arial"/>
          <w:sz w:val="18"/>
          <w:szCs w:val="18"/>
          <w:color w:val="auto"/>
        </w:rPr>
      </w:pPr>
    </w:p>
    <w:p>
      <w:pPr>
        <w:ind w:right="540" w:firstLine="4"/>
        <w:spacing w:after="0" w:line="255" w:lineRule="auto"/>
        <w:tabs>
          <w:tab w:leader="none" w:pos="255" w:val="left"/>
        </w:tabs>
        <w:numPr>
          <w:ilvl w:val="0"/>
          <w:numId w:val="584"/>
        </w:numPr>
        <w:rPr>
          <w:rFonts w:ascii="Arial" w:cs="Arial" w:eastAsia="Arial" w:hAnsi="Arial"/>
          <w:sz w:val="18"/>
          <w:szCs w:val="18"/>
          <w:color w:val="auto"/>
        </w:rPr>
      </w:pPr>
      <w:r>
        <w:rPr>
          <w:rFonts w:ascii="Arial" w:cs="Arial" w:eastAsia="Arial" w:hAnsi="Arial"/>
          <w:sz w:val="18"/>
          <w:szCs w:val="18"/>
          <w:color w:val="auto"/>
        </w:rPr>
        <w:t>consolidate or merge with or into another Person (whether or not such Subsidiary Guarantor survives); or (2) sell, assign, transfer, convey or otherwise dispose of all or substantially all of the properties or assets of such Subsidiary Guarantor in one or more related transactions, to another Person, unless:</w:t>
      </w:r>
    </w:p>
    <w:p>
      <w:pPr>
        <w:spacing w:after="0" w:line="82" w:lineRule="exact"/>
        <w:rPr>
          <w:rFonts w:ascii="Arial" w:cs="Arial" w:eastAsia="Arial" w:hAnsi="Arial"/>
          <w:sz w:val="18"/>
          <w:szCs w:val="18"/>
          <w:color w:val="auto"/>
        </w:rPr>
      </w:pPr>
    </w:p>
    <w:p>
      <w:pPr>
        <w:ind w:left="1120" w:hanging="252"/>
        <w:spacing w:after="0"/>
        <w:tabs>
          <w:tab w:leader="none" w:pos="1120" w:val="left"/>
        </w:tabs>
        <w:numPr>
          <w:ilvl w:val="2"/>
          <w:numId w:val="58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880" w:right="380" w:firstLine="411"/>
        <w:spacing w:after="0" w:line="342" w:lineRule="auto"/>
        <w:tabs>
          <w:tab w:leader="none" w:pos="1580" w:val="left"/>
        </w:tabs>
        <w:numPr>
          <w:ilvl w:val="3"/>
          <w:numId w:val="584"/>
        </w:numPr>
        <w:rPr>
          <w:rFonts w:ascii="Arial" w:cs="Arial" w:eastAsia="Arial" w:hAnsi="Arial"/>
          <w:sz w:val="16"/>
          <w:szCs w:val="16"/>
          <w:color w:val="auto"/>
        </w:rPr>
      </w:pPr>
      <w:r>
        <w:rPr>
          <w:rFonts w:ascii="Arial" w:cs="Arial" w:eastAsia="Arial" w:hAnsi="Arial"/>
          <w:sz w:val="16"/>
          <w:szCs w:val="16"/>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15" w:lineRule="exact"/>
        <w:rPr>
          <w:rFonts w:ascii="Arial" w:cs="Arial" w:eastAsia="Arial" w:hAnsi="Arial"/>
          <w:sz w:val="16"/>
          <w:szCs w:val="16"/>
          <w:color w:val="auto"/>
        </w:rPr>
      </w:pPr>
    </w:p>
    <w:p>
      <w:pPr>
        <w:ind w:left="880" w:firstLine="411"/>
        <w:spacing w:after="0" w:line="257" w:lineRule="auto"/>
        <w:tabs>
          <w:tab w:leader="none" w:pos="1570" w:val="left"/>
        </w:tabs>
        <w:numPr>
          <w:ilvl w:val="3"/>
          <w:numId w:val="584"/>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such Subsidiary Guarantor under its Note Guarantee and this Indenture, pursuant to a supplemental indenture; and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0" w:right="439" w:bottom="1440" w:gutter="0" w:footer="0" w:header="0"/>
        </w:sectPr>
      </w:pPr>
    </w:p>
    <w:bookmarkStart w:id="410" w:name="page411"/>
    <w:bookmarkEnd w:id="410"/>
    <w:p>
      <w:pPr>
        <w:ind w:left="1120" w:hanging="252"/>
        <w:spacing w:after="0"/>
        <w:tabs>
          <w:tab w:leader="none" w:pos="1120" w:val="left"/>
        </w:tabs>
        <w:numPr>
          <w:ilvl w:val="1"/>
          <w:numId w:val="5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such transaction, no Default or Event of Default exists.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This Section 5.01 will not apply to:</w:t>
      </w:r>
    </w:p>
    <w:p>
      <w:pPr>
        <w:spacing w:after="0" w:line="117"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1"/>
          <w:numId w:val="586"/>
        </w:numPr>
        <w:rPr>
          <w:rFonts w:ascii="Arial" w:cs="Arial" w:eastAsia="Arial" w:hAnsi="Arial"/>
          <w:sz w:val="18"/>
          <w:szCs w:val="18"/>
          <w:color w:val="auto"/>
        </w:rPr>
      </w:pPr>
      <w:r>
        <w:rPr>
          <w:rFonts w:ascii="Arial" w:cs="Arial" w:eastAsia="Arial" w:hAnsi="Arial"/>
          <w:sz w:val="18"/>
          <w:szCs w:val="18"/>
          <w:color w:val="auto"/>
        </w:rPr>
        <w:t>a merger of the Company or a Subsidiary Guarantor, as the case may be, with an Affiliate solely for the purpose of reincorporating the Company or a Subsidiary Guarantor, as the case may be, in another jurisdiction; or</w:t>
      </w:r>
    </w:p>
    <w:p>
      <w:pPr>
        <w:spacing w:after="0" w:line="62" w:lineRule="exact"/>
        <w:rPr>
          <w:rFonts w:ascii="Arial" w:cs="Arial" w:eastAsia="Arial" w:hAnsi="Arial"/>
          <w:sz w:val="18"/>
          <w:szCs w:val="18"/>
          <w:color w:val="auto"/>
        </w:rPr>
      </w:pPr>
    </w:p>
    <w:p>
      <w:pPr>
        <w:ind w:left="440" w:firstLine="428"/>
        <w:spacing w:after="0" w:line="277" w:lineRule="auto"/>
        <w:tabs>
          <w:tab w:leader="none" w:pos="1118" w:val="left"/>
        </w:tabs>
        <w:numPr>
          <w:ilvl w:val="1"/>
          <w:numId w:val="586"/>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or other disposition of assets between or among the Company and the Subsidiary Guarantors or between or among the Subsidiary Guarantors.</w:t>
      </w:r>
    </w:p>
    <w:p>
      <w:pPr>
        <w:spacing w:after="0" w:line="170"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 xml:space="preserve">Upon consummation of any consolidation or merger, or any sale, assignment, transfer, conveyance, or other disposition of assets by a Subsidiary Guarantor with or into the Company or another Subsidiary Guarantor in accordance with this Section 5.01 which results in a Subsidiary Guarantor distributing all of its assets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assets required by law to maintain its corporate existence) to the Company or another Subsidiary Guarantor, such transferring Subsidiary Guarantor may be wound up pursuant to a solvent liquidation or solvent reorganization, provided it shall have no third party recourse Indebtedness or be the obligor under any intercompany Indebtedness.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Corporation Substituted.</w:t>
      </w:r>
    </w:p>
    <w:p>
      <w:pPr>
        <w:spacing w:after="0" w:line="117"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p>
      <w:pPr>
        <w:spacing w:after="0" w:line="117" w:lineRule="exact"/>
        <w:rPr>
          <w:sz w:val="20"/>
          <w:szCs w:val="20"/>
          <w:color w:val="auto"/>
        </w:rPr>
      </w:pPr>
    </w:p>
    <w:p>
      <w:pPr>
        <w:ind w:left="680" w:hanging="236"/>
        <w:spacing w:after="0"/>
        <w:tabs>
          <w:tab w:leader="none" w:pos="68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Each of the following is an event of default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58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or Additional Amounts, if any, with respect to the Notes;</w:t>
      </w:r>
    </w:p>
    <w:p>
      <w:pPr>
        <w:spacing w:after="0" w:line="117" w:lineRule="exact"/>
        <w:rPr>
          <w:rFonts w:ascii="Arial" w:cs="Arial" w:eastAsia="Arial" w:hAnsi="Arial"/>
          <w:sz w:val="18"/>
          <w:szCs w:val="18"/>
          <w:color w:val="auto"/>
        </w:rPr>
      </w:pPr>
    </w:p>
    <w:p>
      <w:pPr>
        <w:ind w:left="440" w:right="60" w:firstLine="428"/>
        <w:spacing w:after="0" w:line="277" w:lineRule="auto"/>
        <w:tabs>
          <w:tab w:leader="none" w:pos="1118" w:val="left"/>
        </w:tabs>
        <w:numPr>
          <w:ilvl w:val="1"/>
          <w:numId w:val="587"/>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upon required repurchase, or otherwise) of the principal of, or premium, if any, on the Notes;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87"/>
        </w:numPr>
        <w:rPr>
          <w:rFonts w:ascii="Arial" w:cs="Arial" w:eastAsia="Arial" w:hAnsi="Arial"/>
          <w:sz w:val="17"/>
          <w:szCs w:val="17"/>
          <w:color w:val="auto"/>
        </w:rPr>
      </w:pPr>
      <w:r>
        <w:rPr>
          <w:rFonts w:ascii="Arial" w:cs="Arial" w:eastAsia="Arial" w:hAnsi="Arial"/>
          <w:sz w:val="17"/>
          <w:szCs w:val="17"/>
          <w:color w:val="auto"/>
        </w:rPr>
        <w:t>failure by the Company or any of its Restricted Subsidiaries to comply with its obligations under the provisions of Section 3.09, 4.10,</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4.15, 4.21 or 5.01 hereof;</w:t>
      </w:r>
    </w:p>
    <w:p>
      <w:pPr>
        <w:spacing w:after="0" w:line="103" w:lineRule="exact"/>
        <w:rPr>
          <w:sz w:val="20"/>
          <w:szCs w:val="20"/>
          <w:color w:val="auto"/>
        </w:rPr>
      </w:pPr>
    </w:p>
    <w:p>
      <w:pPr>
        <w:jc w:val="both"/>
        <w:ind w:left="440" w:right="140" w:firstLine="428"/>
        <w:spacing w:after="0" w:line="264" w:lineRule="auto"/>
        <w:tabs>
          <w:tab w:leader="none" w:pos="1118" w:val="left"/>
        </w:tabs>
        <w:numPr>
          <w:ilvl w:val="0"/>
          <w:numId w:val="588"/>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for 60 days after notice to the Company by the Trustee or the Holders of at least 25% in aggregate principal amount of the Notes then outstanding voting as a single class to comply with any of the other agreements in this Indenture,;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411" w:name="page412"/>
    <w:bookmarkEnd w:id="411"/>
    <w:p>
      <w:pPr>
        <w:ind w:firstLine="428"/>
        <w:spacing w:after="0" w:line="259" w:lineRule="auto"/>
        <w:tabs>
          <w:tab w:leader="none" w:pos="678" w:val="left"/>
        </w:tabs>
        <w:numPr>
          <w:ilvl w:val="0"/>
          <w:numId w:val="5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this Indenture, if that default:</w:t>
      </w:r>
    </w:p>
    <w:p>
      <w:pPr>
        <w:spacing w:after="0" w:line="78" w:lineRule="exact"/>
        <w:rPr>
          <w:rFonts w:ascii="Arial" w:cs="Arial" w:eastAsia="Arial" w:hAnsi="Arial"/>
          <w:sz w:val="18"/>
          <w:szCs w:val="18"/>
          <w:color w:val="auto"/>
        </w:rPr>
      </w:pPr>
    </w:p>
    <w:p>
      <w:pPr>
        <w:ind w:left="440" w:right="160" w:firstLine="411"/>
        <w:spacing w:after="0" w:line="277" w:lineRule="auto"/>
        <w:tabs>
          <w:tab w:leader="none" w:pos="114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jc w:val="both"/>
        <w:ind w:left="440" w:right="160"/>
        <w:spacing w:after="0" w:line="264"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US$20.0 million or more at any time outstanding;</w:t>
      </w:r>
    </w:p>
    <w:p>
      <w:pPr>
        <w:spacing w:after="0" w:line="73" w:lineRule="exact"/>
        <w:rPr>
          <w:sz w:val="20"/>
          <w:szCs w:val="20"/>
          <w:color w:val="auto"/>
        </w:rPr>
      </w:pPr>
    </w:p>
    <w:p>
      <w:pPr>
        <w:ind w:right="40" w:firstLine="428"/>
        <w:spacing w:after="0" w:line="264" w:lineRule="auto"/>
        <w:tabs>
          <w:tab w:leader="none" w:pos="678" w:val="left"/>
        </w:tabs>
        <w:numPr>
          <w:ilvl w:val="0"/>
          <w:numId w:val="590"/>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pay final judgments entered by a court or courts of competent jurisdiction (other than any judgment as to which a reputable third party insurer has accepted full responsibility and coverage) aggregating in excess of US$20.0 million, which judgments are not paid, discharged or stayed for a period of 60 days;</w:t>
      </w:r>
    </w:p>
    <w:p>
      <w:pPr>
        <w:spacing w:after="0" w:line="73" w:lineRule="exact"/>
        <w:rPr>
          <w:rFonts w:ascii="Arial" w:cs="Arial" w:eastAsia="Arial" w:hAnsi="Arial"/>
          <w:sz w:val="18"/>
          <w:szCs w:val="18"/>
          <w:color w:val="auto"/>
        </w:rPr>
      </w:pPr>
    </w:p>
    <w:p>
      <w:pPr>
        <w:ind w:firstLine="428"/>
        <w:spacing w:after="0" w:line="277" w:lineRule="auto"/>
        <w:tabs>
          <w:tab w:leader="none" w:pos="678"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commences a voluntary case or is the subject of a petition by a creditor to have it declared bankrupt,</w:t>
      </w:r>
    </w:p>
    <w:p>
      <w:pPr>
        <w:spacing w:after="0" w:line="117" w:lineRule="exact"/>
        <w:rPr>
          <w:rFonts w:ascii="Arial" w:cs="Arial" w:eastAsia="Arial" w:hAnsi="Arial"/>
          <w:sz w:val="18"/>
          <w:szCs w:val="18"/>
          <w:color w:val="auto"/>
        </w:rPr>
      </w:pPr>
    </w:p>
    <w:p>
      <w:pPr>
        <w:ind w:left="1140" w:hanging="289"/>
        <w:spacing w:after="0"/>
        <w:tabs>
          <w:tab w:leader="none" w:pos="11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140" w:hanging="289"/>
        <w:spacing w:after="0"/>
        <w:tabs>
          <w:tab w:leader="none" w:pos="11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140" w:hanging="289"/>
        <w:spacing w:after="0"/>
        <w:tabs>
          <w:tab w:leader="none" w:pos="114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120" w:hanging="269"/>
        <w:spacing w:after="0"/>
        <w:tabs>
          <w:tab w:leader="none" w:pos="112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440" w:right="280" w:firstLine="411"/>
        <w:spacing w:after="0" w:line="308" w:lineRule="auto"/>
        <w:tabs>
          <w:tab w:leader="none" w:pos="1140" w:val="left"/>
        </w:tabs>
        <w:numPr>
          <w:ilvl w:val="1"/>
          <w:numId w:val="590"/>
        </w:numPr>
        <w:rPr>
          <w:rFonts w:ascii="Arial" w:cs="Arial" w:eastAsia="Arial" w:hAnsi="Arial"/>
          <w:sz w:val="17"/>
          <w:szCs w:val="17"/>
          <w:color w:val="auto"/>
        </w:rPr>
      </w:pPr>
      <w:r>
        <w:rPr>
          <w:rFonts w:ascii="Arial" w:cs="Arial" w:eastAsia="Arial" w:hAnsi="Arial"/>
          <w:sz w:val="17"/>
          <w:szCs w:val="17"/>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38" w:lineRule="exact"/>
        <w:rPr>
          <w:rFonts w:ascii="Arial" w:cs="Arial" w:eastAsia="Arial" w:hAnsi="Arial"/>
          <w:sz w:val="17"/>
          <w:szCs w:val="17"/>
          <w:color w:val="auto"/>
        </w:rPr>
      </w:pPr>
    </w:p>
    <w:p>
      <w:pPr>
        <w:ind w:left="440" w:right="140" w:firstLine="411"/>
        <w:spacing w:after="0" w:line="259" w:lineRule="auto"/>
        <w:tabs>
          <w:tab w:leader="none" w:pos="113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appoints a custodian of the Company or of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80"/>
          </w:cols>
          <w:pgMar w:left="880" w:top="274" w:right="439" w:bottom="1440" w:gutter="0" w:footer="0" w:header="0"/>
        </w:sectPr>
      </w:pPr>
    </w:p>
    <w:bookmarkStart w:id="412" w:name="page413"/>
    <w:bookmarkEnd w:id="412"/>
    <w:p>
      <w:pPr>
        <w:ind w:left="880" w:right="440" w:firstLine="411"/>
        <w:spacing w:after="0" w:line="277" w:lineRule="auto"/>
        <w:tabs>
          <w:tab w:leader="none" w:pos="1570" w:val="left"/>
        </w:tabs>
        <w:numPr>
          <w:ilvl w:val="1"/>
          <w:numId w:val="5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orders the liquidation of the Company or of any of its Restricted Subsidiaries that is a Significant Subsidiary or any group of Restricted Subsidiaries of the Company that, taken together, would constitute a Significant Subsidiary;</w:t>
      </w:r>
    </w:p>
    <w:p>
      <w:pPr>
        <w:spacing w:after="0" w:line="62" w:lineRule="exact"/>
        <w:rPr>
          <w:rFonts w:ascii="Arial" w:cs="Arial" w:eastAsia="Arial" w:hAnsi="Arial"/>
          <w:sz w:val="18"/>
          <w:szCs w:val="18"/>
          <w:color w:val="auto"/>
        </w:rPr>
      </w:pPr>
    </w:p>
    <w:p>
      <w:pPr>
        <w:jc w:val="both"/>
        <w:ind w:left="440" w:right="280" w:firstLine="428"/>
        <w:spacing w:after="0" w:line="264" w:lineRule="auto"/>
        <w:tabs>
          <w:tab w:leader="none" w:pos="1118" w:val="left"/>
        </w:tabs>
        <w:numPr>
          <w:ilvl w:val="0"/>
          <w:numId w:val="592"/>
        </w:numPr>
        <w:rPr>
          <w:rFonts w:ascii="Arial" w:cs="Arial" w:eastAsia="Arial" w:hAnsi="Arial"/>
          <w:sz w:val="18"/>
          <w:szCs w:val="18"/>
          <w:color w:val="auto"/>
        </w:rPr>
      </w:pPr>
      <w:r>
        <w:rPr>
          <w:rFonts w:ascii="Arial" w:cs="Arial" w:eastAsia="Arial" w:hAnsi="Arial"/>
          <w:sz w:val="18"/>
          <w:szCs w:val="18"/>
          <w:color w:val="auto"/>
        </w:rPr>
        <w:t>except as permitted by this Indenture, (a) any Note Guarantee being held in any judicial proceeding in a competent jurisdiction to be unenforceable or invalid or ceases for any reason to be in full force and effect, or (b) any Person acting on behalf of any Subsidiary Guarantor, denying or disaffirming its Obligations under its Note Guarantee; and</w:t>
      </w:r>
    </w:p>
    <w:p>
      <w:pPr>
        <w:spacing w:after="0" w:line="73" w:lineRule="exact"/>
        <w:rPr>
          <w:rFonts w:ascii="Arial" w:cs="Arial" w:eastAsia="Arial" w:hAnsi="Arial"/>
          <w:sz w:val="18"/>
          <w:szCs w:val="18"/>
          <w:color w:val="auto"/>
        </w:rPr>
      </w:pPr>
    </w:p>
    <w:p>
      <w:pPr>
        <w:ind w:left="440" w:right="360" w:firstLine="428"/>
        <w:spacing w:after="0" w:line="259" w:lineRule="auto"/>
        <w:tabs>
          <w:tab w:leader="none" w:pos="1208" w:val="left"/>
        </w:tabs>
        <w:numPr>
          <w:ilvl w:val="0"/>
          <w:numId w:val="592"/>
        </w:numPr>
        <w:rPr>
          <w:rFonts w:ascii="Arial" w:cs="Arial" w:eastAsia="Arial" w:hAnsi="Arial"/>
          <w:sz w:val="18"/>
          <w:szCs w:val="18"/>
          <w:color w:val="auto"/>
        </w:rPr>
      </w:pPr>
      <w:r>
        <w:rPr>
          <w:rFonts w:ascii="Arial" w:cs="Arial" w:eastAsia="Arial" w:hAnsi="Arial"/>
          <w:sz w:val="18"/>
          <w:szCs w:val="18"/>
          <w:color w:val="auto"/>
        </w:rPr>
        <w:t>the termination or rescission of any Gaming License or the Macau government takes any formal measure to do so (excluding any termination or rescission resulting from or in connection with any renewal, tender or other process conducted by the government of Macau in connection with the granting or renewal of any Gaming License; provided that such renewal, tender or other process results in the granting or renewal of the relevant Gaming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p>
      <w:pPr>
        <w:spacing w:after="0" w:line="11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In the case of an Event of Default specified in Section 6.01(a)(7) or 6.01(a)(8)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7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written notice to the Trustee may, on behalf of all of the Holders, rescind an acceleration (including any related payment default that resulted from such acceleration) and its consequences, if the rescission would not conflict with any judgment or decree and if all existing Events of Default (except non-payment of principal of, premium, if any, or interest on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p>
      <w:pPr>
        <w:spacing w:after="0" w:line="117"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If an Event of Default occurs and is continuing, the Trustee may pursue any available remedy to collect the payment of principal, premium and Additional Amounts, if any, and interest on the Notes or to enforce the performance of any provision of the Notes or this Indenture.</w:t>
      </w:r>
    </w:p>
    <w:p>
      <w:pPr>
        <w:spacing w:after="0" w:line="124"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p>
      <w:pPr>
        <w:spacing w:after="0" w:line="117"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 xml:space="preserve">Holders of not less than a majority in aggregate principal amount of the then outstanding Notes by written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aggregate principal amount of the then outstanding Notes may rescind an acceleration and its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3" w:right="47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6.05 </w:t>
      </w:r>
      <w:r>
        <w:rPr>
          <w:rFonts w:ascii="Arial" w:cs="Arial" w:eastAsia="Arial" w:hAnsi="Arial"/>
          <w:sz w:val="18"/>
          <w:szCs w:val="18"/>
          <w:i w:val="1"/>
          <w:iCs w:val="1"/>
          <w:color w:val="auto"/>
        </w:rPr>
        <w:t>Control by Majority.</w:t>
      </w:r>
    </w:p>
    <w:p>
      <w:pPr>
        <w:spacing w:after="0" w:line="11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Holders of a majority in aggregate principal amount of the then outstanding Notes may direct, in writing,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p>
      <w:pPr>
        <w:spacing w:after="0" w:line="117" w:lineRule="exact"/>
        <w:rPr>
          <w:sz w:val="20"/>
          <w:szCs w:val="20"/>
          <w:color w:val="auto"/>
        </w:rPr>
      </w:pPr>
    </w:p>
    <w:p>
      <w:pPr>
        <w:ind w:firstLine="444"/>
        <w:spacing w:after="0" w:line="257" w:lineRule="auto"/>
        <w:tabs>
          <w:tab w:leader="none" w:pos="685" w:val="left"/>
        </w:tabs>
        <w:numPr>
          <w:ilvl w:val="0"/>
          <w:numId w:val="593"/>
        </w:numPr>
        <w:rPr>
          <w:rFonts w:ascii="Arial" w:cs="Arial" w:eastAsia="Arial" w:hAnsi="Arial"/>
          <w:sz w:val="18"/>
          <w:szCs w:val="18"/>
          <w:color w:val="auto"/>
        </w:rPr>
      </w:pPr>
      <w:r>
        <w:rPr>
          <w:rFonts w:ascii="Arial" w:cs="Arial" w:eastAsia="Arial" w:hAnsi="Arial"/>
          <w:sz w:val="18"/>
          <w:szCs w:val="18"/>
          <w:color w:val="auto"/>
        </w:rPr>
        <w:t>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440" w:right="20" w:firstLine="428"/>
        <w:spacing w:after="0" w:line="277" w:lineRule="auto"/>
        <w:tabs>
          <w:tab w:leader="none" w:pos="1118" w:val="left"/>
        </w:tabs>
        <w:numPr>
          <w:ilvl w:val="1"/>
          <w:numId w:val="593"/>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made a written request to the Trustee to pursue the remedy;</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93"/>
        </w:numPr>
        <w:rPr>
          <w:rFonts w:ascii="Arial" w:cs="Arial" w:eastAsia="Arial" w:hAnsi="Arial"/>
          <w:sz w:val="17"/>
          <w:szCs w:val="17"/>
          <w:color w:val="auto"/>
        </w:rPr>
      </w:pPr>
      <w:r>
        <w:rPr>
          <w:rFonts w:ascii="Arial" w:cs="Arial" w:eastAsia="Arial" w:hAnsi="Arial"/>
          <w:sz w:val="17"/>
          <w:szCs w:val="17"/>
          <w:color w:val="auto"/>
        </w:rPr>
        <w:t>such Holders have offered the Trustee security and/or indemnity satisfactory to the Trustee against any loss, liability or expense;</w:t>
      </w:r>
    </w:p>
    <w:p>
      <w:pPr>
        <w:spacing w:after="0" w:line="128"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1"/>
          <w:numId w:val="593"/>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and/or indemnity to its satisfaction; and</w:t>
      </w:r>
    </w:p>
    <w:p>
      <w:pPr>
        <w:spacing w:after="0" w:line="62" w:lineRule="exact"/>
        <w:rPr>
          <w:rFonts w:ascii="Arial" w:cs="Arial" w:eastAsia="Arial" w:hAnsi="Arial"/>
          <w:sz w:val="18"/>
          <w:szCs w:val="18"/>
          <w:color w:val="auto"/>
        </w:rPr>
      </w:pPr>
    </w:p>
    <w:p>
      <w:pPr>
        <w:ind w:left="440" w:right="40" w:firstLine="428"/>
        <w:spacing w:after="0" w:line="277" w:lineRule="auto"/>
        <w:tabs>
          <w:tab w:leader="none" w:pos="1118" w:val="left"/>
        </w:tabs>
        <w:numPr>
          <w:ilvl w:val="1"/>
          <w:numId w:val="593"/>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have not given the Trustee a written direction inconsistent with such request.</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A Holder may not use this Indenture to prejudice the rights of another Holder or to obtain a preference or priority over another Holder.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p>
    <w:p>
      <w:pPr>
        <w:spacing w:after="0" w:line="117"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Notwithstanding any other provision of this Indenture,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a Holder shall not have the right to institute any such suit for the enforcement of payment if and to the extent that the institution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prosecution thereof or the entry of judgment therein would, under applicable law, result in the surrender, impairment, waiver or loss of the Lien of this Indenture upon any property subject to such Lien.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3" w:right="459"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6.09 </w:t>
      </w:r>
      <w:r>
        <w:rPr>
          <w:rFonts w:ascii="Arial" w:cs="Arial" w:eastAsia="Arial" w:hAnsi="Arial"/>
          <w:sz w:val="18"/>
          <w:szCs w:val="18"/>
          <w:i w:val="1"/>
          <w:iCs w:val="1"/>
          <w:color w:val="auto"/>
        </w:rPr>
        <w:t>Trustee May File Proofs of Claim.</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jc w:val="both"/>
        <w:ind w:left="440" w:right="60" w:firstLine="423"/>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Trustee, the Agents, and their respective agents and attorneys for amounts due under Section 7.08 hereof, including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compensation, expenses and liabilities incurred, and all advances made, by the Trustee or any Agent, and the costs and expenses of collection;</w:t>
      </w:r>
    </w:p>
    <w:p>
      <w:pPr>
        <w:spacing w:after="0" w:line="16"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Additional Amounts,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Additional Amounts, if any, and interest, respectively; and</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117"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415" w:name="page416"/>
    <w:bookmarkEnd w:id="415"/>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p>
      <w:pPr>
        <w:spacing w:after="0" w:line="117" w:lineRule="exact"/>
        <w:rPr>
          <w:sz w:val="20"/>
          <w:szCs w:val="20"/>
          <w:color w:val="auto"/>
        </w:rPr>
      </w:pPr>
    </w:p>
    <w:p>
      <w:pPr>
        <w:ind w:right="40" w:firstLine="444"/>
        <w:spacing w:after="0" w:line="264" w:lineRule="auto"/>
        <w:tabs>
          <w:tab w:leader="none" w:pos="68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right="220" w:firstLine="428"/>
        <w:spacing w:after="0" w:line="264" w:lineRule="auto"/>
        <w:tabs>
          <w:tab w:leader="none" w:pos="1118" w:val="left"/>
        </w:tabs>
        <w:numPr>
          <w:ilvl w:val="1"/>
          <w:numId w:val="594"/>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3" w:lineRule="exact"/>
        <w:rPr>
          <w:rFonts w:ascii="Arial" w:cs="Arial" w:eastAsia="Arial" w:hAnsi="Arial"/>
          <w:sz w:val="18"/>
          <w:szCs w:val="18"/>
          <w:color w:val="auto"/>
        </w:rPr>
      </w:pPr>
    </w:p>
    <w:p>
      <w:pPr>
        <w:ind w:left="440" w:right="20" w:firstLine="428"/>
        <w:spacing w:after="0" w:line="312" w:lineRule="auto"/>
        <w:tabs>
          <w:tab w:leader="none" w:pos="1118" w:val="left"/>
        </w:tabs>
        <w:numPr>
          <w:ilvl w:val="1"/>
          <w:numId w:val="594"/>
        </w:numPr>
        <w:rPr>
          <w:rFonts w:ascii="Arial" w:cs="Arial" w:eastAsia="Arial" w:hAnsi="Arial"/>
          <w:sz w:val="16"/>
          <w:szCs w:val="16"/>
          <w:color w:val="auto"/>
        </w:rPr>
      </w:pPr>
      <w:r>
        <w:rPr>
          <w:rFonts w:ascii="Arial" w:cs="Arial" w:eastAsia="Arial" w:hAnsi="Arial"/>
          <w:sz w:val="16"/>
          <w:szCs w:val="16"/>
          <w:color w:val="auto"/>
        </w:rPr>
        <w:t>in the absence of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38" w:lineRule="exact"/>
        <w:rPr>
          <w:rFonts w:ascii="Arial" w:cs="Arial" w:eastAsia="Arial" w:hAnsi="Arial"/>
          <w:sz w:val="16"/>
          <w:szCs w:val="16"/>
          <w:color w:val="auto"/>
        </w:rPr>
      </w:pPr>
    </w:p>
    <w:p>
      <w:pPr>
        <w:jc w:val="both"/>
        <w:ind w:left="440" w:right="80" w:firstLine="428"/>
        <w:spacing w:after="0" w:line="264" w:lineRule="auto"/>
        <w:tabs>
          <w:tab w:leader="none" w:pos="1118" w:val="left"/>
        </w:tabs>
        <w:numPr>
          <w:ilvl w:val="1"/>
          <w:numId w:val="594"/>
        </w:numPr>
        <w:rPr>
          <w:rFonts w:ascii="Arial" w:cs="Arial" w:eastAsia="Arial" w:hAnsi="Arial"/>
          <w:sz w:val="18"/>
          <w:szCs w:val="18"/>
          <w:color w:val="auto"/>
        </w:rPr>
      </w:pPr>
      <w:r>
        <w:rPr>
          <w:rFonts w:ascii="Arial" w:cs="Arial" w:eastAsia="Arial" w:hAnsi="Arial"/>
          <w:sz w:val="18"/>
          <w:szCs w:val="18"/>
          <w:color w:val="auto"/>
        </w:rPr>
        <w:t>other than with respect to a payment default, the Trustee shall not be charged with knowledge of any Default or Event of Default unless written notice has been delivered to a Responsible Officer at the Corporate Trust Office of the Trustee referencing the applicable provision of this Indenture.</w:t>
      </w:r>
    </w:p>
    <w:p>
      <w:pPr>
        <w:spacing w:after="0" w:line="181" w:lineRule="exact"/>
        <w:rPr>
          <w:rFonts w:ascii="Arial" w:cs="Arial" w:eastAsia="Arial" w:hAnsi="Arial"/>
          <w:sz w:val="18"/>
          <w:szCs w:val="18"/>
          <w:color w:val="auto"/>
        </w:rPr>
      </w:pPr>
    </w:p>
    <w:p>
      <w:pPr>
        <w:ind w:right="100" w:firstLine="444"/>
        <w:spacing w:after="0" w:line="277" w:lineRule="auto"/>
        <w:tabs>
          <w:tab w:leader="none" w:pos="68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 its own grossly negligent failure to act, or its own willful misconduct, except that:</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594"/>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and</w:t>
      </w:r>
    </w:p>
    <w:p>
      <w:pPr>
        <w:spacing w:after="0" w:line="117" w:lineRule="exact"/>
        <w:rPr>
          <w:rFonts w:ascii="Arial" w:cs="Arial" w:eastAsia="Arial" w:hAnsi="Arial"/>
          <w:sz w:val="18"/>
          <w:szCs w:val="18"/>
          <w:color w:val="auto"/>
        </w:rPr>
      </w:pPr>
    </w:p>
    <w:p>
      <w:pPr>
        <w:ind w:left="440" w:firstLine="428"/>
        <w:spacing w:after="0" w:line="277" w:lineRule="auto"/>
        <w:tabs>
          <w:tab w:leader="none" w:pos="1118" w:val="left"/>
        </w:tabs>
        <w:numPr>
          <w:ilvl w:val="1"/>
          <w:numId w:val="594"/>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6.05 hereof.</w:t>
      </w:r>
    </w:p>
    <w:p>
      <w:pPr>
        <w:spacing w:after="0" w:line="62" w:lineRule="exact"/>
        <w:rPr>
          <w:rFonts w:ascii="Arial" w:cs="Arial" w:eastAsia="Arial" w:hAnsi="Arial"/>
          <w:sz w:val="18"/>
          <w:szCs w:val="18"/>
          <w:color w:val="auto"/>
        </w:rPr>
      </w:pPr>
    </w:p>
    <w:p>
      <w:pPr>
        <w:ind w:right="160" w:firstLine="444"/>
        <w:spacing w:after="0" w:line="277" w:lineRule="auto"/>
        <w:tabs>
          <w:tab w:leader="none" w:pos="69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w:t>
      </w:r>
    </w:p>
    <w:p>
      <w:pPr>
        <w:spacing w:after="0" w:line="117" w:lineRule="exact"/>
        <w:rPr>
          <w:rFonts w:ascii="Arial" w:cs="Arial" w:eastAsia="Arial" w:hAnsi="Arial"/>
          <w:sz w:val="18"/>
          <w:szCs w:val="18"/>
          <w:color w:val="auto"/>
        </w:rPr>
      </w:pPr>
    </w:p>
    <w:p>
      <w:pPr>
        <w:ind w:right="240" w:firstLine="444"/>
        <w:spacing w:after="0" w:line="277" w:lineRule="auto"/>
        <w:tabs>
          <w:tab w:leader="none" w:pos="66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p>
    <w:p>
      <w:pPr>
        <w:spacing w:after="0" w:line="117" w:lineRule="exact"/>
        <w:rPr>
          <w:sz w:val="20"/>
          <w:szCs w:val="20"/>
          <w:color w:val="auto"/>
        </w:rPr>
      </w:pPr>
    </w:p>
    <w:p>
      <w:pPr>
        <w:ind w:right="20" w:firstLine="444"/>
        <w:spacing w:after="0" w:line="277" w:lineRule="auto"/>
        <w:tabs>
          <w:tab w:leader="none" w:pos="68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0" w:right="459" w:bottom="1440" w:gutter="0" w:footer="0" w:header="0"/>
        </w:sectPr>
      </w:pPr>
    </w:p>
    <w:bookmarkStart w:id="416" w:name="page417"/>
    <w:bookmarkEnd w:id="416"/>
    <w:p>
      <w:pPr>
        <w:ind w:left="-20" w:right="200" w:firstLine="444"/>
        <w:spacing w:after="0" w:line="255" w:lineRule="auto"/>
        <w:tabs>
          <w:tab w:leader="none" w:pos="676" w:val="left"/>
        </w:tabs>
        <w:numPr>
          <w:ilvl w:val="0"/>
          <w:numId w:val="5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at the reasonable expense of the Company,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85" w:lineRule="exact"/>
        <w:rPr>
          <w:rFonts w:ascii="Arial" w:cs="Arial" w:eastAsia="Arial" w:hAnsi="Arial"/>
          <w:sz w:val="18"/>
          <w:szCs w:val="18"/>
          <w:color w:val="auto"/>
        </w:rPr>
      </w:pPr>
    </w:p>
    <w:p>
      <w:pPr>
        <w:ind w:left="-20" w:right="80" w:firstLine="444"/>
        <w:spacing w:after="0" w:line="277" w:lineRule="auto"/>
        <w:tabs>
          <w:tab w:leader="none" w:pos="66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The Trustee shall have no duty to monitor the performance of such agents.</w:t>
      </w:r>
    </w:p>
    <w:p>
      <w:pPr>
        <w:spacing w:after="0" w:line="62" w:lineRule="exact"/>
        <w:rPr>
          <w:rFonts w:ascii="Arial" w:cs="Arial" w:eastAsia="Arial" w:hAnsi="Arial"/>
          <w:sz w:val="18"/>
          <w:szCs w:val="18"/>
          <w:color w:val="auto"/>
        </w:rPr>
      </w:pPr>
    </w:p>
    <w:p>
      <w:pPr>
        <w:ind w:left="-20" w:right="180" w:firstLine="444"/>
        <w:spacing w:after="0" w:line="259" w:lineRule="auto"/>
        <w:tabs>
          <w:tab w:leader="none" w:pos="676"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 The Trustee shall not be required to take action at the direction of the Company or Holders which conflicts with the requirements of this Indenture or for which it is not indemnified to its satisfaction, or which involves undue risk or would be contrary to applicable law or regulation.</w:t>
      </w:r>
    </w:p>
    <w:p>
      <w:pPr>
        <w:spacing w:after="0" w:line="78" w:lineRule="exact"/>
        <w:rPr>
          <w:rFonts w:ascii="Arial" w:cs="Arial" w:eastAsia="Arial" w:hAnsi="Arial"/>
          <w:sz w:val="18"/>
          <w:szCs w:val="18"/>
          <w:color w:val="auto"/>
        </w:rPr>
      </w:pPr>
    </w:p>
    <w:p>
      <w:pPr>
        <w:ind w:left="-20" w:right="500" w:firstLine="444"/>
        <w:spacing w:after="0" w:line="277" w:lineRule="auto"/>
        <w:tabs>
          <w:tab w:leader="none" w:pos="66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or a director of the Company.</w:t>
      </w:r>
    </w:p>
    <w:p>
      <w:pPr>
        <w:spacing w:after="0" w:line="62" w:lineRule="exact"/>
        <w:rPr>
          <w:rFonts w:ascii="Arial" w:cs="Arial" w:eastAsia="Arial" w:hAnsi="Arial"/>
          <w:sz w:val="18"/>
          <w:szCs w:val="18"/>
          <w:color w:val="auto"/>
        </w:rPr>
      </w:pPr>
    </w:p>
    <w:p>
      <w:pPr>
        <w:jc w:val="both"/>
        <w:ind w:left="-20" w:right="20" w:firstLine="444"/>
        <w:spacing w:after="0" w:line="264" w:lineRule="auto"/>
        <w:tabs>
          <w:tab w:leader="none" w:pos="64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and/or security satisfactory to it in its sole discretion against the losses, liabilities and expenses that might be incurred by it in compliance with such request or direction.</w:t>
      </w:r>
    </w:p>
    <w:p>
      <w:pPr>
        <w:spacing w:after="0" w:line="73" w:lineRule="exact"/>
        <w:rPr>
          <w:rFonts w:ascii="Arial" w:cs="Arial" w:eastAsia="Arial" w:hAnsi="Arial"/>
          <w:sz w:val="18"/>
          <w:szCs w:val="18"/>
          <w:color w:val="auto"/>
        </w:rPr>
      </w:pPr>
    </w:p>
    <w:p>
      <w:pPr>
        <w:ind w:left="-20" w:firstLine="444"/>
        <w:spacing w:after="0" w:line="255" w:lineRule="auto"/>
        <w:tabs>
          <w:tab w:leader="none" w:pos="676"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interruptions, loss or malfunctions of utilities, communications or computer (software and hardware) services and the unavailability of the Federal Reserve Bank wire or facsimile or other communication facility; it being understood that the Trustee shall use reasonable efforts which are consistent with accepted practices in the banking industry to resume performance as soon as practicable under the circumstances.</w:t>
      </w:r>
    </w:p>
    <w:p>
      <w:pPr>
        <w:spacing w:after="0" w:line="85" w:lineRule="exact"/>
        <w:rPr>
          <w:rFonts w:ascii="Arial" w:cs="Arial" w:eastAsia="Arial" w:hAnsi="Arial"/>
          <w:sz w:val="18"/>
          <w:szCs w:val="18"/>
          <w:color w:val="auto"/>
        </w:rPr>
      </w:pPr>
    </w:p>
    <w:p>
      <w:pPr>
        <w:ind w:left="-20" w:right="660" w:firstLine="444"/>
        <w:spacing w:after="0" w:line="342" w:lineRule="auto"/>
        <w:tabs>
          <w:tab w:leader="none" w:pos="676" w:val="left"/>
        </w:tabs>
        <w:numPr>
          <w:ilvl w:val="0"/>
          <w:numId w:val="596"/>
        </w:numPr>
        <w:rPr>
          <w:rFonts w:ascii="Arial" w:cs="Arial" w:eastAsia="Arial" w:hAnsi="Arial"/>
          <w:sz w:val="16"/>
          <w:szCs w:val="16"/>
          <w:color w:val="auto"/>
        </w:rPr>
      </w:pPr>
      <w:r>
        <w:rPr>
          <w:rFonts w:ascii="Arial" w:cs="Arial" w:eastAsia="Arial" w:hAnsi="Arial"/>
          <w:sz w:val="16"/>
          <w:szCs w:val="16"/>
          <w:color w:val="auto"/>
        </w:rPr>
        <w:t>The recitals contained herein and in the Notes are made by the Company and not by the Trustee, and the Trustee, does not assume any responsibility for the correctness thereof. The Trustee makes no representation as to the validity or sufficiency of this Indenture or the Notes,.</w:t>
      </w:r>
    </w:p>
    <w:p>
      <w:pPr>
        <w:spacing w:after="0" w:line="15" w:lineRule="exact"/>
        <w:rPr>
          <w:rFonts w:ascii="Arial" w:cs="Arial" w:eastAsia="Arial" w:hAnsi="Arial"/>
          <w:sz w:val="16"/>
          <w:szCs w:val="16"/>
          <w:color w:val="auto"/>
        </w:rPr>
      </w:pPr>
    </w:p>
    <w:p>
      <w:pPr>
        <w:ind w:left="-20" w:right="40" w:firstLine="444"/>
        <w:spacing w:after="0" w:line="297" w:lineRule="auto"/>
        <w:tabs>
          <w:tab w:leader="none" w:pos="636" w:val="left"/>
        </w:tabs>
        <w:numPr>
          <w:ilvl w:val="0"/>
          <w:numId w:val="596"/>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50" w:lineRule="exact"/>
        <w:rPr>
          <w:rFonts w:ascii="Arial" w:cs="Arial" w:eastAsia="Arial" w:hAnsi="Arial"/>
          <w:sz w:val="16"/>
          <w:szCs w:val="16"/>
          <w:color w:val="auto"/>
        </w:rPr>
      </w:pPr>
    </w:p>
    <w:p>
      <w:pPr>
        <w:ind w:left="-20" w:right="60" w:firstLine="444"/>
        <w:spacing w:after="0" w:line="264" w:lineRule="auto"/>
        <w:tabs>
          <w:tab w:leader="none" w:pos="636" w:val="left"/>
        </w:tabs>
        <w:numPr>
          <w:ilvl w:val="0"/>
          <w:numId w:val="596"/>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left="-20" w:right="380" w:firstLine="444"/>
        <w:spacing w:after="0" w:line="286" w:lineRule="auto"/>
        <w:tabs>
          <w:tab w:leader="none" w:pos="676" w:val="left"/>
        </w:tabs>
        <w:numPr>
          <w:ilvl w:val="0"/>
          <w:numId w:val="596"/>
        </w:numPr>
        <w:rPr>
          <w:rFonts w:ascii="Arial" w:cs="Arial" w:eastAsia="Arial" w:hAnsi="Arial"/>
          <w:sz w:val="17"/>
          <w:szCs w:val="17"/>
          <w:color w:val="auto"/>
        </w:rPr>
      </w:pPr>
      <w:r>
        <w:rPr>
          <w:rFonts w:ascii="Arial" w:cs="Arial" w:eastAsia="Arial" w:hAnsi="Arial"/>
          <w:sz w:val="17"/>
          <w:szCs w:val="17"/>
          <w:color w:val="auto"/>
        </w:rPr>
        <w:t xml:space="preserve">The rights, privileges, indemnity,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any such agent or custodian shall not be deemed to be a fiduciary;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60" w:top="274" w:right="439" w:bottom="1440" w:gutter="0" w:footer="0" w:header="0"/>
        </w:sectPr>
      </w:pPr>
    </w:p>
    <w:bookmarkStart w:id="417" w:name="page418"/>
    <w:bookmarkEnd w:id="417"/>
    <w:p>
      <w:pPr>
        <w:ind w:left="-20" w:right="40" w:firstLine="444"/>
        <w:spacing w:after="0" w:line="277" w:lineRule="auto"/>
        <w:tabs>
          <w:tab w:leader="none" w:pos="636" w:val="left"/>
        </w:tabs>
        <w:numPr>
          <w:ilvl w:val="0"/>
          <w:numId w:val="5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request that the Company deliver a certificate setting forth the names of individuals and/or titles of officers authorized at such time to take specified actions pursuant to this Indenture;</w:t>
      </w:r>
    </w:p>
    <w:p>
      <w:pPr>
        <w:spacing w:after="0" w:line="62" w:lineRule="exact"/>
        <w:rPr>
          <w:rFonts w:ascii="Arial" w:cs="Arial" w:eastAsia="Arial" w:hAnsi="Arial"/>
          <w:sz w:val="18"/>
          <w:szCs w:val="18"/>
          <w:color w:val="auto"/>
        </w:rPr>
      </w:pPr>
    </w:p>
    <w:p>
      <w:pPr>
        <w:jc w:val="both"/>
        <w:ind w:left="-20" w:right="60" w:firstLine="444"/>
        <w:spacing w:after="0" w:line="264" w:lineRule="auto"/>
        <w:tabs>
          <w:tab w:leader="none" w:pos="72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In the event that the Trustee and Agents shall be uncertain as to their respective duties or rights hereunder or shall receive instructions, claims or demands from the Company, which in their opinion, conflict with any of the provisions of this Indenture, they shall be entitled to refrain from taking action until directed in writing by a final order or judgment of a court of competent jurisdiction;</w:t>
      </w:r>
    </w:p>
    <w:p>
      <w:pPr>
        <w:spacing w:after="0" w:line="73" w:lineRule="exact"/>
        <w:rPr>
          <w:rFonts w:ascii="Arial" w:cs="Arial" w:eastAsia="Arial" w:hAnsi="Arial"/>
          <w:sz w:val="18"/>
          <w:szCs w:val="18"/>
          <w:color w:val="auto"/>
        </w:rPr>
      </w:pPr>
    </w:p>
    <w:p>
      <w:pPr>
        <w:ind w:left="-20" w:right="220" w:firstLine="444"/>
        <w:spacing w:after="0" w:line="257" w:lineRule="auto"/>
        <w:tabs>
          <w:tab w:leader="none" w:pos="67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80" w:lineRule="exact"/>
        <w:rPr>
          <w:rFonts w:ascii="Arial" w:cs="Arial" w:eastAsia="Arial" w:hAnsi="Arial"/>
          <w:sz w:val="18"/>
          <w:szCs w:val="18"/>
          <w:color w:val="auto"/>
        </w:rPr>
      </w:pPr>
    </w:p>
    <w:p>
      <w:pPr>
        <w:ind w:left="-20" w:right="200" w:firstLine="444"/>
        <w:spacing w:after="0" w:line="264" w:lineRule="auto"/>
        <w:tabs>
          <w:tab w:leader="none" w:pos="67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and/or an Opinion of Counsel;</w:t>
      </w:r>
    </w:p>
    <w:p>
      <w:pPr>
        <w:spacing w:after="0" w:line="73" w:lineRule="exact"/>
        <w:rPr>
          <w:rFonts w:ascii="Arial" w:cs="Arial" w:eastAsia="Arial" w:hAnsi="Arial"/>
          <w:sz w:val="18"/>
          <w:szCs w:val="18"/>
          <w:color w:val="auto"/>
        </w:rPr>
      </w:pPr>
    </w:p>
    <w:p>
      <w:pPr>
        <w:ind w:left="-20" w:firstLine="444"/>
        <w:spacing w:after="0" w:line="259" w:lineRule="auto"/>
        <w:tabs>
          <w:tab w:leader="none" w:pos="67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spacing w:after="0" w:line="78" w:lineRule="exact"/>
        <w:rPr>
          <w:rFonts w:ascii="Arial" w:cs="Arial" w:eastAsia="Arial" w:hAnsi="Arial"/>
          <w:sz w:val="18"/>
          <w:szCs w:val="18"/>
          <w:color w:val="auto"/>
        </w:rPr>
      </w:pPr>
    </w:p>
    <w:p>
      <w:pPr>
        <w:ind w:left="-20" w:right="240" w:firstLine="444"/>
        <w:spacing w:after="0" w:line="264" w:lineRule="auto"/>
        <w:tabs>
          <w:tab w:leader="none" w:pos="67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Trustee may, before commencing (or at any time during the continuance of) any act, action or proceeding, require the Holders at whose instance it is acting to deposit with the Trustee the Notes held by them, for which Notes the Trustee to which such Notes are deposited shall issue receipts to such Holders;</w:t>
      </w:r>
    </w:p>
    <w:p>
      <w:pPr>
        <w:spacing w:after="0" w:line="73" w:lineRule="exact"/>
        <w:rPr>
          <w:rFonts w:ascii="Arial" w:cs="Arial" w:eastAsia="Arial" w:hAnsi="Arial"/>
          <w:sz w:val="18"/>
          <w:szCs w:val="18"/>
          <w:color w:val="auto"/>
        </w:rPr>
      </w:pPr>
    </w:p>
    <w:p>
      <w:pPr>
        <w:ind w:left="-20" w:right="60" w:firstLine="444"/>
        <w:spacing w:after="0" w:line="259" w:lineRule="auto"/>
        <w:tabs>
          <w:tab w:leader="none" w:pos="645" w:val="left"/>
        </w:tabs>
        <w:numPr>
          <w:ilvl w:val="0"/>
          <w:numId w:val="597"/>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78" w:lineRule="exact"/>
        <w:rPr>
          <w:rFonts w:ascii="Arial" w:cs="Arial" w:eastAsia="Arial" w:hAnsi="Arial"/>
          <w:sz w:val="18"/>
          <w:szCs w:val="18"/>
          <w:color w:val="auto"/>
        </w:rPr>
      </w:pPr>
    </w:p>
    <w:p>
      <w:pPr>
        <w:ind w:left="-20" w:right="260" w:firstLine="444"/>
        <w:spacing w:after="0" w:line="259" w:lineRule="auto"/>
        <w:tabs>
          <w:tab w:leader="none" w:pos="65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78" w:lineRule="exact"/>
        <w:rPr>
          <w:rFonts w:ascii="Arial" w:cs="Arial" w:eastAsia="Arial" w:hAnsi="Arial"/>
          <w:sz w:val="18"/>
          <w:szCs w:val="18"/>
          <w:color w:val="auto"/>
        </w:rPr>
      </w:pPr>
    </w:p>
    <w:p>
      <w:pPr>
        <w:ind w:left="-20" w:firstLine="444"/>
        <w:spacing w:after="0" w:line="264" w:lineRule="auto"/>
        <w:tabs>
          <w:tab w:leader="none" w:pos="63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60" w:top="273" w:right="459" w:bottom="1440" w:gutter="0" w:footer="0" w:header="0"/>
        </w:sectPr>
      </w:pPr>
    </w:p>
    <w:bookmarkStart w:id="418" w:name="page419"/>
    <w:bookmarkEnd w:id="418"/>
    <w:p>
      <w:pPr>
        <w:ind w:right="80" w:firstLine="444"/>
        <w:spacing w:after="0" w:line="302" w:lineRule="auto"/>
        <w:tabs>
          <w:tab w:leader="none" w:pos="696" w:val="left"/>
        </w:tabs>
        <w:numPr>
          <w:ilvl w:val="0"/>
          <w:numId w:val="5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have no duty to inquire as to the performance of the covenants of the Company or its Restricted Subsidiaries. Delivery of reports, information and documents to the Trustee under Section 4.03 hereof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Officers’ Certificates);</w:t>
      </w:r>
    </w:p>
    <w:p>
      <w:pPr>
        <w:spacing w:after="0" w:line="46" w:lineRule="exact"/>
        <w:rPr>
          <w:rFonts w:ascii="Arial" w:cs="Arial" w:eastAsia="Arial" w:hAnsi="Arial"/>
          <w:sz w:val="16"/>
          <w:szCs w:val="16"/>
          <w:color w:val="auto"/>
        </w:rPr>
      </w:pPr>
    </w:p>
    <w:p>
      <w:pPr>
        <w:jc w:val="both"/>
        <w:ind w:firstLine="444"/>
        <w:spacing w:after="0" w:line="259" w:lineRule="auto"/>
        <w:tabs>
          <w:tab w:leader="none" w:pos="696"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78" w:lineRule="exact"/>
        <w:rPr>
          <w:rFonts w:ascii="Arial" w:cs="Arial" w:eastAsia="Arial" w:hAnsi="Arial"/>
          <w:sz w:val="18"/>
          <w:szCs w:val="18"/>
          <w:color w:val="auto"/>
        </w:rPr>
      </w:pPr>
    </w:p>
    <w:p>
      <w:pPr>
        <w:ind w:right="500" w:firstLine="444"/>
        <w:spacing w:after="0" w:line="277" w:lineRule="auto"/>
        <w:tabs>
          <w:tab w:leader="none" w:pos="736"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Trustee is not required to give any bond or surety with respect to the performance of its duty or the exercise of its power under this Indenture or the Notes;</w:t>
      </w:r>
    </w:p>
    <w:p>
      <w:pPr>
        <w:spacing w:after="0" w:line="62" w:lineRule="exact"/>
        <w:rPr>
          <w:rFonts w:ascii="Arial" w:cs="Arial" w:eastAsia="Arial" w:hAnsi="Arial"/>
          <w:sz w:val="18"/>
          <w:szCs w:val="18"/>
          <w:color w:val="auto"/>
        </w:rPr>
      </w:pPr>
    </w:p>
    <w:p>
      <w:pPr>
        <w:ind w:right="280" w:firstLine="444"/>
        <w:spacing w:after="0" w:line="277" w:lineRule="auto"/>
        <w:tabs>
          <w:tab w:leader="none" w:pos="696" w:val="left"/>
        </w:tabs>
        <w:numPr>
          <w:ilvl w:val="0"/>
          <w:numId w:val="59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do anything which, in its opinion, may be illegal or contrary to applicable law or regulation;</w:t>
      </w:r>
    </w:p>
    <w:p>
      <w:pPr>
        <w:spacing w:after="0" w:line="62" w:lineRule="exact"/>
        <w:rPr>
          <w:rFonts w:ascii="Arial" w:cs="Arial" w:eastAsia="Arial" w:hAnsi="Arial"/>
          <w:sz w:val="18"/>
          <w:szCs w:val="18"/>
          <w:color w:val="auto"/>
        </w:rPr>
      </w:pPr>
    </w:p>
    <w:p>
      <w:pPr>
        <w:ind w:right="80" w:firstLine="444"/>
        <w:spacing w:after="0" w:line="264" w:lineRule="auto"/>
        <w:tabs>
          <w:tab w:leader="none" w:pos="696"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Trustee may assume without inquiry in the absence of actual knowledge that the Company is duly complying with its obligations contained in this Indenture required to be performed and observed by them, and that no Default or Event of Default or other event which would require repayment of the Notes has occurred; and</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598"/>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[Intentionally Omitted.]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Individual Rights of Trustee.</w:t>
      </w:r>
    </w:p>
    <w:p>
      <w:pPr>
        <w:spacing w:after="0" w:line="117" w:lineRule="exact"/>
        <w:rPr>
          <w:sz w:val="20"/>
          <w:szCs w:val="20"/>
          <w:color w:val="auto"/>
        </w:rPr>
      </w:pPr>
    </w:p>
    <w:p>
      <w:pPr>
        <w:ind w:right="200" w:firstLine="444"/>
        <w:spacing w:after="0" w:line="342" w:lineRule="auto"/>
        <w:tabs>
          <w:tab w:leader="none" w:pos="685" w:val="left"/>
        </w:tabs>
        <w:numPr>
          <w:ilvl w:val="0"/>
          <w:numId w:val="599"/>
        </w:numPr>
        <w:rPr>
          <w:rFonts w:ascii="Arial" w:cs="Arial" w:eastAsia="Arial" w:hAnsi="Arial"/>
          <w:sz w:val="16"/>
          <w:szCs w:val="16"/>
          <w:color w:val="auto"/>
        </w:rPr>
      </w:pPr>
      <w:r>
        <w:rPr>
          <w:rFonts w:ascii="Arial" w:cs="Arial" w:eastAsia="Arial" w:hAnsi="Arial"/>
          <w:sz w:val="16"/>
          <w:szCs w:val="16"/>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15" w:lineRule="exact"/>
        <w:rPr>
          <w:rFonts w:ascii="Arial" w:cs="Arial" w:eastAsia="Arial" w:hAnsi="Arial"/>
          <w:sz w:val="16"/>
          <w:szCs w:val="16"/>
          <w:color w:val="auto"/>
        </w:rPr>
      </w:pPr>
    </w:p>
    <w:p>
      <w:pPr>
        <w:ind w:right="80" w:firstLine="444"/>
        <w:spacing w:after="0" w:line="312" w:lineRule="auto"/>
        <w:tabs>
          <w:tab w:leader="none" w:pos="696" w:val="left"/>
        </w:tabs>
        <w:numPr>
          <w:ilvl w:val="0"/>
          <w:numId w:val="599"/>
        </w:numPr>
        <w:rPr>
          <w:rFonts w:ascii="Arial" w:cs="Arial" w:eastAsia="Arial" w:hAnsi="Arial"/>
          <w:sz w:val="16"/>
          <w:szCs w:val="16"/>
          <w:color w:val="auto"/>
        </w:rPr>
      </w:pPr>
      <w:r>
        <w:rPr>
          <w:rFonts w:ascii="Arial" w:cs="Arial" w:eastAsia="Arial" w:hAnsi="Arial"/>
          <w:sz w:val="16"/>
          <w:szCs w:val="16"/>
          <w:color w:val="auto"/>
        </w:rPr>
        <w:t>If the Trustee becomes a creditor of the Company or a Subsidiary Guarantor, this Indenture limits its right to obtain payment of claims in certain cases, or to realize on certain property received in respect of any such claim as security or otherwise. The Trustee will be permitted to engage in other transactions; however, if it acquires actual knowledge that it has any conflicting interest it must eliminate such conflict within 90 days or resign.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Trustee’s Disclaimer.</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the certificate of authentication. The Trustee shall not be deemed to be required to calculate any Fixed Charges, Treasury Rates, Additional Amounts, any make-whole amount, any Fixed Charge Coverage Ratio or other coverage ratio,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Notice of Defaults.</w:t>
      </w:r>
    </w:p>
    <w:p>
      <w:pPr>
        <w:spacing w:after="0" w:line="117"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7.07 </w:t>
      </w:r>
      <w:r>
        <w:rPr>
          <w:rFonts w:ascii="Arial" w:cs="Arial" w:eastAsia="Arial" w:hAnsi="Arial"/>
          <w:sz w:val="18"/>
          <w:szCs w:val="18"/>
          <w:i w:val="1"/>
          <w:iCs w:val="1"/>
          <w:color w:val="auto"/>
        </w:rPr>
        <w:t>[Intentionally Omitted.]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Compensation and Indemnity.</w:t>
      </w:r>
    </w:p>
    <w:p>
      <w:pPr>
        <w:spacing w:after="0" w:line="117" w:lineRule="exact"/>
        <w:rPr>
          <w:sz w:val="20"/>
          <w:szCs w:val="20"/>
          <w:color w:val="auto"/>
        </w:rPr>
      </w:pPr>
    </w:p>
    <w:p>
      <w:pPr>
        <w:ind w:firstLine="444"/>
        <w:spacing w:after="0" w:line="276" w:lineRule="auto"/>
        <w:tabs>
          <w:tab w:leader="none" w:pos="685" w:val="left"/>
        </w:tabs>
        <w:numPr>
          <w:ilvl w:val="0"/>
          <w:numId w:val="600"/>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pursuant to a written fee agreement executed or as otherwise agreed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64" w:lineRule="exact"/>
        <w:rPr>
          <w:rFonts w:ascii="Arial" w:cs="Arial" w:eastAsia="Arial" w:hAnsi="Arial"/>
          <w:sz w:val="17"/>
          <w:szCs w:val="17"/>
          <w:color w:val="auto"/>
        </w:rPr>
      </w:pPr>
    </w:p>
    <w:p>
      <w:pPr>
        <w:ind w:firstLine="444"/>
        <w:spacing w:after="0" w:line="269" w:lineRule="auto"/>
        <w:tabs>
          <w:tab w:leader="none" w:pos="696" w:val="left"/>
        </w:tabs>
        <w:numPr>
          <w:ilvl w:val="0"/>
          <w:numId w:val="600"/>
        </w:numPr>
        <w:rPr>
          <w:rFonts w:ascii="Arial" w:cs="Arial" w:eastAsia="Arial" w:hAnsi="Arial"/>
          <w:sz w:val="17"/>
          <w:szCs w:val="17"/>
          <w:color w:val="auto"/>
        </w:rPr>
      </w:pPr>
      <w:r>
        <w:rPr>
          <w:rFonts w:ascii="Arial" w:cs="Arial" w:eastAsia="Arial" w:hAnsi="Arial"/>
          <w:sz w:val="17"/>
          <w:szCs w:val="17"/>
          <w:color w:val="auto"/>
        </w:rPr>
        <w:t>The Company and the Subsidiary Guarantors will indemnify the Trustee and its officers, directors, employees and agents against any and all losses, liabilities or expenses (including the fees and expenses of counsel) incurred by it arising out of or in connection with the acceptance or administration of its duties under this Indenture, including the costs and expenses of enforcing this Indenture against the Company and the Subsidiary Guarantors (including this Section 7.08) and defending itself against any claim (whether asserted by the Company, the Subsidiary Guarantors, any Holder or any other Person) or liability in connection with the exercise or performance of any of its powers or duties hereunder, except to the extent any such loss, liability or expense may be attributable solely to its gross negligence, willful misconduct or fraud as determined by a court of competent jurisdiction in a final non-appealable order. The Trustee will notify the Company promptly of any claim for which it may seek indemnity. Failure by the Trustee to so notify the Company will not relieve the Company or any of the Subsidiary Guarantors of their obligations hereunder. The Company or such Subsidiary Guarantor will defend the claim and the Trustee will cooperate in the defense. The Trustee may have separate counsel and the Company will pay the reasonable fees and expenses of such counsel. Neither the Company nor any Subsidiary Guarantor need to pay for any settlement made without its consent, which consent will not be unreasonably withheld.</w:t>
      </w:r>
    </w:p>
    <w:p>
      <w:pPr>
        <w:spacing w:after="0" w:line="182" w:lineRule="exact"/>
        <w:rPr>
          <w:rFonts w:ascii="Arial" w:cs="Arial" w:eastAsia="Arial" w:hAnsi="Arial"/>
          <w:sz w:val="17"/>
          <w:szCs w:val="17"/>
          <w:color w:val="auto"/>
        </w:rPr>
      </w:pPr>
    </w:p>
    <w:p>
      <w:pPr>
        <w:ind w:right="460" w:firstLine="444"/>
        <w:spacing w:after="0" w:line="277" w:lineRule="auto"/>
        <w:tabs>
          <w:tab w:leader="none" w:pos="68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The obligations of the Company and the Subsidiary Guarantors under this Section 7.08 will survive the satisfaction and discharge of this Indenture, and the resignation or removal of the Trustee and/or any Agent.</w:t>
      </w:r>
    </w:p>
    <w:p>
      <w:pPr>
        <w:spacing w:after="0" w:line="62" w:lineRule="exact"/>
        <w:rPr>
          <w:rFonts w:ascii="Arial" w:cs="Arial" w:eastAsia="Arial" w:hAnsi="Arial"/>
          <w:sz w:val="18"/>
          <w:szCs w:val="18"/>
          <w:color w:val="auto"/>
        </w:rPr>
      </w:pPr>
    </w:p>
    <w:p>
      <w:pPr>
        <w:ind w:right="280" w:firstLine="444"/>
        <w:spacing w:after="0" w:line="264" w:lineRule="auto"/>
        <w:tabs>
          <w:tab w:leader="none" w:pos="696"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To secure the Company’s and the Subsidiary Guarantors’ payment obligations in this Section 7.08, the Trustee will have a Lien prior to the Notes on all money or property held or collected by the Trustee, in its capacity as Trustee, except that held in trust to pay principal and interest on particular Notes. Such Lien will survive the satisfaction and discharge of this Indenture.</w:t>
      </w:r>
    </w:p>
    <w:p>
      <w:pPr>
        <w:spacing w:after="0" w:line="73" w:lineRule="exact"/>
        <w:rPr>
          <w:rFonts w:ascii="Arial" w:cs="Arial" w:eastAsia="Arial" w:hAnsi="Arial"/>
          <w:sz w:val="18"/>
          <w:szCs w:val="18"/>
          <w:color w:val="auto"/>
        </w:rPr>
      </w:pPr>
    </w:p>
    <w:p>
      <w:pPr>
        <w:ind w:right="320" w:firstLine="444"/>
        <w:spacing w:after="0" w:line="264" w:lineRule="auto"/>
        <w:tabs>
          <w:tab w:leader="none" w:pos="68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6.01(a)(7) or Section 6.01(a)(8) hereof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Replacement of Trustee.</w:t>
      </w:r>
    </w:p>
    <w:p>
      <w:pPr>
        <w:spacing w:after="0" w:line="117" w:lineRule="exact"/>
        <w:rPr>
          <w:sz w:val="20"/>
          <w:szCs w:val="20"/>
          <w:color w:val="auto"/>
        </w:rPr>
      </w:pPr>
    </w:p>
    <w:p>
      <w:pPr>
        <w:ind w:right="500" w:firstLine="444"/>
        <w:spacing w:after="0" w:line="277" w:lineRule="auto"/>
        <w:tabs>
          <w:tab w:leader="none" w:pos="685" w:val="left"/>
        </w:tabs>
        <w:numPr>
          <w:ilvl w:val="0"/>
          <w:numId w:val="601"/>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7.09.</w:t>
      </w:r>
    </w:p>
    <w:p>
      <w:pPr>
        <w:spacing w:after="0" w:line="62" w:lineRule="exact"/>
        <w:rPr>
          <w:rFonts w:ascii="Arial" w:cs="Arial" w:eastAsia="Arial" w:hAnsi="Arial"/>
          <w:sz w:val="18"/>
          <w:szCs w:val="18"/>
          <w:color w:val="auto"/>
        </w:rPr>
      </w:pPr>
    </w:p>
    <w:p>
      <w:pPr>
        <w:jc w:val="both"/>
        <w:ind w:right="80" w:firstLine="444"/>
        <w:spacing w:after="0" w:line="264" w:lineRule="auto"/>
        <w:tabs>
          <w:tab w:leader="none" w:pos="696"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the Trustee fails to comply with Section 7.11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420" w:name="page421"/>
    <w:bookmarkEnd w:id="420"/>
    <w:p>
      <w:pPr>
        <w:ind w:left="1120" w:hanging="252"/>
        <w:spacing w:after="0"/>
        <w:tabs>
          <w:tab w:leader="none" w:pos="1120" w:val="left"/>
        </w:tabs>
        <w:numPr>
          <w:ilvl w:val="1"/>
          <w:numId w:val="6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20" w:hanging="252"/>
        <w:spacing w:after="0"/>
        <w:tabs>
          <w:tab w:leader="none" w:pos="112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17" w:lineRule="exact"/>
        <w:rPr>
          <w:rFonts w:ascii="Arial" w:cs="Arial" w:eastAsia="Arial" w:hAnsi="Arial"/>
          <w:sz w:val="18"/>
          <w:szCs w:val="18"/>
          <w:color w:val="auto"/>
        </w:rPr>
      </w:pPr>
    </w:p>
    <w:p>
      <w:pPr>
        <w:ind w:right="520" w:firstLine="444"/>
        <w:spacing w:after="0" w:line="286" w:lineRule="auto"/>
        <w:tabs>
          <w:tab w:leader="none" w:pos="685" w:val="left"/>
        </w:tabs>
        <w:numPr>
          <w:ilvl w:val="0"/>
          <w:numId w:val="603"/>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57" w:lineRule="exact"/>
        <w:rPr>
          <w:rFonts w:ascii="Arial" w:cs="Arial" w:eastAsia="Arial" w:hAnsi="Arial"/>
          <w:sz w:val="17"/>
          <w:szCs w:val="17"/>
          <w:color w:val="auto"/>
        </w:rPr>
      </w:pPr>
    </w:p>
    <w:p>
      <w:pPr>
        <w:ind w:right="180" w:firstLine="444"/>
        <w:spacing w:after="0" w:line="264" w:lineRule="auto"/>
        <w:tabs>
          <w:tab w:leader="none" w:pos="69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73" w:lineRule="exact"/>
        <w:rPr>
          <w:rFonts w:ascii="Arial" w:cs="Arial" w:eastAsia="Arial" w:hAnsi="Arial"/>
          <w:sz w:val="18"/>
          <w:szCs w:val="18"/>
          <w:color w:val="auto"/>
        </w:rPr>
      </w:pPr>
    </w:p>
    <w:p>
      <w:pPr>
        <w:ind w:firstLine="444"/>
        <w:spacing w:after="0" w:line="308" w:lineRule="auto"/>
        <w:tabs>
          <w:tab w:leader="none" w:pos="685" w:val="left"/>
        </w:tabs>
        <w:numPr>
          <w:ilvl w:val="0"/>
          <w:numId w:val="603"/>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38" w:lineRule="exact"/>
        <w:rPr>
          <w:rFonts w:ascii="Arial" w:cs="Arial" w:eastAsia="Arial" w:hAnsi="Arial"/>
          <w:sz w:val="17"/>
          <w:szCs w:val="17"/>
          <w:color w:val="auto"/>
        </w:rPr>
      </w:pPr>
    </w:p>
    <w:p>
      <w:pPr>
        <w:ind w:right="20" w:firstLine="444"/>
        <w:spacing w:after="0" w:line="255" w:lineRule="auto"/>
        <w:tabs>
          <w:tab w:leader="none" w:pos="66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Successor Trustee by Merger, etc.</w:t>
      </w:r>
    </w:p>
    <w:p>
      <w:pPr>
        <w:spacing w:after="0" w:line="11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Eligibility; Disqualification.</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There shall at all times be a Trustee hereunder that is entitled to carry out the activities of a trustee under the laws of England and Wales, or Hong Kong or the State of New York or is a corporation organized or doing business under the laws of the United States of America or any state thereof or the District of Columbia that is authorized under such laws to exercise corporate trustee power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Appointment of Co-Trustee.</w:t>
      </w:r>
    </w:p>
    <w:p>
      <w:pPr>
        <w:spacing w:after="0" w:line="117" w:lineRule="exact"/>
        <w:rPr>
          <w:sz w:val="20"/>
          <w:szCs w:val="20"/>
          <w:color w:val="auto"/>
        </w:rPr>
      </w:pPr>
    </w:p>
    <w:p>
      <w:pPr>
        <w:ind w:right="120" w:firstLine="444"/>
        <w:spacing w:after="0" w:line="273" w:lineRule="auto"/>
        <w:tabs>
          <w:tab w:leader="none" w:pos="685" w:val="left"/>
        </w:tabs>
        <w:numPr>
          <w:ilvl w:val="0"/>
          <w:numId w:val="604"/>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hereof and no notice to the Holders of the appointment of any co-trustee or separate trustee shall be required.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3" w:right="459" w:bottom="1440" w:gutter="0" w:footer="0" w:header="0"/>
        </w:sectPr>
      </w:pPr>
    </w:p>
    <w:bookmarkStart w:id="421" w:name="page422"/>
    <w:bookmarkEnd w:id="421"/>
    <w:p>
      <w:pPr>
        <w:ind w:right="640" w:firstLine="444"/>
        <w:spacing w:after="0" w:line="277" w:lineRule="auto"/>
        <w:tabs>
          <w:tab w:leader="none" w:pos="696" w:val="left"/>
        </w:tabs>
        <w:numPr>
          <w:ilvl w:val="0"/>
          <w:numId w:val="6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separate trustee and co-trustee shall, to the extent permitted by law, be appointed and act subject to the following provisions and conditions:</w:t>
      </w:r>
    </w:p>
    <w:p>
      <w:pPr>
        <w:spacing w:after="0" w:line="62" w:lineRule="exact"/>
        <w:rPr>
          <w:rFonts w:ascii="Arial" w:cs="Arial" w:eastAsia="Arial" w:hAnsi="Arial"/>
          <w:sz w:val="18"/>
          <w:szCs w:val="18"/>
          <w:color w:val="auto"/>
        </w:rPr>
      </w:pPr>
    </w:p>
    <w:p>
      <w:pPr>
        <w:ind w:left="440" w:right="240" w:firstLine="428"/>
        <w:spacing w:after="0" w:line="255" w:lineRule="auto"/>
        <w:tabs>
          <w:tab w:leader="none" w:pos="1118" w:val="left"/>
        </w:tabs>
        <w:numPr>
          <w:ilvl w:val="1"/>
          <w:numId w:val="605"/>
        </w:numPr>
        <w:rPr>
          <w:rFonts w:ascii="Arial" w:cs="Arial" w:eastAsia="Arial" w:hAnsi="Arial"/>
          <w:sz w:val="18"/>
          <w:szCs w:val="18"/>
          <w:color w:val="auto"/>
        </w:rPr>
      </w:pPr>
      <w:r>
        <w:rPr>
          <w:rFonts w:ascii="Arial" w:cs="Arial" w:eastAsia="Arial" w:hAnsi="Arial"/>
          <w:sz w:val="18"/>
          <w:szCs w:val="18"/>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85" w:lineRule="exact"/>
        <w:rPr>
          <w:rFonts w:ascii="Arial" w:cs="Arial" w:eastAsia="Arial" w:hAnsi="Arial"/>
          <w:sz w:val="18"/>
          <w:szCs w:val="18"/>
          <w:color w:val="auto"/>
        </w:rPr>
      </w:pPr>
    </w:p>
    <w:p>
      <w:pPr>
        <w:ind w:left="1120" w:hanging="252"/>
        <w:spacing w:after="0"/>
        <w:tabs>
          <w:tab w:leader="none" w:pos="11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No trustee hereunder shall be personally liable by reason of any act or omission of any other trustee hereunder;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605"/>
        </w:numPr>
        <w:rPr>
          <w:rFonts w:ascii="Arial" w:cs="Arial" w:eastAsia="Arial" w:hAnsi="Arial"/>
          <w:sz w:val="18"/>
          <w:szCs w:val="18"/>
          <w:color w:val="auto"/>
        </w:rPr>
      </w:pPr>
      <w:r>
        <w:rPr>
          <w:rFonts w:ascii="Arial" w:cs="Arial" w:eastAsia="Arial" w:hAnsi="Arial"/>
          <w:sz w:val="18"/>
          <w:szCs w:val="18"/>
          <w:color w:val="auto"/>
        </w:rPr>
        <w:t>The Trustee may at any time accept the resignation of or remove any separate trustee or co-trustee.</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Any notice, request or other writing given to the Trustee shall be deemed to have been given to each of the then separate trustees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86" w:lineRule="exact"/>
        <w:rPr>
          <w:sz w:val="20"/>
          <w:szCs w:val="20"/>
          <w:color w:val="auto"/>
        </w:rPr>
      </w:pPr>
    </w:p>
    <w:p>
      <w:pPr>
        <w:ind w:right="60" w:firstLine="444"/>
        <w:spacing w:after="0" w:line="279" w:lineRule="auto"/>
        <w:tabs>
          <w:tab w:leader="none" w:pos="696" w:val="left"/>
        </w:tabs>
        <w:numPr>
          <w:ilvl w:val="0"/>
          <w:numId w:val="606"/>
        </w:numPr>
        <w:rPr>
          <w:rFonts w:ascii="Arial" w:cs="Arial" w:eastAsia="Arial" w:hAnsi="Arial"/>
          <w:sz w:val="17"/>
          <w:szCs w:val="17"/>
          <w:color w:val="auto"/>
        </w:rPr>
      </w:pPr>
      <w:r>
        <w:rPr>
          <w:rFonts w:ascii="Arial" w:cs="Arial" w:eastAsia="Arial" w:hAnsi="Arial"/>
          <w:sz w:val="17"/>
          <w:szCs w:val="17"/>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Resignation of Agents.</w:t>
      </w:r>
    </w:p>
    <w:p>
      <w:pPr>
        <w:spacing w:after="0" w:line="117"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 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7.14 </w:t>
      </w:r>
      <w:r>
        <w:rPr>
          <w:rFonts w:ascii="Arial" w:cs="Arial" w:eastAsia="Arial" w:hAnsi="Arial"/>
          <w:sz w:val="18"/>
          <w:szCs w:val="18"/>
          <w:i w:val="1"/>
          <w:iCs w:val="1"/>
          <w:color w:val="auto"/>
        </w:rPr>
        <w:t>Agents General Provisions.</w:t>
      </w:r>
    </w:p>
    <w:p>
      <w:pPr>
        <w:spacing w:after="0" w:line="117" w:lineRule="exact"/>
        <w:rPr>
          <w:sz w:val="20"/>
          <w:szCs w:val="20"/>
          <w:color w:val="auto"/>
        </w:rPr>
      </w:pPr>
    </w:p>
    <w:p>
      <w:pPr>
        <w:ind w:left="680" w:hanging="236"/>
        <w:spacing w:after="0"/>
        <w:tabs>
          <w:tab w:leader="none" w:pos="680" w:val="left"/>
        </w:tabs>
        <w:numPr>
          <w:ilvl w:val="0"/>
          <w:numId w:val="607"/>
        </w:numPr>
        <w:rPr>
          <w:rFonts w:ascii="Arial" w:cs="Arial" w:eastAsia="Arial" w:hAnsi="Arial"/>
          <w:sz w:val="17"/>
          <w:szCs w:val="17"/>
          <w:color w:val="auto"/>
        </w:rPr>
      </w:pPr>
      <w:r>
        <w:rPr>
          <w:rFonts w:ascii="Arial" w:cs="Arial" w:eastAsia="Arial" w:hAnsi="Arial"/>
          <w:sz w:val="17"/>
          <w:szCs w:val="17"/>
          <w:color w:val="auto"/>
        </w:rPr>
        <w:t>The rights, powers, duties and obligations and actions of each Agent under this Indenture are several and not joint or joint and several.</w:t>
      </w:r>
    </w:p>
    <w:p>
      <w:pPr>
        <w:spacing w:after="0" w:line="128" w:lineRule="exact"/>
        <w:rPr>
          <w:rFonts w:ascii="Arial" w:cs="Arial" w:eastAsia="Arial" w:hAnsi="Arial"/>
          <w:sz w:val="17"/>
          <w:szCs w:val="17"/>
          <w:color w:val="auto"/>
        </w:rPr>
      </w:pPr>
    </w:p>
    <w:p>
      <w:pPr>
        <w:ind w:right="100" w:firstLine="444"/>
        <w:spacing w:after="0" w:line="312" w:lineRule="auto"/>
        <w:tabs>
          <w:tab w:leader="none" w:pos="696" w:val="left"/>
        </w:tabs>
        <w:numPr>
          <w:ilvl w:val="0"/>
          <w:numId w:val="607"/>
        </w:numPr>
        <w:rPr>
          <w:rFonts w:ascii="Arial" w:cs="Arial" w:eastAsia="Arial" w:hAnsi="Arial"/>
          <w:sz w:val="16"/>
          <w:szCs w:val="16"/>
          <w:color w:val="auto"/>
        </w:rPr>
      </w:pPr>
      <w:r>
        <w:rPr>
          <w:rFonts w:ascii="Arial" w:cs="Arial" w:eastAsia="Arial" w:hAnsi="Arial"/>
          <w:sz w:val="16"/>
          <w:szCs w:val="16"/>
          <w:color w:val="auto"/>
        </w:rPr>
        <w:t>The Company and the Agents acknowledge and agree that in the event of a Default or Event of Default, the Trustee may, by notice in writing to the Company and the Agents, require that the Agents act as agents of, and take instructions exclusively from, the Trustee. Until they have received such written notice from the Trustee, the Agents shall act solely as agents of the Company and need have no concern for the interests of the Holders.</w:t>
      </w:r>
    </w:p>
    <w:p>
      <w:pPr>
        <w:spacing w:after="0" w:line="38" w:lineRule="exact"/>
        <w:rPr>
          <w:rFonts w:ascii="Arial" w:cs="Arial" w:eastAsia="Arial" w:hAnsi="Arial"/>
          <w:sz w:val="16"/>
          <w:szCs w:val="16"/>
          <w:color w:val="auto"/>
        </w:rPr>
      </w:pPr>
    </w:p>
    <w:p>
      <w:pPr>
        <w:ind w:firstLine="444"/>
        <w:spacing w:after="0" w:line="259" w:lineRule="auto"/>
        <w:tabs>
          <w:tab w:leader="none" w:pos="685" w:val="left"/>
        </w:tabs>
        <w:numPr>
          <w:ilvl w:val="0"/>
          <w:numId w:val="607"/>
        </w:numPr>
        <w:rPr>
          <w:rFonts w:ascii="Arial" w:cs="Arial" w:eastAsia="Arial" w:hAnsi="Arial"/>
          <w:sz w:val="18"/>
          <w:szCs w:val="18"/>
          <w:color w:val="auto"/>
        </w:rPr>
      </w:pPr>
      <w:r>
        <w:rPr>
          <w:rFonts w:ascii="Arial" w:cs="Arial" w:eastAsia="Arial" w:hAnsi="Arial"/>
          <w:sz w:val="18"/>
          <w:szCs w:val="18"/>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7.14(c), then such Agent shall be entitled to take no action until such clarification is provided, and shall not incur any liability for not taking any action pending receipt of such clarification.</w:t>
      </w:r>
    </w:p>
    <w:p>
      <w:pPr>
        <w:spacing w:after="0" w:line="78" w:lineRule="exact"/>
        <w:rPr>
          <w:rFonts w:ascii="Arial" w:cs="Arial" w:eastAsia="Arial" w:hAnsi="Arial"/>
          <w:sz w:val="18"/>
          <w:szCs w:val="18"/>
          <w:color w:val="auto"/>
        </w:rPr>
      </w:pPr>
    </w:p>
    <w:p>
      <w:pPr>
        <w:ind w:left="700" w:hanging="256"/>
        <w:spacing w:after="0"/>
        <w:tabs>
          <w:tab w:leader="none" w:pos="70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Agents shall only have such duties as expressly set out in this Indenture.</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Company shall provide the Agents with a certified list of authorized signatories.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Rights of Trustee in Other Roles.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rights, powers and indemnities contained in this Article 7 shall apply to the Trustee in its other roles hereunder and to the Agents.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p>
    <w:p>
      <w:pPr>
        <w:spacing w:after="0" w:line="117"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Upon the Company’s exercise under Section 8.01 hereof of the option applicable to this Section 8.02, the Company and each of the Subsidiary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7"/>
          <w:szCs w:val="17"/>
          <w:i w:val="1"/>
          <w:iCs w:val="1"/>
          <w:color w:val="auto"/>
        </w:rPr>
        <w:t>Legal</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For this purpose, Legal Defeasance means that the Company and the Subsidiary Guarantors will be deemed to have paid and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74" w:lineRule="exact"/>
        <w:rPr>
          <w:sz w:val="20"/>
          <w:szCs w:val="20"/>
          <w:color w:val="auto"/>
        </w:rPr>
      </w:pPr>
    </w:p>
    <w:p>
      <w:pPr>
        <w:ind w:left="440" w:right="420" w:firstLine="428"/>
        <w:spacing w:after="0" w:line="277" w:lineRule="auto"/>
        <w:tabs>
          <w:tab w:leader="none" w:pos="1118"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Additional Amounts, if any, on, such Notes when such payments are due from the trust referred to in Section 8.04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3" w:right="499" w:bottom="1440" w:gutter="0" w:footer="0" w:header="0"/>
        </w:sectPr>
      </w:pPr>
    </w:p>
    <w:bookmarkStart w:id="423" w:name="page424"/>
    <w:bookmarkEnd w:id="423"/>
    <w:p>
      <w:pPr>
        <w:ind w:left="1120" w:hanging="252"/>
        <w:spacing w:after="0"/>
        <w:tabs>
          <w:tab w:leader="none" w:pos="1120" w:val="left"/>
        </w:tabs>
        <w:numPr>
          <w:ilvl w:val="0"/>
          <w:numId w:val="6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Obligations with respect to the Notes under Article 2 and Section 4.02 hereof;</w:t>
      </w:r>
    </w:p>
    <w:p>
      <w:pPr>
        <w:spacing w:after="0" w:line="117" w:lineRule="exact"/>
        <w:rPr>
          <w:rFonts w:ascii="Arial" w:cs="Arial" w:eastAsia="Arial" w:hAnsi="Arial"/>
          <w:sz w:val="18"/>
          <w:szCs w:val="18"/>
          <w:color w:val="auto"/>
        </w:rPr>
      </w:pPr>
    </w:p>
    <w:p>
      <w:pPr>
        <w:ind w:left="440" w:right="740" w:firstLine="428"/>
        <w:spacing w:after="0" w:line="277" w:lineRule="auto"/>
        <w:tabs>
          <w:tab w:leader="none" w:pos="1118"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Paying Agent and Transfer Agent and the Registrar, and the Company’s and the Subsidiary Guarantors’ Obligations in connection therewith;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Upon the Company’s exercise under Section 8.01 hereof of the option applicable to this Section 8.03, the Company and each of the Subsidiary Guarantors will, subject to the satisfaction of the conditions set forth in Section 8.04 hereof, be released from each of their obligations under the covenants contained in Sections 4.07, 4.08, 4.09, 4.10, 4.11, 4.12, 4.13, 4.15, 4.16, 4.17, 4.18, 4.19 and 4.21 hereof and Section 5.01(a)(3) hereof with respect to the outstanding Notes on and after the date the conditions set forth in Section 8.04 hereof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Subsidiary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and Section 6.01(a)(3) through 6.01(a)(5) hereof will not constitute Events of Default.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440" w:firstLine="428"/>
        <w:spacing w:after="0" w:line="297" w:lineRule="auto"/>
        <w:tabs>
          <w:tab w:leader="none" w:pos="1118" w:val="left"/>
        </w:tabs>
        <w:numPr>
          <w:ilvl w:val="0"/>
          <w:numId w:val="610"/>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cash in U.S. dollars, non-callable U.S. 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50" w:lineRule="exact"/>
        <w:rPr>
          <w:rFonts w:ascii="Arial" w:cs="Arial" w:eastAsia="Arial" w:hAnsi="Arial"/>
          <w:sz w:val="16"/>
          <w:szCs w:val="16"/>
          <w:color w:val="auto"/>
        </w:rPr>
      </w:pPr>
    </w:p>
    <w:p>
      <w:pPr>
        <w:ind w:left="440" w:right="660" w:firstLine="428"/>
        <w:spacing w:after="0" w:line="277" w:lineRule="auto"/>
        <w:tabs>
          <w:tab w:leader="none" w:pos="1118" w:val="left"/>
        </w:tabs>
        <w:numPr>
          <w:ilvl w:val="0"/>
          <w:numId w:val="610"/>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U.S. Internal Revenue Service a ruling;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424" w:name="page425"/>
    <w:bookmarkEnd w:id="424"/>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since the date of this Indenture, there has been a change in the applicable U.S. federal income tax law,</w:t>
      </w:r>
    </w:p>
    <w:p>
      <w:pPr>
        <w:spacing w:after="0" w:line="117" w:lineRule="exact"/>
        <w:rPr>
          <w:sz w:val="20"/>
          <w:szCs w:val="20"/>
          <w:color w:val="auto"/>
        </w:rPr>
      </w:pPr>
    </w:p>
    <w:p>
      <w:pPr>
        <w:ind w:left="880" w:right="8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440" w:right="120" w:firstLine="428"/>
        <w:spacing w:after="0" w:line="279" w:lineRule="auto"/>
        <w:tabs>
          <w:tab w:leader="none" w:pos="1118" w:val="left"/>
        </w:tabs>
        <w:numPr>
          <w:ilvl w:val="0"/>
          <w:numId w:val="611"/>
        </w:numPr>
        <w:rPr>
          <w:rFonts w:ascii="Arial" w:cs="Arial" w:eastAsia="Arial" w:hAnsi="Arial"/>
          <w:sz w:val="17"/>
          <w:szCs w:val="17"/>
          <w:color w:val="auto"/>
        </w:rPr>
      </w:pPr>
      <w:r>
        <w:rPr>
          <w:rFonts w:ascii="Arial" w:cs="Arial" w:eastAsia="Arial" w:hAnsi="Arial"/>
          <w:sz w:val="17"/>
          <w:szCs w:val="17"/>
          <w:color w:val="auto"/>
        </w:rPr>
        <w:t>in the case of an election under Section 8.03 hereof, the Company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jc w:val="both"/>
        <w:ind w:left="440" w:right="340" w:firstLine="428"/>
        <w:spacing w:after="0" w:line="259" w:lineRule="auto"/>
        <w:tabs>
          <w:tab w:leader="none" w:pos="1118" w:val="left"/>
        </w:tabs>
        <w:numPr>
          <w:ilvl w:val="0"/>
          <w:numId w:val="61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ind w:left="440" w:right="60" w:firstLine="428"/>
        <w:spacing w:after="0" w:line="264" w:lineRule="auto"/>
        <w:tabs>
          <w:tab w:leader="none" w:pos="1118" w:val="left"/>
        </w:tabs>
        <w:numPr>
          <w:ilvl w:val="0"/>
          <w:numId w:val="61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3" w:lineRule="exact"/>
        <w:rPr>
          <w:rFonts w:ascii="Arial" w:cs="Arial" w:eastAsia="Arial" w:hAnsi="Arial"/>
          <w:sz w:val="18"/>
          <w:szCs w:val="18"/>
          <w:color w:val="auto"/>
        </w:rPr>
      </w:pPr>
    </w:p>
    <w:p>
      <w:pPr>
        <w:ind w:left="440" w:right="120" w:firstLine="428"/>
        <w:spacing w:after="0" w:line="264" w:lineRule="auto"/>
        <w:tabs>
          <w:tab w:leader="none" w:pos="1118"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of the Company stating that the deposit was not made by the Company with the intent of preferring the Holders over the other creditors of the Company with the intent of defeating, hindering, delaying or defrauding any creditors of the Company or others; and</w:t>
      </w:r>
    </w:p>
    <w:p>
      <w:pPr>
        <w:spacing w:after="0" w:line="73" w:lineRule="exact"/>
        <w:rPr>
          <w:rFonts w:ascii="Arial" w:cs="Arial" w:eastAsia="Arial" w:hAnsi="Arial"/>
          <w:sz w:val="18"/>
          <w:szCs w:val="18"/>
          <w:color w:val="auto"/>
        </w:rPr>
      </w:pPr>
    </w:p>
    <w:p>
      <w:pPr>
        <w:ind w:left="440" w:right="240" w:firstLine="428"/>
        <w:spacing w:after="0" w:line="277" w:lineRule="auto"/>
        <w:tabs>
          <w:tab w:leader="none" w:pos="1118"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62" w:lineRule="exact"/>
        <w:rPr>
          <w:rFonts w:ascii="Arial" w:cs="Arial" w:eastAsia="Arial" w:hAnsi="Arial"/>
          <w:sz w:val="18"/>
          <w:szCs w:val="18"/>
          <w:color w:val="auto"/>
        </w:rPr>
      </w:pPr>
    </w:p>
    <w:p>
      <w:pPr>
        <w:ind w:left="440" w:right="20" w:firstLine="428"/>
        <w:spacing w:after="0" w:line="277" w:lineRule="auto"/>
        <w:tabs>
          <w:tab w:leader="none" w:pos="1118"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Trustee shall be entitled to its usual fees and, in addition, any fees and expenses incurred or charged by the Trustee and its counsel in connection with defeasance, satisfaction and discharge, and investment or custody services provided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U.S. Government Obligations to be Held in Trust; Other Miscellaneous Provisions.</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Subject to Section 8.06 hereof, all money and non-callable U.S. Government Obligations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425" w:name="page426"/>
    <w:bookmarkEnd w:id="425"/>
    <w:p>
      <w:pPr>
        <w:ind w:right="14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this Article 8 to the contrary, the Trustee will deliver or pay to the Company from time to time upon the request of the Company any money or non-callable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Company.</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(2)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p>
      <w:pPr>
        <w:spacing w:after="0" w:line="11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and the Subsidiary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SUPPLEMENT AND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p>
    <w:p>
      <w:pPr>
        <w:spacing w:after="0" w:line="117" w:lineRule="exact"/>
        <w:rPr>
          <w:sz w:val="20"/>
          <w:szCs w:val="20"/>
          <w:color w:val="auto"/>
        </w:rPr>
      </w:pPr>
    </w:p>
    <w:p>
      <w:pPr>
        <w:jc w:val="both"/>
        <w:ind w:right="340" w:firstLine="441"/>
        <w:spacing w:after="0" w:line="342" w:lineRule="auto"/>
        <w:rPr>
          <w:sz w:val="20"/>
          <w:szCs w:val="20"/>
          <w:color w:val="auto"/>
        </w:rPr>
      </w:pPr>
      <w:r>
        <w:rPr>
          <w:rFonts w:ascii="Arial" w:cs="Arial" w:eastAsia="Arial" w:hAnsi="Arial"/>
          <w:sz w:val="16"/>
          <w:szCs w:val="16"/>
          <w:color w:val="auto"/>
        </w:rPr>
        <w:t>Notwithstanding Section 9.02 of this Indenture, the Company, the Subsidiary Guarantors, the Trustee (as applicable and to the extent each is a party to the relevant document) may amend or supplement this Indenture, the Notes, and/or the Note Guarantees without the consent of any Holder:</w:t>
      </w:r>
    </w:p>
    <w:p>
      <w:pPr>
        <w:spacing w:after="0" w:line="16" w:lineRule="exact"/>
        <w:rPr>
          <w:sz w:val="20"/>
          <w:szCs w:val="20"/>
          <w:color w:val="auto"/>
        </w:rPr>
      </w:pPr>
    </w:p>
    <w:p>
      <w:pPr>
        <w:ind w:left="1120" w:hanging="252"/>
        <w:spacing w:after="0"/>
        <w:tabs>
          <w:tab w:leader="none" w:pos="112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440" w:right="160" w:firstLine="428"/>
        <w:spacing w:after="0" w:line="342" w:lineRule="auto"/>
        <w:tabs>
          <w:tab w:leader="none" w:pos="1118" w:val="left"/>
        </w:tabs>
        <w:numPr>
          <w:ilvl w:val="0"/>
          <w:numId w:val="612"/>
        </w:numPr>
        <w:rPr>
          <w:rFonts w:ascii="Arial" w:cs="Arial" w:eastAsia="Arial" w:hAnsi="Arial"/>
          <w:sz w:val="16"/>
          <w:szCs w:val="16"/>
          <w:color w:val="auto"/>
        </w:rPr>
      </w:pPr>
      <w:r>
        <w:rPr>
          <w:rFonts w:ascii="Arial" w:cs="Arial" w:eastAsia="Arial" w:hAnsi="Arial"/>
          <w:sz w:val="16"/>
          <w:szCs w:val="16"/>
          <w:color w:val="auto"/>
        </w:rPr>
        <w:t>to provide for the assumption of the Company’s or a Subsidiary Guarantor’s Obligations under the Notes or the Note Guarantees in the case of a merger or consolidation or sale of all or substantially all of the Company’s or such Subsidiary Guarantor’s assets, as applicable;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3" w:right="459" w:bottom="1440" w:gutter="0" w:footer="0" w:header="0"/>
        </w:sectPr>
      </w:pPr>
    </w:p>
    <w:bookmarkStart w:id="426" w:name="page427"/>
    <w:bookmarkEnd w:id="426"/>
    <w:p>
      <w:pPr>
        <w:ind w:left="440" w:right="160" w:firstLine="428"/>
        <w:spacing w:after="0" w:line="277" w:lineRule="auto"/>
        <w:tabs>
          <w:tab w:leader="none" w:pos="1118" w:val="left"/>
        </w:tabs>
        <w:numPr>
          <w:ilvl w:val="0"/>
          <w:numId w:val="6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any change that would provide any additional rights or benefits to the Holders or that does not adversely affect the legal rights under this Indenture of any such Holder;</w:t>
      </w:r>
    </w:p>
    <w:p>
      <w:pPr>
        <w:spacing w:after="0" w:line="62" w:lineRule="exact"/>
        <w:rPr>
          <w:rFonts w:ascii="Arial" w:cs="Arial" w:eastAsia="Arial" w:hAnsi="Arial"/>
          <w:sz w:val="18"/>
          <w:szCs w:val="18"/>
          <w:color w:val="auto"/>
        </w:rPr>
      </w:pPr>
    </w:p>
    <w:p>
      <w:pPr>
        <w:ind w:left="440" w:firstLine="428"/>
        <w:spacing w:after="0" w:line="259" w:lineRule="auto"/>
        <w:tabs>
          <w:tab w:leader="none" w:pos="1118"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to conform the text of the Notes, this Indenture or the Note Guarantees to any provision of the “Description of Notes” section of the Offering Memorandum, to the extent that such provision in that “Description of Notes” section of the Offering Memorandum was intended to be a verbatim recitation of a provision of the Notes, this Indenture or the Note Guarantees, which intent shall be evidenced by an Officer’s Certificate of the Company to that effect;</w:t>
      </w:r>
    </w:p>
    <w:p>
      <w:pPr>
        <w:spacing w:after="0" w:line="78" w:lineRule="exact"/>
        <w:rPr>
          <w:rFonts w:ascii="Arial" w:cs="Arial" w:eastAsia="Arial" w:hAnsi="Arial"/>
          <w:sz w:val="18"/>
          <w:szCs w:val="18"/>
          <w:color w:val="auto"/>
        </w:rPr>
      </w:pPr>
    </w:p>
    <w:p>
      <w:pPr>
        <w:ind w:left="440" w:right="620" w:firstLine="428"/>
        <w:spacing w:after="0" w:line="277" w:lineRule="auto"/>
        <w:tabs>
          <w:tab w:leader="none" w:pos="1118"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 date of this Indenture; or</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to allow any Subsidiary Guarantor to execute a supplemental indenture and/or a Note Guarantee with respect to the Notes or to release any Subsidiary Guarantor from its Note Guarantee in accordance with the terms of this Indenture.</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receipt by the Trustee of the documents described in Section 7.02 hereof, the Trustee, will join with the Company and the Subsidiary Guarantors in the execution of any amended or supplemental indenture authorized or permitted by the terms of this Indenture and to make any further appropriate agreements and stipulations that may be therein contained, but neither the Trustee nor any Agent will be obligated to (although they may at their discretion) enter into such amended or supplemental indenture that affects their own rights, duties or immunities under this Indenture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p>
    <w:p>
      <w:pPr>
        <w:spacing w:after="0" w:line="117"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3.09, 4.10 and 4.15 hereof) and the Notes, and the Company, the Trustee and the Subsidiary Guarantors, may amend or supplement the Note Guarantees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16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7.02, 9.06, 13.04 and 13.05 hereof, the Trustee, will join with the Company and the Subsidiary Guarantors in the execution of such amended or supplemental indenture authorized or permitted by the terms of this Indenture unless such amended or supplemental indenture directly affects the Trustee’s or any Agent’s own rights, duties or immunities under this Indenture or otherwise, in which case the Trustee and/or each Agent may in their discretion, but will not be obligated to, enter into such amended or supplemental indenture.</w:t>
      </w:r>
    </w:p>
    <w:p>
      <w:pPr>
        <w:spacing w:after="0" w:line="165"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427" w:name="page428"/>
    <w:bookmarkEnd w:id="427"/>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an amendment, supplement or waiver under this Section 9.02 becomes effective, the Company will mail to the Holders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each Holder (including the Additional Notes) affected, an amendment, supplement or waiver under this Section 9.02 may not (with respect to any Notes (including the Additional Notes) held by a non-consenting Holder):</w:t>
      </w:r>
    </w:p>
    <w:p>
      <w:pPr>
        <w:spacing w:after="0" w:line="81" w:lineRule="exact"/>
        <w:rPr>
          <w:sz w:val="20"/>
          <w:szCs w:val="20"/>
          <w:color w:val="auto"/>
        </w:rPr>
      </w:pPr>
    </w:p>
    <w:p>
      <w:pPr>
        <w:ind w:left="1120" w:hanging="252"/>
        <w:spacing w:after="0"/>
        <w:tabs>
          <w:tab w:leader="none" w:pos="112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40" w:right="140" w:firstLine="428"/>
        <w:spacing w:after="0" w:line="277" w:lineRule="auto"/>
        <w:tabs>
          <w:tab w:leader="none" w:pos="111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reduce the principal of, premium, if any, or change the fixed maturity of any Note or alter the provisions with respect to the redemption of the Notes (except as provided above with respect to Sections 3.09, 4.10, 4.21 and 4.15 hereof);</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17" w:lineRule="exact"/>
        <w:rPr>
          <w:rFonts w:ascii="Arial" w:cs="Arial" w:eastAsia="Arial" w:hAnsi="Arial"/>
          <w:sz w:val="18"/>
          <w:szCs w:val="18"/>
          <w:color w:val="auto"/>
        </w:rPr>
      </w:pPr>
    </w:p>
    <w:p>
      <w:pPr>
        <w:ind w:left="440" w:right="220" w:firstLine="428"/>
        <w:spacing w:after="0" w:line="264" w:lineRule="auto"/>
        <w:tabs>
          <w:tab w:leader="none" w:pos="111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interest or premium, if any, on, the Notes;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614"/>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(other than a payment required by Section 3.09, 4.10, 4.21 or 4.15 hereof);</w:t>
      </w:r>
    </w:p>
    <w:p>
      <w:pPr>
        <w:spacing w:after="0" w:line="128" w:lineRule="exact"/>
        <w:rPr>
          <w:rFonts w:ascii="Arial" w:cs="Arial" w:eastAsia="Arial" w:hAnsi="Arial"/>
          <w:sz w:val="17"/>
          <w:szCs w:val="17"/>
          <w:color w:val="auto"/>
        </w:rPr>
      </w:pPr>
    </w:p>
    <w:p>
      <w:pPr>
        <w:ind w:left="440" w:right="180" w:firstLine="428"/>
        <w:spacing w:after="0" w:line="277" w:lineRule="auto"/>
        <w:tabs>
          <w:tab w:leader="none" w:pos="1118"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release any Subsidiary Guarantor from any of its Obligations under its Note Guarantee or this Indenture, except in accordance with the terms of this Indenture;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For the avoidance of doubt, no amendment to or deletion of, or actions taken in compliance with, the covenants described under Article 4 shall be deemed to impair or affect any rights of Holders to receive payment of principal of, or premium, if any, or interest on, the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Supplemental Indenture.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Every amendment or supplement to this Indenture or the Notes will be set forth in an amended or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Revocation and Effect of Consents.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3" w:right="45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8"/>
          <w:szCs w:val="18"/>
          <w:i w:val="1"/>
          <w:iCs w:val="1"/>
          <w:color w:val="auto"/>
        </w:rPr>
        <w:t>Notation on or Exchange of Notes.</w:t>
      </w:r>
    </w:p>
    <w:p>
      <w:pPr>
        <w:spacing w:after="0" w:line="11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 waiver.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Trustee to Sign Amendments, etc.</w:t>
      </w:r>
    </w:p>
    <w:p>
      <w:pPr>
        <w:spacing w:after="0" w:line="117"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security and/or indemnity to their reasonable satisfaction. The Trustee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affects the Trustee’s own rights, duties or immunities under this Indenture or otherwise.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Guarantee.</w:t>
      </w:r>
    </w:p>
    <w:p>
      <w:pPr>
        <w:spacing w:after="0" w:line="117" w:lineRule="exact"/>
        <w:rPr>
          <w:sz w:val="20"/>
          <w:szCs w:val="20"/>
          <w:color w:val="auto"/>
        </w:rPr>
      </w:pPr>
    </w:p>
    <w:p>
      <w:pPr>
        <w:ind w:right="40" w:firstLine="444"/>
        <w:spacing w:after="0" w:line="253" w:lineRule="auto"/>
        <w:tabs>
          <w:tab w:leader="none" w:pos="685" w:val="left"/>
        </w:tabs>
        <w:numPr>
          <w:ilvl w:val="0"/>
          <w:numId w:val="615"/>
        </w:numPr>
        <w:rPr>
          <w:rFonts w:ascii="Arial" w:cs="Arial" w:eastAsia="Arial" w:hAnsi="Arial"/>
          <w:sz w:val="18"/>
          <w:szCs w:val="18"/>
          <w:color w:val="auto"/>
        </w:rPr>
      </w:pPr>
      <w:r>
        <w:rPr>
          <w:rFonts w:ascii="Arial" w:cs="Arial" w:eastAsia="Arial" w:hAnsi="Arial"/>
          <w:sz w:val="18"/>
          <w:szCs w:val="18"/>
          <w:color w:val="auto"/>
        </w:rPr>
        <w:t>Each Subsidiary Guarantor hereby jointly and severally, irrevocably and unconditionally guarantees to each Holder and to the Trustee,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premium or Additional Amounts,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Arial" w:cs="Arial" w:eastAsia="Arial" w:hAnsi="Arial"/>
          <w:sz w:val="18"/>
          <w:szCs w:val="18"/>
          <w:i w:val="1"/>
          <w:iCs w:val="1"/>
          <w:color w:val="auto"/>
        </w:rPr>
        <w:t>Guaranteed Obligations</w:t>
      </w:r>
      <w:r>
        <w:rPr>
          <w:rFonts w:ascii="Arial" w:cs="Arial" w:eastAsia="Arial" w:hAnsi="Arial"/>
          <w:sz w:val="18"/>
          <w:szCs w:val="18"/>
          <w:color w:val="auto"/>
        </w:rPr>
        <w:t>”). Each Subsidiary Guarantor further agrees that the Guaranteed Obligations may be extended or renewed, in whole or in part, without notice or further assent from each such Subsidiary Guarantor, and that each such Subsidiary Guarantor shall remain bound under this Article 11 notwithstanding any extension or renewal of any Guaranteed Obligation.</w:t>
      </w:r>
    </w:p>
    <w:p>
      <w:pPr>
        <w:spacing w:after="0" w:line="89" w:lineRule="exact"/>
        <w:rPr>
          <w:rFonts w:ascii="Arial" w:cs="Arial" w:eastAsia="Arial" w:hAnsi="Arial"/>
          <w:sz w:val="18"/>
          <w:szCs w:val="18"/>
          <w:color w:val="auto"/>
        </w:rPr>
      </w:pPr>
    </w:p>
    <w:p>
      <w:pPr>
        <w:ind w:firstLine="444"/>
        <w:spacing w:after="0" w:line="271" w:lineRule="auto"/>
        <w:tabs>
          <w:tab w:leader="none" w:pos="696" w:val="left"/>
        </w:tabs>
        <w:numPr>
          <w:ilvl w:val="0"/>
          <w:numId w:val="615"/>
        </w:numPr>
        <w:rPr>
          <w:rFonts w:ascii="Arial" w:cs="Arial" w:eastAsia="Arial" w:hAnsi="Arial"/>
          <w:sz w:val="17"/>
          <w:szCs w:val="17"/>
          <w:color w:val="auto"/>
        </w:rPr>
      </w:pPr>
      <w:r>
        <w:rPr>
          <w:rFonts w:ascii="Arial" w:cs="Arial" w:eastAsia="Arial" w:hAnsi="Arial"/>
          <w:sz w:val="17"/>
          <w:szCs w:val="17"/>
          <w:color w:val="auto"/>
        </w:rPr>
        <w:t>Each Subsidiary Guarantor waives presentation to, demand of payment from and protest to the Company of any of the Guaranteed Obligations and also waives notice of protest for non-payment. Each Subsidiary Guarantor waives notice of any default under the Notes or the Guaranteed Obligations. The obligations of each Subsidiary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 (4) the release of any security held by any Holder or the Trustee for the Guaranteed Obligations or any of them; (5) the failure of any Holder or the Trustee to exercise any right or remedy against any other guarantor of the Guaranteed Obligations; or (6) any change in the ownership of such Subsidiary.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429" w:name="page430"/>
    <w:bookmarkEnd w:id="429"/>
    <w:p>
      <w:pPr>
        <w:ind w:left="-4" w:firstLine="444"/>
        <w:spacing w:after="0" w:line="255" w:lineRule="auto"/>
        <w:tabs>
          <w:tab w:leader="none" w:pos="682" w:val="left"/>
        </w:tabs>
        <w:numPr>
          <w:ilvl w:val="1"/>
          <w:numId w:val="6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Subsidiary Guarantor hereby waives any right to which it may be entitled to have its obligations hereunder divided among the Subsidiary Guarantors, such that such Subsidiary Guarantor’s obligations would be less than the full amount claimed. Each Subsidiary Guarantor hereby waives any right to which it may be entitled to have the assets of the Company first be used and depleted as payment of the Company’s or such Subsidiary Guarantor’s obligations hereunder prior to any amounts being claimed from or paid by such Subsidiary Guarantor hereunder. Each Subsidiary Guarantor hereby waives any right to which it may be entitled to require that the Company be sued prior to an action being initiated against such Subsidiary Guarantor.</w:t>
      </w:r>
    </w:p>
    <w:p>
      <w:pPr>
        <w:spacing w:after="0" w:line="85" w:lineRule="exact"/>
        <w:rPr>
          <w:rFonts w:ascii="Arial" w:cs="Arial" w:eastAsia="Arial" w:hAnsi="Arial"/>
          <w:sz w:val="18"/>
          <w:szCs w:val="18"/>
          <w:color w:val="auto"/>
        </w:rPr>
      </w:pPr>
    </w:p>
    <w:p>
      <w:pPr>
        <w:ind w:left="-4" w:right="80" w:firstLine="444"/>
        <w:spacing w:after="0" w:line="264" w:lineRule="auto"/>
        <w:tabs>
          <w:tab w:leader="none" w:pos="692" w:val="left"/>
        </w:tabs>
        <w:numPr>
          <w:ilvl w:val="1"/>
          <w:numId w:val="616"/>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73" w:lineRule="exact"/>
        <w:rPr>
          <w:rFonts w:ascii="Arial" w:cs="Arial" w:eastAsia="Arial" w:hAnsi="Arial"/>
          <w:sz w:val="18"/>
          <w:szCs w:val="18"/>
          <w:color w:val="auto"/>
        </w:rPr>
      </w:pPr>
    </w:p>
    <w:p>
      <w:pPr>
        <w:ind w:left="-4" w:right="120" w:firstLine="444"/>
        <w:spacing w:after="0" w:line="270" w:lineRule="auto"/>
        <w:tabs>
          <w:tab w:leader="none" w:pos="682" w:val="left"/>
        </w:tabs>
        <w:numPr>
          <w:ilvl w:val="1"/>
          <w:numId w:val="616"/>
        </w:numPr>
        <w:rPr>
          <w:rFonts w:ascii="Arial" w:cs="Arial" w:eastAsia="Arial" w:hAnsi="Arial"/>
          <w:sz w:val="17"/>
          <w:szCs w:val="17"/>
          <w:color w:val="auto"/>
        </w:rPr>
      </w:pPr>
      <w:r>
        <w:rPr>
          <w:rFonts w:ascii="Arial" w:cs="Arial" w:eastAsia="Arial" w:hAnsi="Arial"/>
          <w:sz w:val="17"/>
          <w:szCs w:val="17"/>
          <w:color w:val="auto"/>
        </w:rPr>
        <w:t>Except as expressly set forth in Sections 8.02, 11.02 and 11.08,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73" w:lineRule="exact"/>
        <w:rPr>
          <w:rFonts w:ascii="Arial" w:cs="Arial" w:eastAsia="Arial" w:hAnsi="Arial"/>
          <w:sz w:val="17"/>
          <w:szCs w:val="17"/>
          <w:color w:val="auto"/>
        </w:rPr>
      </w:pPr>
    </w:p>
    <w:p>
      <w:pPr>
        <w:ind w:left="-4" w:right="40" w:firstLine="444"/>
        <w:spacing w:after="0" w:line="302" w:lineRule="auto"/>
        <w:tabs>
          <w:tab w:leader="none" w:pos="662" w:val="left"/>
        </w:tabs>
        <w:numPr>
          <w:ilvl w:val="1"/>
          <w:numId w:val="616"/>
        </w:numPr>
        <w:rPr>
          <w:rFonts w:ascii="Arial" w:cs="Arial" w:eastAsia="Arial" w:hAnsi="Arial"/>
          <w:sz w:val="16"/>
          <w:szCs w:val="16"/>
          <w:color w:val="auto"/>
        </w:rPr>
      </w:pPr>
      <w:r>
        <w:rPr>
          <w:rFonts w:ascii="Arial" w:cs="Arial" w:eastAsia="Arial" w:hAnsi="Arial"/>
          <w:sz w:val="16"/>
          <w:szCs w:val="16"/>
          <w:color w:val="auto"/>
        </w:rPr>
        <w:t>Except as expressly set forth in Sections 8.02, 11.02 and 11.08, each Subsidiary Guarantor agrees that its Note Guarantee shall remain in full force and effect until payment in full of all the Guaranteed Obligations. Each Subsidiary Guarantor further agrees that its Note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46" w:lineRule="exact"/>
        <w:rPr>
          <w:rFonts w:ascii="Arial" w:cs="Arial" w:eastAsia="Arial" w:hAnsi="Arial"/>
          <w:sz w:val="16"/>
          <w:szCs w:val="16"/>
          <w:color w:val="auto"/>
        </w:rPr>
      </w:pPr>
    </w:p>
    <w:p>
      <w:pPr>
        <w:ind w:left="-4" w:firstLine="444"/>
        <w:spacing w:after="0" w:line="255" w:lineRule="auto"/>
        <w:tabs>
          <w:tab w:leader="none" w:pos="692" w:val="left"/>
        </w:tabs>
        <w:numPr>
          <w:ilvl w:val="1"/>
          <w:numId w:val="616"/>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of any other right which any Holder or the Trustee has at law or in equity against any Subsidiary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(1) the unpaid principal amount of such Guaranteed Obligations, (2) accrued and unpaid interest on such Guaranteed Obligations (but only to the extent not prohibited by law) and (3) all other monetary obligations of the Company to the Holders and the Trustee.</w:t>
      </w:r>
    </w:p>
    <w:p>
      <w:pPr>
        <w:spacing w:after="0" w:line="81" w:lineRule="exact"/>
        <w:rPr>
          <w:rFonts w:ascii="Arial" w:cs="Arial" w:eastAsia="Arial" w:hAnsi="Arial"/>
          <w:sz w:val="18"/>
          <w:szCs w:val="18"/>
          <w:color w:val="auto"/>
        </w:rPr>
      </w:pPr>
    </w:p>
    <w:p>
      <w:pPr>
        <w:ind w:left="-4" w:right="160" w:firstLine="444"/>
        <w:spacing w:after="0" w:line="288" w:lineRule="auto"/>
        <w:tabs>
          <w:tab w:leader="none" w:pos="692" w:val="left"/>
        </w:tabs>
        <w:numPr>
          <w:ilvl w:val="1"/>
          <w:numId w:val="616"/>
        </w:numPr>
        <w:rPr>
          <w:rFonts w:ascii="Arial" w:cs="Arial" w:eastAsia="Arial" w:hAnsi="Arial"/>
          <w:sz w:val="16"/>
          <w:szCs w:val="16"/>
          <w:color w:val="auto"/>
        </w:rPr>
      </w:pPr>
      <w:r>
        <w:rPr>
          <w:rFonts w:ascii="Arial" w:cs="Arial" w:eastAsia="Arial" w:hAnsi="Arial"/>
          <w:sz w:val="16"/>
          <w:szCs w:val="16"/>
          <w:color w:val="auto"/>
        </w:rPr>
        <w:t>Each Subsidiary Guarantor further agrees that, as between it, on the one hand, and the Holders and the Trustee, on the other hand, (1) the maturity of the Guaranteed Obligations guaranteed hereby may be accelerated as provided in Article 6 for the purposes of any Note Guarantee herein, notwithstanding any stay, injunction or other prohibition preventing such acceleration in respect of the Guaranteed Obligations guaranteed hereby, and</w:t>
      </w:r>
    </w:p>
    <w:p>
      <w:pPr>
        <w:ind w:left="-4" w:right="40" w:firstLine="4"/>
        <w:spacing w:after="0" w:line="290" w:lineRule="auto"/>
        <w:tabs>
          <w:tab w:leader="none" w:pos="251" w:val="left"/>
        </w:tabs>
        <w:numPr>
          <w:ilvl w:val="0"/>
          <w:numId w:val="617"/>
        </w:numPr>
        <w:rPr>
          <w:rFonts w:ascii="Arial" w:cs="Arial" w:eastAsia="Arial" w:hAnsi="Arial"/>
          <w:sz w:val="17"/>
          <w:szCs w:val="17"/>
          <w:color w:val="auto"/>
        </w:rPr>
      </w:pPr>
      <w:r>
        <w:rPr>
          <w:rFonts w:ascii="Arial" w:cs="Arial" w:eastAsia="Arial" w:hAnsi="Arial"/>
          <w:sz w:val="17"/>
          <w:szCs w:val="17"/>
          <w:color w:val="auto"/>
        </w:rPr>
        <w:t>in the event of any declaration of acceleration of such Guaranteed Obligations as provided in Article 6, such Guaranteed Obligations (whether or not due and payable) shall forthwith become due and payable by such Subsidiary Guarantor for the purposes of Section 11.01.</w:t>
      </w:r>
    </w:p>
    <w:p>
      <w:pPr>
        <w:spacing w:after="0" w:line="9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96"/>
          </w:cols>
          <w:pgMar w:left="444" w:top="274" w:right="459" w:bottom="1440" w:gutter="0" w:footer="0" w:header="0"/>
        </w:sectPr>
      </w:pPr>
    </w:p>
    <w:bookmarkStart w:id="430" w:name="page431"/>
    <w:bookmarkEnd w:id="430"/>
    <w:p>
      <w:pPr>
        <w:ind w:firstLine="444"/>
        <w:spacing w:after="0" w:line="277" w:lineRule="auto"/>
        <w:tabs>
          <w:tab w:leader="none" w:pos="656" w:val="left"/>
        </w:tabs>
        <w:numPr>
          <w:ilvl w:val="0"/>
          <w:numId w:val="6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Subsidiary Guarantor also agrees to pay any and all costs and expenses (including attorneys’ fees and expenses) incurred by the Trustee in enforcing any rights under Section 11.01.</w:t>
      </w:r>
    </w:p>
    <w:p>
      <w:pPr>
        <w:spacing w:after="0" w:line="62" w:lineRule="exact"/>
        <w:rPr>
          <w:rFonts w:ascii="Arial" w:cs="Arial" w:eastAsia="Arial" w:hAnsi="Arial"/>
          <w:sz w:val="18"/>
          <w:szCs w:val="18"/>
          <w:color w:val="auto"/>
        </w:rPr>
      </w:pPr>
    </w:p>
    <w:p>
      <w:pPr>
        <w:ind w:right="200" w:firstLine="444"/>
        <w:spacing w:after="0" w:line="277" w:lineRule="auto"/>
        <w:tabs>
          <w:tab w:leader="none" w:pos="65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Upon request of the Trustee, each Subsidiary Guarantor shall execute and deliver such further instruments and do such further acts as may be reasonably necessary or proper to carry out more effectively the purpose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Limitation on Liability.</w:t>
      </w:r>
    </w:p>
    <w:p>
      <w:pPr>
        <w:spacing w:after="0" w:line="117"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Any term or provision of this Indenture to the contrary notwithstanding, the maximum aggregate amount of the Guaranteed Obligations guaranteed hereunder by any Subsidiary Guarantor shall not exceed the maximum amount that can be hereby guaranteed by the applicable Subsidiary Guarantor without rendering the Note Guarantee, as it relates to such Subsidiary Guarantor, voidable under applicable law relating to ultra vires, fraudulent conveyance, fraudulent transfer, corporate benefit, financial assistance or similar laws affecting the rights of creditors generally or other considerations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This Article 11 shall be binding upon each Subsidiary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No Waiver.</w:t>
      </w:r>
    </w:p>
    <w:p>
      <w:pPr>
        <w:spacing w:after="0" w:line="11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Neither a failure nor a delay on the part of either the Trustee or the Holders in exercising any right, power or privilege under this Article 11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11 at law, in equity, by statute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Modification.</w:t>
      </w:r>
    </w:p>
    <w:p>
      <w:pPr>
        <w:spacing w:after="0" w:line="117"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No modification, amendment or waiver of any provision of this Article 11,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Execution of Supplemental Indenture for Future Subsidiary Guarantors.</w:t>
      </w:r>
    </w:p>
    <w:p>
      <w:pPr>
        <w:spacing w:after="0" w:line="117"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color w:val="auto"/>
        </w:rPr>
        <w:t>Each Restricted Subsidiary which is required to become a Subsidiary Guarantor pursuant to Section 4.17 hereof shall promptly execute and deliver to the Trustee a supplemental indenture pursuant to which such Subsidiary shall become a Subsidiary Guarantor under this Article 11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Subsidiary Guarantor is a legal, valid and binding obligation of such Subsidiary Guarantor, enforceable against such Subsidiary Guarantor in accordance with its terms and/or to such other matters as the Trustee may reasonably request.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3" w:right="43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11.07 </w:t>
      </w:r>
      <w:r>
        <w:rPr>
          <w:rFonts w:ascii="Arial" w:cs="Arial" w:eastAsia="Arial" w:hAnsi="Arial"/>
          <w:sz w:val="18"/>
          <w:szCs w:val="18"/>
          <w:i w:val="1"/>
          <w:iCs w:val="1"/>
          <w:color w:val="auto"/>
        </w:rPr>
        <w:t>Non-Impairment.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failure to endorse a Note Guarantee on any Note shall not affect or impair the validity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Release of Guarantees.</w:t>
      </w:r>
    </w:p>
    <w:p>
      <w:pPr>
        <w:spacing w:after="0" w:line="117" w:lineRule="exact"/>
        <w:rPr>
          <w:sz w:val="20"/>
          <w:szCs w:val="20"/>
          <w:color w:val="auto"/>
        </w:rPr>
      </w:pPr>
    </w:p>
    <w:p>
      <w:pPr>
        <w:ind w:right="220" w:firstLine="444"/>
        <w:spacing w:after="0" w:line="286" w:lineRule="auto"/>
        <w:tabs>
          <w:tab w:leader="none" w:pos="685" w:val="left"/>
        </w:tabs>
        <w:numPr>
          <w:ilvl w:val="0"/>
          <w:numId w:val="619"/>
        </w:numPr>
        <w:rPr>
          <w:rFonts w:ascii="Arial" w:cs="Arial" w:eastAsia="Arial" w:hAnsi="Arial"/>
          <w:sz w:val="17"/>
          <w:szCs w:val="17"/>
          <w:color w:val="auto"/>
        </w:rPr>
      </w:pPr>
      <w:r>
        <w:rPr>
          <w:rFonts w:ascii="Arial" w:cs="Arial" w:eastAsia="Arial" w:hAnsi="Arial"/>
          <w:sz w:val="17"/>
          <w:szCs w:val="17"/>
          <w:color w:val="auto"/>
        </w:rPr>
        <w:t>Subject to paragraphs (b) and (c), each Note Guarantee, once it becomes due, is a continuing guarantee and shall (i) remain in full force and effect until payment in full of all the Guaranteed Obligations, (ii) be binding upon each Subsidiary Guarantor and its successors and (iii) inure to the benefit of, and be enforceable by, the Trustee, the Holders and their successors, transferees and assigns.</w:t>
      </w:r>
    </w:p>
    <w:p>
      <w:pPr>
        <w:spacing w:after="0" w:line="57" w:lineRule="exact"/>
        <w:rPr>
          <w:rFonts w:ascii="Arial" w:cs="Arial" w:eastAsia="Arial" w:hAnsi="Arial"/>
          <w:sz w:val="17"/>
          <w:szCs w:val="17"/>
          <w:color w:val="auto"/>
        </w:rPr>
      </w:pPr>
    </w:p>
    <w:p>
      <w:pPr>
        <w:ind w:left="700" w:hanging="256"/>
        <w:spacing w:after="0"/>
        <w:tabs>
          <w:tab w:leader="none" w:pos="700" w:val="left"/>
        </w:tabs>
        <w:numPr>
          <w:ilvl w:val="0"/>
          <w:numId w:val="619"/>
        </w:numPr>
        <w:rPr>
          <w:rFonts w:ascii="Arial" w:cs="Arial" w:eastAsia="Arial" w:hAnsi="Arial"/>
          <w:sz w:val="16"/>
          <w:szCs w:val="16"/>
          <w:color w:val="auto"/>
        </w:rPr>
      </w:pPr>
      <w:r>
        <w:rPr>
          <w:rFonts w:ascii="Arial" w:cs="Arial" w:eastAsia="Arial" w:hAnsi="Arial"/>
          <w:sz w:val="16"/>
          <w:szCs w:val="16"/>
          <w:color w:val="auto"/>
        </w:rPr>
        <w:t>The Note Guarantee of a Subsidiary Guarantor with respect to the Notes will be automatically and unconditionally released and discharged:</w:t>
      </w:r>
    </w:p>
    <w:p>
      <w:pPr>
        <w:spacing w:after="0" w:line="140" w:lineRule="exact"/>
        <w:rPr>
          <w:rFonts w:ascii="Arial" w:cs="Arial" w:eastAsia="Arial" w:hAnsi="Arial"/>
          <w:sz w:val="16"/>
          <w:szCs w:val="16"/>
          <w:color w:val="auto"/>
        </w:rPr>
      </w:pPr>
    </w:p>
    <w:p>
      <w:pPr>
        <w:ind w:left="440" w:firstLine="428"/>
        <w:spacing w:after="0" w:line="264" w:lineRule="auto"/>
        <w:tabs>
          <w:tab w:leader="none" w:pos="1118" w:val="left"/>
        </w:tabs>
        <w:numPr>
          <w:ilvl w:val="1"/>
          <w:numId w:val="61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Restricted Subsidiary of the Company, if the sale or other disposition does not violate Section 3.09 or 4.15 hereof;</w:t>
      </w:r>
    </w:p>
    <w:p>
      <w:pPr>
        <w:spacing w:after="0" w:line="73" w:lineRule="exact"/>
        <w:rPr>
          <w:rFonts w:ascii="Arial" w:cs="Arial" w:eastAsia="Arial" w:hAnsi="Arial"/>
          <w:sz w:val="18"/>
          <w:szCs w:val="18"/>
          <w:color w:val="auto"/>
        </w:rPr>
      </w:pPr>
    </w:p>
    <w:p>
      <w:pPr>
        <w:ind w:left="440" w:right="40" w:firstLine="428"/>
        <w:spacing w:after="0" w:line="259" w:lineRule="auto"/>
        <w:tabs>
          <w:tab w:leader="none" w:pos="1118" w:val="left"/>
        </w:tabs>
        <w:numPr>
          <w:ilvl w:val="1"/>
          <w:numId w:val="61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the Capital Stock of that Subsidiary Guarantor to a Person that is not (either before or after giving effect to such transaction) the Company or a Restricted Subsidiary of the Company, if the sale or other disposition does not violate Section 3.09 or 4.15 hereof and such Subsidiary Guarantor ceases to be a Restricted Subsidiary of the Company as a result of such sale or other disposition;</w:t>
      </w:r>
    </w:p>
    <w:p>
      <w:pPr>
        <w:spacing w:after="0" w:line="78" w:lineRule="exact"/>
        <w:rPr>
          <w:rFonts w:ascii="Arial" w:cs="Arial" w:eastAsia="Arial" w:hAnsi="Arial"/>
          <w:sz w:val="18"/>
          <w:szCs w:val="18"/>
          <w:color w:val="auto"/>
        </w:rPr>
      </w:pPr>
    </w:p>
    <w:p>
      <w:pPr>
        <w:ind w:left="440" w:right="80" w:firstLine="428"/>
        <w:spacing w:after="0" w:line="277" w:lineRule="auto"/>
        <w:tabs>
          <w:tab w:leader="none" w:pos="1118" w:val="left"/>
        </w:tabs>
        <w:numPr>
          <w:ilvl w:val="1"/>
          <w:numId w:val="619"/>
        </w:numPr>
        <w:rPr>
          <w:rFonts w:ascii="Arial" w:cs="Arial" w:eastAsia="Arial" w:hAnsi="Arial"/>
          <w:sz w:val="18"/>
          <w:szCs w:val="18"/>
          <w:color w:val="auto"/>
        </w:rPr>
      </w:pPr>
      <w:r>
        <w:rPr>
          <w:rFonts w:ascii="Arial" w:cs="Arial" w:eastAsia="Arial" w:hAnsi="Arial"/>
          <w:sz w:val="18"/>
          <w:szCs w:val="18"/>
          <w:color w:val="auto"/>
        </w:rPr>
        <w:t>if the Company designates any Restricted Subsidiary that is a Subsidiary Guarantor to be an Unrestricted Subsidiary in accordance with Section 4.18 hereof;</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by Articles 8 and 12 of this Indenture;</w:t>
      </w:r>
    </w:p>
    <w:p>
      <w:pPr>
        <w:spacing w:after="0" w:line="117" w:lineRule="exact"/>
        <w:rPr>
          <w:rFonts w:ascii="Arial" w:cs="Arial" w:eastAsia="Arial" w:hAnsi="Arial"/>
          <w:sz w:val="18"/>
          <w:szCs w:val="18"/>
          <w:color w:val="auto"/>
        </w:rPr>
      </w:pPr>
    </w:p>
    <w:p>
      <w:pPr>
        <w:ind w:left="440" w:firstLine="428"/>
        <w:spacing w:after="0" w:line="277" w:lineRule="auto"/>
        <w:tabs>
          <w:tab w:leader="none" w:pos="1118" w:val="left"/>
        </w:tabs>
        <w:numPr>
          <w:ilvl w:val="1"/>
          <w:numId w:val="619"/>
        </w:numPr>
        <w:rPr>
          <w:rFonts w:ascii="Arial" w:cs="Arial" w:eastAsia="Arial" w:hAnsi="Arial"/>
          <w:sz w:val="18"/>
          <w:szCs w:val="18"/>
          <w:color w:val="auto"/>
        </w:rPr>
      </w:pPr>
      <w:r>
        <w:rPr>
          <w:rFonts w:ascii="Arial" w:cs="Arial" w:eastAsia="Arial" w:hAnsi="Arial"/>
          <w:sz w:val="18"/>
          <w:szCs w:val="18"/>
          <w:color w:val="auto"/>
        </w:rPr>
        <w:t>upon payment in full of the principal of, premium, if any, and accrued and unpaid interest on, the Notes and all other Obligations that are then due and payable thereunder;</w:t>
      </w:r>
    </w:p>
    <w:p>
      <w:pPr>
        <w:spacing w:after="0" w:line="62" w:lineRule="exact"/>
        <w:rPr>
          <w:rFonts w:ascii="Arial" w:cs="Arial" w:eastAsia="Arial" w:hAnsi="Arial"/>
          <w:sz w:val="18"/>
          <w:szCs w:val="18"/>
          <w:color w:val="auto"/>
        </w:rPr>
      </w:pPr>
    </w:p>
    <w:p>
      <w:pPr>
        <w:ind w:left="440" w:right="40" w:firstLine="428"/>
        <w:spacing w:after="0" w:line="257" w:lineRule="auto"/>
        <w:tabs>
          <w:tab w:leader="none" w:pos="1118" w:val="left"/>
        </w:tabs>
        <w:numPr>
          <w:ilvl w:val="1"/>
          <w:numId w:val="619"/>
        </w:numPr>
        <w:rPr>
          <w:rFonts w:ascii="Arial" w:cs="Arial" w:eastAsia="Arial" w:hAnsi="Arial"/>
          <w:sz w:val="18"/>
          <w:szCs w:val="18"/>
          <w:color w:val="auto"/>
        </w:rPr>
      </w:pPr>
      <w:r>
        <w:rPr>
          <w:rFonts w:ascii="Arial" w:cs="Arial" w:eastAsia="Arial" w:hAnsi="Arial"/>
          <w:sz w:val="18"/>
          <w:szCs w:val="18"/>
          <w:color w:val="auto"/>
        </w:rPr>
        <w:t>upon the merger or consolidation of any Subsidiary Guarantor with and into the Company or a Wholly-Owned Subsidiary Guarantor (or a Wholly-Owned Restricted Subsidiary that becomes a Subsidiary Guarantor concurrently with the transaction) that is the surviving Person in such merger or consolidation, or upon the liquidation of such Subsidiary Guarantor following the transfer of all or substantially all of its assets to the Company or a Wholly-Owned Subsidiary Guarantor (or a Wholly-Owned Restricted Subsidiary that becomes a Subsidiary Guarantor concurrently with the transaction); or</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117" w:lineRule="exact"/>
        <w:rPr>
          <w:rFonts w:ascii="Arial" w:cs="Arial" w:eastAsia="Arial" w:hAnsi="Arial"/>
          <w:sz w:val="18"/>
          <w:szCs w:val="18"/>
          <w:color w:val="auto"/>
        </w:rPr>
      </w:pPr>
    </w:p>
    <w:p>
      <w:pPr>
        <w:ind w:right="100" w:firstLine="444"/>
        <w:spacing w:after="0" w:line="308" w:lineRule="auto"/>
        <w:tabs>
          <w:tab w:leader="none" w:pos="685" w:val="left"/>
        </w:tabs>
        <w:numPr>
          <w:ilvl w:val="0"/>
          <w:numId w:val="619"/>
        </w:numPr>
        <w:rPr>
          <w:rFonts w:ascii="Arial" w:cs="Arial" w:eastAsia="Arial" w:hAnsi="Arial"/>
          <w:sz w:val="17"/>
          <w:szCs w:val="17"/>
          <w:color w:val="auto"/>
        </w:rPr>
      </w:pPr>
      <w:r>
        <w:rPr>
          <w:rFonts w:ascii="Arial" w:cs="Arial" w:eastAsia="Arial" w:hAnsi="Arial"/>
          <w:sz w:val="17"/>
          <w:szCs w:val="17"/>
          <w:color w:val="auto"/>
        </w:rPr>
        <w:t>Each Holder hereby authorizes the Trustee to take all actions to effectuate any release in accordance with the provisions of this Section 11.08, subject to customary and reasonably satisfactory protections and indemnifications provided by the Company to the Trustee.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Satisfaction and Discharge.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117" w:lineRule="exact"/>
        <w:rPr>
          <w:sz w:val="20"/>
          <w:szCs w:val="20"/>
          <w:color w:val="auto"/>
        </w:rPr>
      </w:pPr>
    </w:p>
    <w:p>
      <w:pPr>
        <w:ind w:left="1120" w:hanging="252"/>
        <w:spacing w:after="0"/>
        <w:tabs>
          <w:tab w:leader="none" w:pos="112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880" w:right="100" w:firstLine="411"/>
        <w:spacing w:after="0" w:line="264" w:lineRule="auto"/>
        <w:tabs>
          <w:tab w:leader="none" w:pos="158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3" w:lineRule="exact"/>
        <w:rPr>
          <w:rFonts w:ascii="Arial" w:cs="Arial" w:eastAsia="Arial" w:hAnsi="Arial"/>
          <w:sz w:val="18"/>
          <w:szCs w:val="18"/>
          <w:color w:val="auto"/>
        </w:rPr>
      </w:pPr>
    </w:p>
    <w:p>
      <w:pPr>
        <w:ind w:left="880" w:firstLine="411"/>
        <w:spacing w:after="0" w:line="273" w:lineRule="auto"/>
        <w:tabs>
          <w:tab w:leader="none" w:pos="1570" w:val="left"/>
        </w:tabs>
        <w:numPr>
          <w:ilvl w:val="1"/>
          <w:numId w:val="620"/>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as trust funds in trust solely for the benefit of the Holders, cash in U.S. dollars, non-callable U.S. Government Obligations, or a combination of cash in U.S. dollars and non-callable U.S. Government Obligations,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70" w:lineRule="exact"/>
        <w:rPr>
          <w:rFonts w:ascii="Arial" w:cs="Arial" w:eastAsia="Arial" w:hAnsi="Arial"/>
          <w:sz w:val="17"/>
          <w:szCs w:val="17"/>
          <w:color w:val="auto"/>
        </w:rPr>
      </w:pPr>
    </w:p>
    <w:p>
      <w:pPr>
        <w:jc w:val="both"/>
        <w:ind w:left="440" w:right="340" w:firstLine="428"/>
        <w:spacing w:after="0" w:line="259" w:lineRule="auto"/>
        <w:tabs>
          <w:tab w:leader="none" w:pos="1118" w:val="left"/>
        </w:tabs>
        <w:numPr>
          <w:ilvl w:val="0"/>
          <w:numId w:val="62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Company or any Subsidiary Guarantor has paid or caused to be paid all sums payable by it under this Indenture; and</w:t>
      </w:r>
    </w:p>
    <w:p>
      <w:pPr>
        <w:spacing w:after="0" w:line="117" w:lineRule="exact"/>
        <w:rPr>
          <w:rFonts w:ascii="Arial" w:cs="Arial" w:eastAsia="Arial" w:hAnsi="Arial"/>
          <w:sz w:val="18"/>
          <w:szCs w:val="18"/>
          <w:color w:val="auto"/>
        </w:rPr>
      </w:pPr>
    </w:p>
    <w:p>
      <w:pPr>
        <w:ind w:left="440" w:right="40" w:firstLine="428"/>
        <w:spacing w:after="0" w:line="277" w:lineRule="auto"/>
        <w:tabs>
          <w:tab w:leader="none" w:pos="1118"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the Company must deliver an Officer’s Certificate of the Company and an Opinion of Counsel to the Trustee stating that all conditions precedent to satisfaction and discharge have been satisfied.</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 clause (b) of clause (1) of this Section 12.01, the provisions of Sections 12.02 and 8.06 hereof will survive.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Application of Trust Money.</w:t>
      </w:r>
    </w:p>
    <w:p>
      <w:pPr>
        <w:spacing w:after="0" w:line="117"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0" w:right="439" w:bottom="1440" w:gutter="0" w:footer="0" w:header="0"/>
        </w:sectPr>
      </w:pPr>
    </w:p>
    <w:bookmarkStart w:id="433" w:name="page434"/>
    <w:bookmarkEnd w:id="433"/>
    <w:p>
      <w:pPr>
        <w:ind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Company has made any payment of principal of, premium,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[Intentionally Omitted].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Notices.</w:t>
      </w:r>
    </w:p>
    <w:p>
      <w:pPr>
        <w:spacing w:after="0" w:line="11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Any notice or communication by the Company or the Trustee to the others is duly given if in writing, in the English language, and delivered in Person or by first class mail (registered or certified, return receipt requested), facsimile transmission, electronic mail (in pdf format) or overnight air courier guaranteeing next day delivery, to the others’ address:</w:t>
      </w:r>
    </w:p>
    <w:p>
      <w:pPr>
        <w:spacing w:after="0" w:line="73" w:lineRule="exact"/>
        <w:rPr>
          <w:sz w:val="20"/>
          <w:szCs w:val="20"/>
          <w:color w:val="auto"/>
        </w:rPr>
      </w:pPr>
    </w:p>
    <w:p>
      <w:pPr>
        <w:ind w:left="440" w:right="40"/>
        <w:spacing w:after="0" w:line="342" w:lineRule="auto"/>
        <w:rPr>
          <w:sz w:val="20"/>
          <w:szCs w:val="20"/>
          <w:color w:val="auto"/>
        </w:rPr>
      </w:pPr>
      <w:r>
        <w:rPr>
          <w:rFonts w:ascii="Arial" w:cs="Arial" w:eastAsia="Arial" w:hAnsi="Arial"/>
          <w:sz w:val="16"/>
          <w:szCs w:val="16"/>
          <w:color w:val="auto"/>
        </w:rPr>
        <w:t>If to the Company, Studio City Investments Limited, Studio City Company Limited, Studio City Holdings Two Limited, Studio City Holdings Three Limited, Studio City Holdings Four Limited, SCP Holdings Limited, SCIP Holdings Limited, SCP One Limited and/or SCP Two Limited:</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Jayla Place, Wickhams Cay 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British Virgin Islands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If to Studio City Services Limited, Studio City Entertainment Limited, Studio City Hotels Limited, Studio City Hospitality and Services Limited, Studio City Retail Services Limited and/or Studio City Developments Limited: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Rua de Évora, nos 199-207</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Edifício Flower City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andar, A1, Taipa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20"/>
          </w:cols>
          <w:pgMar w:left="440" w:top="274" w:right="539" w:bottom="1440" w:gutter="0" w:footer="0" w:header="0"/>
        </w:sectPr>
      </w:pPr>
    </w:p>
    <w:bookmarkStart w:id="434" w:name="page435"/>
    <w:bookmarkEnd w:id="4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Ashurst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11/F Jardine House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Connaught Place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2868 0898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Anna-Marie Slot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Studio City (HK) Two Limited: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36th Floor, The Centrium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 the Paying Agent, Registrar and Transfer Agent: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Trust Company Americas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 16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NYC60-1630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(732) 578-4635</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Corporates Team – Studio City Finance Limited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National Trust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Deutsche Bank Trust Company Americas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 Plaza One – 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JCY03-0801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Jersey City, NJ 07311-3901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Corporates Team – Studio City Finance Limited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(732) 578-4635</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Company, any Subsidiary Guarantor, the Trustee and any Agent, by notice to the others, may designate additional or different addresses for subsequent notices or communications.</w:t>
      </w:r>
    </w:p>
    <w:p>
      <w:pPr>
        <w:spacing w:after="0" w:line="170"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4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20"/>
          </w:cols>
          <w:pgMar w:left="440" w:top="274" w:right="53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13.03 </w:t>
      </w:r>
      <w:r>
        <w:rPr>
          <w:rFonts w:ascii="Arial" w:cs="Arial" w:eastAsia="Arial" w:hAnsi="Arial"/>
          <w:sz w:val="18"/>
          <w:szCs w:val="18"/>
          <w:i w:val="1"/>
          <w:iCs w:val="1"/>
          <w:color w:val="auto"/>
        </w:rPr>
        <w:t>Communication by Holders of Notes with Other Holders of 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Certificate and Opinion as to Conditions Precedent.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jc w:val="both"/>
        <w:ind w:left="440" w:right="420" w:firstLine="428"/>
        <w:spacing w:after="0" w:line="264" w:lineRule="auto"/>
        <w:tabs>
          <w:tab w:leader="none" w:pos="1118"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73" w:lineRule="exact"/>
        <w:rPr>
          <w:rFonts w:ascii="Arial" w:cs="Arial" w:eastAsia="Arial" w:hAnsi="Arial"/>
          <w:sz w:val="18"/>
          <w:szCs w:val="18"/>
          <w:color w:val="auto"/>
        </w:rPr>
      </w:pPr>
    </w:p>
    <w:p>
      <w:pPr>
        <w:ind w:left="440" w:right="460" w:firstLine="428"/>
        <w:spacing w:after="0" w:line="342" w:lineRule="auto"/>
        <w:tabs>
          <w:tab w:leader="none" w:pos="1118" w:val="left"/>
        </w:tabs>
        <w:numPr>
          <w:ilvl w:val="0"/>
          <w:numId w:val="621"/>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Statements Required in Certificate or Opinion.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52"/>
        <w:spacing w:after="0"/>
        <w:tabs>
          <w:tab w:leader="none" w:pos="112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28"/>
        <w:spacing w:after="0" w:line="277" w:lineRule="auto"/>
        <w:tabs>
          <w:tab w:leader="none" w:pos="1118" w:val="left"/>
        </w:tabs>
        <w:numPr>
          <w:ilvl w:val="0"/>
          <w:numId w:val="62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62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Rules by Trustee and Agents.</w:t>
      </w:r>
    </w:p>
    <w:p>
      <w:pPr>
        <w:spacing w:after="0" w:line="11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No Personal Liability of Directors, Officers, Employees and Stockholders.</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No past, present or future director, officer, employee, incorporator or stockholder of the Company or any Subsidiary Guarantor, as such, will have any liability for any obligations of the Company or the Subsidiary Guarantors under the Notes, this Indenture or the Notes Guarantees,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Governing Law.</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LAWS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3" w:right="47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13.09 </w:t>
      </w:r>
      <w:r>
        <w:rPr>
          <w:rFonts w:ascii="Arial" w:cs="Arial" w:eastAsia="Arial" w:hAnsi="Arial"/>
          <w:sz w:val="18"/>
          <w:szCs w:val="18"/>
          <w:i w:val="1"/>
          <w:iCs w:val="1"/>
          <w:color w:val="auto"/>
        </w:rPr>
        <w:t>No Adverse Interpretation of Other 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Successors.</w:t>
      </w:r>
    </w:p>
    <w:p>
      <w:pPr>
        <w:spacing w:after="0" w:line="117"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and each Agent in this Indenture will bind their respective successors. All agreements of each Subsidiary Guarantor in this Indenture will bind their respective successors, except as otherwise provided in Section 11.05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Severability.</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 Originals.</w:t>
      </w:r>
    </w:p>
    <w:p>
      <w:pPr>
        <w:spacing w:after="0" w:line="11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Table of Contents, Headings, etc.</w:t>
      </w:r>
    </w:p>
    <w:p>
      <w:pPr>
        <w:spacing w:after="0" w:line="117"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i w:val="1"/>
          <w:iCs w:val="1"/>
          <w:color w:val="auto"/>
        </w:rPr>
        <w:t>Patriot Act</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Law.</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3" w:right="47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13.15 </w:t>
      </w:r>
      <w:r>
        <w:rPr>
          <w:rFonts w:ascii="Arial" w:cs="Arial" w:eastAsia="Arial" w:hAnsi="Arial"/>
          <w:sz w:val="18"/>
          <w:szCs w:val="18"/>
          <w:i w:val="1"/>
          <w:iCs w:val="1"/>
          <w:color w:val="auto"/>
        </w:rPr>
        <w:t>Submission to Jurisdiction; Waiver of Jury Trial</w:t>
      </w:r>
    </w:p>
    <w:p>
      <w:pPr>
        <w:spacing w:after="0" w:line="117" w:lineRule="exact"/>
        <w:rPr>
          <w:sz w:val="20"/>
          <w:szCs w:val="20"/>
          <w:color w:val="auto"/>
        </w:rPr>
      </w:pPr>
    </w:p>
    <w:p>
      <w:pPr>
        <w:ind w:firstLine="441"/>
        <w:spacing w:after="0" w:line="251" w:lineRule="auto"/>
        <w:rPr>
          <w:sz w:val="20"/>
          <w:szCs w:val="20"/>
          <w:color w:val="auto"/>
        </w:rPr>
      </w:pPr>
      <w:r>
        <w:rPr>
          <w:rFonts w:ascii="Arial" w:cs="Arial" w:eastAsia="Arial" w:hAnsi="Arial"/>
          <w:sz w:val="18"/>
          <w:szCs w:val="18"/>
          <w:color w:val="auto"/>
        </w:rPr>
        <w:t>THE COMPANY AND EACH SUBSIDIARY GUARANTOR HEREBY SUBMITS TO THE NON-EXCLUSIVE JURISDICTION OF THE FEDERAL AND STATE COURTS IN THE BOROUGH OF MANHATTAN IN THE CITY OF NEW YORK IN ANY SUIT OR PROCEEDING ARISING OUT OF OR RELATING TO THIS AGREEMENT OR THE TRANSACTIONS CONTEMPLATED HEREBY. THE COMPANY AND EACH SUBSIDIARY GUARANTOR IRREVOCABLY AND UNCONDITIONALLY WAIVES ANY OBJECTION TO THE LAYING OF VENUE OF ANY SUIT OR PROCEEDING ARISING OUT OF OR RELATING TO THIS INDENTURE, THE NOTE GUARANTEES,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AND EACH SUBSIDIARY GUARANTOR IRREVOCABLY APPOINTS LAW DEBENTURE CORPORATE SERVICES INC., 4</w:t>
      </w:r>
      <w:r>
        <w:rPr>
          <w:rFonts w:ascii="Arial" w:cs="Arial" w:eastAsia="Arial" w:hAnsi="Arial"/>
          <w:sz w:val="15"/>
          <w:szCs w:val="15"/>
          <w:color w:val="auto"/>
        </w:rPr>
        <w:t>TH</w:t>
      </w:r>
      <w:r>
        <w:rPr>
          <w:rFonts w:ascii="Arial" w:cs="Arial" w:eastAsia="Arial" w:hAnsi="Arial"/>
          <w:sz w:val="18"/>
          <w:szCs w:val="18"/>
          <w:color w:val="auto"/>
        </w:rPr>
        <w:t xml:space="preserve"> FLOOR, 400 MADISON AVENUE, NEW YORK, NEW YORK, 10017,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OR ANY SUBSIDIARY GUARANTOR, AS THE CASE MAY BE, IN ANY SUCH SUIT OR PROCEEDING. THE COMPANY AND EACH SUBSIDIARY GUARANTOR FURTHER AGREES TO TAKE ANY AND ALL ACTION AS MAY BE NECESSARY TO MAINTAIN SUCH DESIGNATION AND APPOINTMENT OF SUCH AGENT IN FULL FORCE AND EFFECT FOR SO LONG AS THE NOTES ARE OUTSTANDING FROM THE DATE OF THIS INDENTURE.</w:t>
      </w:r>
    </w:p>
    <w:p>
      <w:pPr>
        <w:spacing w:after="0" w:line="20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EACH PARTY HERETO HEREBY WAIVES ITS RIGHTS TO A JURY TRIAL OF ANY CLAIM OR CAUSE OF ACTION BASED UPON OR ARISING OUT OF THIS INDENTURE, THE NOTES, THE NOTE GUARANTEES,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440" w:top="274" w:right="439" w:bottom="1440" w:gutter="0" w:footer="0" w:header="0"/>
        </w:sectPr>
      </w:pPr>
    </w:p>
    <w:bookmarkStart w:id="438" w:name="page439"/>
    <w:bookmarkEnd w:id="438"/>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THERE LIMITED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 INDENTURE]</w:t>
      </w:r>
    </w:p>
    <w:p>
      <w:pPr>
        <w:sectPr>
          <w:pgSz w:w="11900" w:h="16838" w:orient="portrait"/>
          <w:cols w:equalWidth="0" w:num="1">
            <w:col w:w="10120"/>
          </w:cols>
          <w:pgMar w:left="440" w:top="270" w:right="1339" w:bottom="1440" w:gutter="0" w:footer="0" w:header="0"/>
        </w:sectPr>
      </w:pPr>
    </w:p>
    <w:bookmarkStart w:id="439" w:name="page440"/>
    <w:bookmarkEnd w:id="4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[SIGNATURE PAGE - INDENTURE]</w:t>
      </w:r>
    </w:p>
    <w:p>
      <w:pPr>
        <w:sectPr>
          <w:pgSz w:w="11900" w:h="16838" w:orient="portrait"/>
          <w:cols w:equalWidth="0" w:num="1">
            <w:col w:w="9260"/>
          </w:cols>
          <w:pgMar w:left="1440" w:top="274" w:right="1199" w:bottom="1440" w:gutter="0" w:footer="0" w:header="0"/>
        </w:sectPr>
      </w:pPr>
    </w:p>
    <w:bookmarkStart w:id="440" w:name="page441"/>
    <w:bookmarkEnd w:id="4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Evan A.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Evan A. Winkler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Evan A.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Evan A. Winkler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[SIGNATURE PAGE - INDENTURE]</w:t>
      </w:r>
    </w:p>
    <w:p>
      <w:pPr>
        <w:sectPr>
          <w:pgSz w:w="11900" w:h="16838" w:orient="portrait"/>
          <w:cols w:equalWidth="0" w:num="1">
            <w:col w:w="9260"/>
          </w:cols>
          <w:pgMar w:left="1440" w:top="273" w:right="1199" w:bottom="1440" w:gutter="0" w:footer="0" w:header="0"/>
        </w:sectPr>
      </w:pPr>
    </w:p>
    <w:bookmarkStart w:id="441" w:name="page442"/>
    <w:bookmarkEnd w:id="4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Stephanie Cheung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[SIGNATURE PAGE – INDENTURE]</w:t>
      </w:r>
    </w:p>
    <w:p>
      <w:pPr>
        <w:sectPr>
          <w:pgSz w:w="11900" w:h="16838" w:orient="portrait"/>
          <w:cols w:equalWidth="0" w:num="1">
            <w:col w:w="9080"/>
          </w:cols>
          <w:pgMar w:left="1440" w:top="273" w:right="1379" w:bottom="1440" w:gutter="0" w:footer="0" w:header="0"/>
        </w:sectPr>
      </w:pPr>
    </w:p>
    <w:bookmarkStart w:id="442" w:name="page443"/>
    <w:bookmarkEnd w:id="44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S.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S. Peschler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Paying Agent, Registrar and Transfer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S.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S. Peschler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[SIGNATURE PAGE – INDENTURE]</w:t>
      </w:r>
    </w:p>
    <w:p>
      <w:pPr>
        <w:sectPr>
          <w:pgSz w:w="11900" w:h="16838" w:orient="portrait"/>
          <w:cols w:equalWidth="0" w:num="1">
            <w:col w:w="9880"/>
          </w:cols>
          <w:pgMar w:left="1440" w:top="274" w:right="579" w:bottom="1440" w:gutter="0" w:footer="0" w:header="0"/>
        </w:sectPr>
      </w:pPr>
    </w:p>
    <w:bookmarkStart w:id="443" w:name="page444"/>
    <w:bookmarkEnd w:id="443"/>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997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the provisions of the Indenture</w:t>
      </w:r>
      <w:r>
        <w:rPr>
          <w:rFonts w:ascii="Arial" w:cs="Arial" w:eastAsia="Arial" w:hAnsi="Arial"/>
          <w:sz w:val="18"/>
          <w:szCs w:val="18"/>
          <w:color w:val="auto"/>
        </w:rPr>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ISIN: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COMMON CODE: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7.250% Senior Notes due 2024</w:t>
      </w:r>
    </w:p>
    <w:p>
      <w:pPr>
        <w:sectPr>
          <w:pgSz w:w="11900" w:h="16838" w:orient="portrait"/>
          <w:cols w:equalWidth="0" w:num="1">
            <w:col w:w="11020"/>
          </w:cols>
          <w:pgMar w:left="440" w:top="270"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8140" w:space="720"/>
            <w:col w:w="2160"/>
          </w:cols>
          <w:pgMar w:left="440" w:top="270" w:right="4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STUDIO CITY FINANCE LIMITED</w:t>
      </w:r>
    </w:p>
    <w:p>
      <w:pPr>
        <w:sectPr>
          <w:pgSz w:w="11900" w:h="16838" w:orient="portrait"/>
          <w:cols w:equalWidth="0" w:num="1">
            <w:col w:w="11020"/>
          </w:cols>
          <w:pgMar w:left="440" w:top="270" w:right="4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 Cede &amp; Co. or its registered assigns, the principal sum of __________ [</w:t>
      </w:r>
      <w:r>
        <w:rPr>
          <w:rFonts w:ascii="Arial" w:cs="Arial" w:eastAsia="Arial" w:hAnsi="Arial"/>
          <w:sz w:val="16"/>
          <w:szCs w:val="16"/>
          <w:i w:val="1"/>
          <w:iCs w:val="1"/>
          <w:color w:val="auto"/>
        </w:rPr>
        <w:t>NUMBER IN WORDS</w:t>
      </w:r>
      <w:r>
        <w:rPr>
          <w:rFonts w:ascii="Arial" w:cs="Arial" w:eastAsia="Arial" w:hAnsi="Arial"/>
          <w:sz w:val="16"/>
          <w:szCs w:val="16"/>
          <w:color w:val="auto"/>
        </w:rPr>
        <w:t>] February 11,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11 and August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27 and July 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270" w:right="439" w:bottom="1440" w:gutter="0" w:footer="0" w:header="0"/>
          <w:type w:val="continuous"/>
        </w:sectPr>
      </w:pPr>
    </w:p>
    <w:bookmarkStart w:id="444" w:name="page445"/>
    <w:bookmarkEnd w:id="44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signed manually or by facsimile by the duly authorized officers referred to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740"/>
          </w:cols>
          <w:pgMar w:left="440" w:top="274" w:right="719" w:bottom="1440" w:gutter="0" w:footer="0" w:header="0"/>
        </w:sectPr>
      </w:pPr>
    </w:p>
    <w:bookmarkStart w:id="445" w:name="page446"/>
    <w:bookmarkEnd w:id="445"/>
    <w:p>
      <w:pPr>
        <w:ind w:left="4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Authentication</w:t>
      </w:r>
    </w:p>
    <w:p>
      <w:pPr>
        <w:spacing w:after="0" w:line="25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This is one of the Notes referred to in the within-mentioned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Trustee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019"/>
          </w:cols>
          <w:pgMar w:left="440" w:top="269" w:right="1440" w:bottom="1440" w:gutter="0" w:footer="0" w:header="0"/>
        </w:sectPr>
      </w:pPr>
    </w:p>
    <w:bookmarkStart w:id="446" w:name="page447"/>
    <w:bookmarkEnd w:id="446"/>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STUDIO CITY FINANCE LIMITED</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7.250% SENIOR NOTES DUE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firstLine="428"/>
        <w:spacing w:after="0" w:line="269" w:lineRule="auto"/>
        <w:tabs>
          <w:tab w:leader="none" w:pos="678" w:val="left"/>
        </w:tabs>
        <w:numPr>
          <w:ilvl w:val="0"/>
          <w:numId w:val="623"/>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4"/>
          <w:szCs w:val="14"/>
          <w:i w:val="1"/>
          <w:iCs w:val="1"/>
          <w:color w:val="auto"/>
        </w:rPr>
        <w:t>NTEREST</w:t>
      </w:r>
      <w:r>
        <w:rPr>
          <w:rFonts w:ascii="Arial" w:cs="Arial" w:eastAsia="Arial" w:hAnsi="Arial"/>
          <w:sz w:val="17"/>
          <w:szCs w:val="17"/>
          <w:color w:val="auto"/>
        </w:rPr>
        <w:t>. Studio City Finance Limited, a BVI business company with limited liability incorporated under the laws of the British Virgin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(the “</w:t>
      </w:r>
      <w:r>
        <w:rPr>
          <w:rFonts w:ascii="Arial" w:cs="Arial" w:eastAsia="Arial" w:hAnsi="Arial"/>
          <w:sz w:val="17"/>
          <w:szCs w:val="17"/>
          <w:i w:val="1"/>
          <w:iCs w:val="1"/>
          <w:color w:val="auto"/>
        </w:rPr>
        <w:t>Company</w:t>
      </w:r>
      <w:r>
        <w:rPr>
          <w:rFonts w:ascii="Arial" w:cs="Arial" w:eastAsia="Arial" w:hAnsi="Arial"/>
          <w:sz w:val="17"/>
          <w:szCs w:val="17"/>
          <w:color w:val="auto"/>
        </w:rPr>
        <w:t>”), promises to pay interest on the principal amount of this Note at 7.250% per annum from August 11, 2019 until maturity. The Company will pay interest and Additional Amounts, if any, semi-annually in arrears on February 11 and August 11 of each year, or if any such day is not a Business Day, on the next succeeding Business Day (each, an “</w:t>
      </w:r>
      <w:r>
        <w:rPr>
          <w:rFonts w:ascii="Arial" w:cs="Arial" w:eastAsia="Arial" w:hAnsi="Arial"/>
          <w:sz w:val="17"/>
          <w:szCs w:val="17"/>
          <w:i w:val="1"/>
          <w:iCs w:val="1"/>
          <w:color w:val="auto"/>
        </w:rPr>
        <w:t>Interest Payment Date</w:t>
      </w:r>
      <w:r>
        <w:rPr>
          <w:rFonts w:ascii="Arial" w:cs="Arial" w:eastAsia="Arial" w:hAnsi="Arial"/>
          <w:sz w:val="17"/>
          <w:szCs w:val="17"/>
          <w:color w:val="auto"/>
        </w:rPr>
        <w:t xml:space="preserve">”). Interest on the Notes will accrue from the most recent date to which interest has been paid or, if no interest has been paid, from the date of issuance;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first Interest Payment Date shall be August 11, 2019. 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 Interest will be computed on the basis of a 360-day year of twelve 30-day months.</w:t>
      </w:r>
    </w:p>
    <w:p>
      <w:pPr>
        <w:spacing w:after="0" w:line="71" w:lineRule="exact"/>
        <w:rPr>
          <w:rFonts w:ascii="Arial" w:cs="Arial" w:eastAsia="Arial" w:hAnsi="Arial"/>
          <w:sz w:val="17"/>
          <w:szCs w:val="17"/>
          <w:color w:val="auto"/>
        </w:rPr>
      </w:pPr>
    </w:p>
    <w:p>
      <w:pPr>
        <w:ind w:right="20" w:firstLine="428"/>
        <w:spacing w:after="0" w:line="288" w:lineRule="auto"/>
        <w:tabs>
          <w:tab w:leader="none" w:pos="678" w:val="left"/>
        </w:tabs>
        <w:numPr>
          <w:ilvl w:val="0"/>
          <w:numId w:val="623"/>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3"/>
          <w:szCs w:val="13"/>
          <w:i w:val="1"/>
          <w:iCs w:val="1"/>
          <w:color w:val="auto"/>
        </w:rPr>
        <w:t>ETHOD OF</w:t>
      </w:r>
      <w:r>
        <w:rPr>
          <w:rFonts w:ascii="Arial" w:cs="Arial" w:eastAsia="Arial" w:hAnsi="Arial"/>
          <w:sz w:val="16"/>
          <w:szCs w:val="16"/>
          <w:i w:val="1"/>
          <w:iCs w:val="1"/>
          <w:color w:val="auto"/>
        </w:rPr>
        <w:t xml:space="preserve"> P</w:t>
      </w:r>
      <w:r>
        <w:rPr>
          <w:rFonts w:ascii="Arial" w:cs="Arial" w:eastAsia="Arial" w:hAnsi="Arial"/>
          <w:sz w:val="13"/>
          <w:szCs w:val="13"/>
          <w:i w:val="1"/>
          <w:iCs w:val="1"/>
          <w:color w:val="auto"/>
        </w:rPr>
        <w:t>AYMENT</w:t>
      </w:r>
      <w:r>
        <w:rPr>
          <w:rFonts w:ascii="Arial" w:cs="Arial" w:eastAsia="Arial" w:hAnsi="Arial"/>
          <w:sz w:val="16"/>
          <w:szCs w:val="16"/>
          <w:color w:val="auto"/>
        </w:rPr>
        <w:t>. The Company will pay interest on the Notes (except defaulted interest) and Additional Amounts, if 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Persons who are registered Holders of Notes at the close of business on January 27 or July 27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addresses set forth in the register of Holders;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payment by wire transfer of immediately available funds will be required with respect to principal of and interest, premium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Amounts, if any, on, all Global Notes and all other Notes, the Holders of which will have provided wire transfer instructions to the Company or the Paying Agent, and shall so notify the Trustee and the Paying Agent thereof. Such payment will be in such coin or currency of the United States of America as at the time of payment is legal tender for payment of public and private debts.</w:t>
      </w:r>
    </w:p>
    <w:p>
      <w:pPr>
        <w:spacing w:after="0" w:line="61" w:lineRule="exact"/>
        <w:rPr>
          <w:rFonts w:ascii="Arial" w:cs="Arial" w:eastAsia="Arial" w:hAnsi="Arial"/>
          <w:sz w:val="16"/>
          <w:szCs w:val="16"/>
          <w:color w:val="auto"/>
        </w:rPr>
      </w:pPr>
    </w:p>
    <w:p>
      <w:pPr>
        <w:ind w:right="380" w:firstLine="428"/>
        <w:spacing w:after="0" w:line="264" w:lineRule="auto"/>
        <w:tabs>
          <w:tab w:leader="none" w:pos="678" w:val="left"/>
        </w:tabs>
        <w:numPr>
          <w:ilvl w:val="0"/>
          <w:numId w:val="623"/>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5"/>
          <w:szCs w:val="15"/>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5"/>
          <w:szCs w:val="15"/>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EGISTRAR</w:t>
      </w:r>
      <w:r>
        <w:rPr>
          <w:rFonts w:ascii="Arial" w:cs="Arial" w:eastAsia="Arial" w:hAnsi="Arial"/>
          <w:sz w:val="18"/>
          <w:szCs w:val="18"/>
          <w:color w:val="auto"/>
        </w:rPr>
        <w:t>. Initially, Deutsche Bank Trust Company Americas will act as Paying Agent, Registrar and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Company may change any Paying Agent, Transfer Agent or Registrar without notice to any Holder. The Company or any of its Subsidiaries may act in any such capacity.</w:t>
      </w:r>
    </w:p>
    <w:p>
      <w:pPr>
        <w:spacing w:after="0" w:line="73" w:lineRule="exact"/>
        <w:rPr>
          <w:rFonts w:ascii="Arial" w:cs="Arial" w:eastAsia="Arial" w:hAnsi="Arial"/>
          <w:sz w:val="18"/>
          <w:szCs w:val="18"/>
          <w:color w:val="auto"/>
        </w:rPr>
      </w:pPr>
    </w:p>
    <w:p>
      <w:pPr>
        <w:ind w:right="80" w:firstLine="428"/>
        <w:spacing w:after="0" w:line="297" w:lineRule="auto"/>
        <w:tabs>
          <w:tab w:leader="none" w:pos="678" w:val="left"/>
        </w:tabs>
        <w:numPr>
          <w:ilvl w:val="0"/>
          <w:numId w:val="623"/>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3"/>
          <w:szCs w:val="13"/>
          <w:i w:val="1"/>
          <w:iCs w:val="1"/>
          <w:color w:val="auto"/>
        </w:rPr>
        <w:t>NDENTURE</w:t>
      </w:r>
      <w:r>
        <w:rPr>
          <w:rFonts w:ascii="Arial" w:cs="Arial" w:eastAsia="Arial" w:hAnsi="Arial"/>
          <w:sz w:val="16"/>
          <w:szCs w:val="16"/>
          <w:color w:val="auto"/>
        </w:rPr>
        <w:t>. The Company issued the Notes under an Indenture dated as of February 11, 2019 (the “</w:t>
      </w:r>
      <w:r>
        <w:rPr>
          <w:rFonts w:ascii="Arial" w:cs="Arial" w:eastAsia="Arial" w:hAnsi="Arial"/>
          <w:sz w:val="16"/>
          <w:szCs w:val="16"/>
          <w:i w:val="1"/>
          <w:iCs w:val="1"/>
          <w:color w:val="auto"/>
        </w:rPr>
        <w:t>Indenture</w:t>
      </w:r>
      <w:r>
        <w:rPr>
          <w:rFonts w:ascii="Arial" w:cs="Arial" w:eastAsia="Arial" w:hAnsi="Arial"/>
          <w:sz w:val="16"/>
          <w:szCs w:val="16"/>
          <w:color w:val="auto"/>
        </w:rPr>
        <w:t>”) among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each Subsidiary Guarantor, the Trustee, the Paying Agent, the Registrar and other persons from time to time party thereto.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Indenture does not limit the aggregate principal amount of Notes that may be issued thereunder.</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560"/>
          </w:cols>
          <w:pgMar w:left="880" w:top="274" w:right="459" w:bottom="1440" w:gutter="0" w:footer="0" w:header="0"/>
        </w:sectPr>
      </w:pPr>
    </w:p>
    <w:bookmarkStart w:id="447" w:name="page448"/>
    <w:bookmarkEnd w:id="447"/>
    <w:p>
      <w:pPr>
        <w:ind w:left="680" w:hanging="252"/>
        <w:spacing w:after="0"/>
        <w:tabs>
          <w:tab w:leader="none" w:pos="680" w:val="left"/>
        </w:tabs>
        <w:numPr>
          <w:ilvl w:val="0"/>
          <w:numId w:val="6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t>
      </w:r>
      <w:r>
        <w:rPr>
          <w:rFonts w:ascii="Arial" w:cs="Arial" w:eastAsia="Arial" w:hAnsi="Arial"/>
          <w:sz w:val="15"/>
          <w:szCs w:val="15"/>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EDEMPTION</w:t>
      </w:r>
      <w:r>
        <w:rPr>
          <w:rFonts w:ascii="Arial" w:cs="Arial" w:eastAsia="Arial" w:hAnsi="Arial"/>
          <w:sz w:val="18"/>
          <w:szCs w:val="18"/>
          <w:i w:val="1"/>
          <w:iCs w:val="1"/>
          <w:color w:val="auto"/>
        </w:rPr>
        <w:t>.</w:t>
      </w:r>
    </w:p>
    <w:p>
      <w:pPr>
        <w:spacing w:after="0" w:line="117" w:lineRule="exact"/>
        <w:rPr>
          <w:sz w:val="20"/>
          <w:szCs w:val="20"/>
          <w:color w:val="auto"/>
        </w:rPr>
      </w:pPr>
    </w:p>
    <w:p>
      <w:pPr>
        <w:ind w:right="160" w:firstLine="428"/>
        <w:spacing w:after="0" w:line="259" w:lineRule="auto"/>
        <w:tabs>
          <w:tab w:leader="none" w:pos="668" w:val="left"/>
        </w:tabs>
        <w:numPr>
          <w:ilvl w:val="0"/>
          <w:numId w:val="625"/>
        </w:numPr>
        <w:rPr>
          <w:rFonts w:ascii="Arial" w:cs="Arial" w:eastAsia="Arial" w:hAnsi="Arial"/>
          <w:sz w:val="18"/>
          <w:szCs w:val="18"/>
          <w:color w:val="auto"/>
        </w:rPr>
      </w:pPr>
      <w:r>
        <w:rPr>
          <w:rFonts w:ascii="Arial" w:cs="Arial" w:eastAsia="Arial" w:hAnsi="Arial"/>
          <w:sz w:val="18"/>
          <w:szCs w:val="18"/>
          <w:color w:val="auto"/>
        </w:rPr>
        <w:t>On or after February 11, 2021, the Company may redeem all or a part of the Notes upon not less than 30 nor more than 60 days’ notice, at the redemption prices (expressed as percentages of principal amount) set forth below plus accrued and unpaid interest, if any, on the Notes redeemed, to the applicable redemption date, if redeemed during the periods indicated below, subject to the rights of Holders on the relevant record date to receive interest on the relevant interest payment date:</w:t>
      </w:r>
    </w:p>
    <w:p>
      <w:pPr>
        <w:spacing w:after="0" w:line="19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700" w:type="dxa"/>
            <w:vAlign w:val="bottom"/>
            <w:vMerge w:val="restart"/>
          </w:tcPr>
          <w:p>
            <w:pPr>
              <w:spacing w:after="0"/>
              <w:rPr>
                <w:sz w:val="14"/>
                <w:szCs w:val="14"/>
                <w:color w:val="auto"/>
              </w:rPr>
            </w:pPr>
          </w:p>
        </w:tc>
        <w:tc>
          <w:tcPr>
            <w:tcW w:w="2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February 11, 2021</w:t>
            </w:r>
          </w:p>
        </w:tc>
        <w:tc>
          <w:tcPr>
            <w:tcW w:w="14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103.625%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Twelve-month period on or after February 11, 2022</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101.813%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February 11, 2023</w:t>
            </w:r>
          </w:p>
        </w:tc>
        <w:tc>
          <w:tcPr>
            <w:tcW w:w="2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28"/>
        <w:spacing w:after="0" w:line="272" w:lineRule="auto"/>
        <w:tabs>
          <w:tab w:leader="none" w:pos="678" w:val="left"/>
        </w:tabs>
        <w:numPr>
          <w:ilvl w:val="0"/>
          <w:numId w:val="626"/>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subparagraph (b) of this Paragraph (5), at any time prior to February 11, 2021, the Company may on any one or more occasions redeem up to 35% of the aggregate principal amount of Notes at a redemption price equal to 107.250% of the principal amount thereof, plus accrued and unpaid interest and Additional Amounts,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at least 65% in aggregate principal amount of the Notes originally issued under the Indenture (excluding Notes held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Subsidiaries) remains outstanding immediately after the occurrence of such redemption and that such redemption occurs within 45 days of the date of the closing of such Equity Offering.</w:t>
      </w:r>
    </w:p>
    <w:p>
      <w:pPr>
        <w:spacing w:after="0" w:line="69" w:lineRule="exact"/>
        <w:rPr>
          <w:rFonts w:ascii="Arial" w:cs="Arial" w:eastAsia="Arial" w:hAnsi="Arial"/>
          <w:sz w:val="17"/>
          <w:szCs w:val="17"/>
          <w:color w:val="auto"/>
        </w:rPr>
      </w:pPr>
    </w:p>
    <w:p>
      <w:pPr>
        <w:ind w:right="100" w:firstLine="428"/>
        <w:spacing w:after="0" w:line="302" w:lineRule="auto"/>
        <w:tabs>
          <w:tab w:leader="none" w:pos="668" w:val="left"/>
        </w:tabs>
        <w:numPr>
          <w:ilvl w:val="0"/>
          <w:numId w:val="626"/>
        </w:numPr>
        <w:rPr>
          <w:rFonts w:ascii="Arial" w:cs="Arial" w:eastAsia="Arial" w:hAnsi="Arial"/>
          <w:sz w:val="16"/>
          <w:szCs w:val="16"/>
          <w:color w:val="auto"/>
        </w:rPr>
      </w:pPr>
      <w:r>
        <w:rPr>
          <w:rFonts w:ascii="Arial" w:cs="Arial" w:eastAsia="Arial" w:hAnsi="Arial"/>
          <w:sz w:val="16"/>
          <w:szCs w:val="16"/>
          <w:color w:val="auto"/>
        </w:rPr>
        <w:t>At any time prior to February 11, 2021, the Company may also redeem all or a part of the Notes, upon not less than 30 nor more than 60 days’ prior notice mailed by first-class mail to each Holder’s registered address, at a redemption price equal to 100% of the principal amount of the Notes redeemed plus the Applicable Premium as of, and accrued and unpaid interest and Additional Amounts, if any, to the date of redemption, subject to the rights of Holders on the relevant record date to receive interest due on the relevant interest payment date.</w:t>
      </w:r>
    </w:p>
    <w:p>
      <w:pPr>
        <w:spacing w:after="0" w:line="46" w:lineRule="exact"/>
        <w:rPr>
          <w:rFonts w:ascii="Arial" w:cs="Arial" w:eastAsia="Arial" w:hAnsi="Arial"/>
          <w:sz w:val="16"/>
          <w:szCs w:val="16"/>
          <w:color w:val="auto"/>
        </w:rPr>
      </w:pPr>
    </w:p>
    <w:p>
      <w:pPr>
        <w:ind w:left="680" w:hanging="252"/>
        <w:spacing w:after="0"/>
        <w:tabs>
          <w:tab w:leader="none" w:pos="68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Any redemption pursuant to subparagraphs (a), (b) and (c) of this Paragraph</w:t>
      </w:r>
    </w:p>
    <w:p>
      <w:pPr>
        <w:spacing w:after="0" w:line="117" w:lineRule="exact"/>
        <w:rPr>
          <w:sz w:val="20"/>
          <w:szCs w:val="20"/>
          <w:color w:val="auto"/>
        </w:rPr>
      </w:pPr>
    </w:p>
    <w:p>
      <w:pPr>
        <w:ind w:right="20" w:firstLine="428"/>
        <w:spacing w:after="0" w:line="272" w:lineRule="auto"/>
        <w:tabs>
          <w:tab w:leader="none" w:pos="678" w:val="left"/>
        </w:tabs>
        <w:numPr>
          <w:ilvl w:val="0"/>
          <w:numId w:val="627"/>
        </w:numPr>
        <w:rPr>
          <w:rFonts w:ascii="Arial" w:cs="Arial" w:eastAsia="Arial" w:hAnsi="Arial"/>
          <w:sz w:val="17"/>
          <w:szCs w:val="17"/>
          <w:color w:val="auto"/>
        </w:rPr>
      </w:pPr>
      <w:r>
        <w:rPr>
          <w:rFonts w:ascii="Arial" w:cs="Arial" w:eastAsia="Arial" w:hAnsi="Arial"/>
          <w:sz w:val="17"/>
          <w:szCs w:val="17"/>
          <w:color w:val="auto"/>
        </w:rPr>
        <w:t>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70" w:lineRule="exact"/>
        <w:rPr>
          <w:sz w:val="20"/>
          <w:szCs w:val="20"/>
          <w:color w:val="auto"/>
        </w:rPr>
      </w:pPr>
    </w:p>
    <w:p>
      <w:pPr>
        <w:ind w:right="60" w:firstLine="428"/>
        <w:spacing w:after="0" w:line="277" w:lineRule="auto"/>
        <w:tabs>
          <w:tab w:leader="none" w:pos="668" w:val="left"/>
        </w:tabs>
        <w:numPr>
          <w:ilvl w:val="0"/>
          <w:numId w:val="628"/>
        </w:numPr>
        <w:rPr>
          <w:rFonts w:ascii="Arial" w:cs="Arial" w:eastAsia="Arial" w:hAnsi="Arial"/>
          <w:sz w:val="18"/>
          <w:szCs w:val="18"/>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580"/>
          </w:cols>
          <w:pgMar w:left="880" w:top="274" w:right="439" w:bottom="1440" w:gutter="0" w:footer="0" w:header="0"/>
        </w:sectPr>
      </w:pPr>
    </w:p>
    <w:bookmarkStart w:id="448" w:name="page449"/>
    <w:bookmarkEnd w:id="44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 The Notes may also be redeemed in the circumstances described in Sections 3.10 and 3.11 of the Indenture.</w:t>
      </w:r>
    </w:p>
    <w:p>
      <w:pPr>
        <w:spacing w:after="0" w:line="117" w:lineRule="exact"/>
        <w:rPr>
          <w:sz w:val="20"/>
          <w:szCs w:val="20"/>
          <w:color w:val="auto"/>
        </w:rPr>
      </w:pPr>
    </w:p>
    <w:p>
      <w:pPr>
        <w:ind w:left="680" w:hanging="252"/>
        <w:spacing w:after="0"/>
        <w:tabs>
          <w:tab w:leader="none" w:pos="680" w:val="left"/>
        </w:tabs>
        <w:numPr>
          <w:ilvl w:val="0"/>
          <w:numId w:val="629"/>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3"/>
          <w:szCs w:val="13"/>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02" w:lineRule="exact"/>
        <w:rPr>
          <w:rFonts w:ascii="Arial" w:cs="Arial" w:eastAsia="Arial" w:hAnsi="Arial"/>
          <w:sz w:val="16"/>
          <w:szCs w:val="16"/>
          <w:color w:val="auto"/>
        </w:rPr>
      </w:pPr>
    </w:p>
    <w:p>
      <w:pPr>
        <w:ind w:firstLine="428"/>
        <w:spacing w:after="0" w:line="277" w:lineRule="auto"/>
        <w:tabs>
          <w:tab w:leader="none" w:pos="678" w:val="left"/>
        </w:tabs>
        <w:numPr>
          <w:ilvl w:val="0"/>
          <w:numId w:val="629"/>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5"/>
          <w:szCs w:val="15"/>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5"/>
          <w:szCs w:val="15"/>
          <w:i w:val="1"/>
          <w:iCs w:val="1"/>
          <w:color w:val="auto"/>
        </w:rPr>
        <w:t>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may be subject to a Change of Control Offer, a Special Put Option or an Asset Sale</w:t>
      </w:r>
      <w:r>
        <w:rPr>
          <w:rFonts w:ascii="Arial" w:cs="Arial" w:eastAsia="Arial" w:hAnsi="Arial"/>
          <w:sz w:val="18"/>
          <w:szCs w:val="18"/>
          <w:i w:val="1"/>
          <w:iCs w:val="1"/>
          <w:color w:val="auto"/>
        </w:rPr>
        <w:t xml:space="preserve"> </w:t>
      </w:r>
      <w:r>
        <w:rPr>
          <w:rFonts w:ascii="Arial" w:cs="Arial" w:eastAsia="Arial" w:hAnsi="Arial"/>
          <w:sz w:val="18"/>
          <w:szCs w:val="18"/>
          <w:color w:val="auto"/>
        </w:rPr>
        <w:t>Offer, as further described in Sections 3.09, 4.10, 4.15 and 4.21 of the Indenture.</w:t>
      </w:r>
    </w:p>
    <w:p>
      <w:pPr>
        <w:spacing w:after="0" w:line="62" w:lineRule="exact"/>
        <w:rPr>
          <w:rFonts w:ascii="Arial" w:cs="Arial" w:eastAsia="Arial" w:hAnsi="Arial"/>
          <w:sz w:val="18"/>
          <w:szCs w:val="18"/>
          <w:color w:val="auto"/>
        </w:rPr>
      </w:pPr>
    </w:p>
    <w:p>
      <w:pPr>
        <w:ind w:firstLine="428"/>
        <w:spacing w:after="0" w:line="276" w:lineRule="auto"/>
        <w:tabs>
          <w:tab w:leader="none" w:pos="678" w:val="left"/>
        </w:tabs>
        <w:numPr>
          <w:ilvl w:val="0"/>
          <w:numId w:val="629"/>
        </w:numPr>
        <w:rPr>
          <w:rFonts w:ascii="Arial" w:cs="Arial" w:eastAsia="Arial" w:hAnsi="Arial"/>
          <w:sz w:val="17"/>
          <w:szCs w:val="17"/>
          <w:color w:val="auto"/>
        </w:rPr>
      </w:pPr>
      <w:r>
        <w:rPr>
          <w:rFonts w:ascii="Arial" w:cs="Arial" w:eastAsia="Arial" w:hAnsi="Arial"/>
          <w:sz w:val="17"/>
          <w:szCs w:val="17"/>
          <w:i w:val="1"/>
          <w:iCs w:val="1"/>
          <w:color w:val="auto"/>
        </w:rPr>
        <w:t>N</w:t>
      </w:r>
      <w:r>
        <w:rPr>
          <w:rFonts w:ascii="Arial" w:cs="Arial" w:eastAsia="Arial" w:hAnsi="Arial"/>
          <w:sz w:val="14"/>
          <w:szCs w:val="14"/>
          <w:i w:val="1"/>
          <w:iCs w:val="1"/>
          <w:color w:val="auto"/>
        </w:rPr>
        <w:t>OTICE OF</w:t>
      </w:r>
      <w:r>
        <w:rPr>
          <w:rFonts w:ascii="Arial" w:cs="Arial" w:eastAsia="Arial" w:hAnsi="Arial"/>
          <w:sz w:val="17"/>
          <w:szCs w:val="17"/>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7"/>
          <w:szCs w:val="17"/>
          <w:color w:val="auto"/>
        </w:rPr>
        <w:t>. Notice of redemption will be mailed at least 30 days but not more than 60 days before the redemption date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provided that the unredeemed part has a minimum denomination of US$200,000, unless all of the Notes held by a Holder are to be redeemed.</w:t>
      </w:r>
    </w:p>
    <w:p>
      <w:pPr>
        <w:spacing w:after="0" w:line="64" w:lineRule="exact"/>
        <w:rPr>
          <w:rFonts w:ascii="Arial" w:cs="Arial" w:eastAsia="Arial" w:hAnsi="Arial"/>
          <w:sz w:val="17"/>
          <w:szCs w:val="17"/>
          <w:color w:val="auto"/>
        </w:rPr>
      </w:pPr>
    </w:p>
    <w:p>
      <w:pPr>
        <w:ind w:firstLine="428"/>
        <w:spacing w:after="0" w:line="291" w:lineRule="auto"/>
        <w:tabs>
          <w:tab w:leader="none" w:pos="678" w:val="left"/>
        </w:tabs>
        <w:numPr>
          <w:ilvl w:val="0"/>
          <w:numId w:val="629"/>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3"/>
          <w:szCs w:val="13"/>
          <w:i w:val="1"/>
          <w:iCs w:val="1"/>
          <w:color w:val="auto"/>
        </w:rPr>
        <w:t>ENOMINATIONS</w:t>
      </w:r>
      <w:r>
        <w:rPr>
          <w:rFonts w:ascii="Arial" w:cs="Arial" w:eastAsia="Arial" w:hAnsi="Arial"/>
          <w:sz w:val="16"/>
          <w:szCs w:val="16"/>
          <w:i w:val="1"/>
          <w:iCs w:val="1"/>
          <w:color w:val="auto"/>
        </w:rPr>
        <w:t>, T</w:t>
      </w:r>
      <w:r>
        <w:rPr>
          <w:rFonts w:ascii="Arial" w:cs="Arial" w:eastAsia="Arial" w:hAnsi="Arial"/>
          <w:sz w:val="13"/>
          <w:szCs w:val="13"/>
          <w:i w:val="1"/>
          <w:iCs w:val="1"/>
          <w:color w:val="auto"/>
        </w:rPr>
        <w:t>RANSFER</w:t>
      </w:r>
      <w:r>
        <w:rPr>
          <w:rFonts w:ascii="Arial" w:cs="Arial" w:eastAsia="Arial" w:hAnsi="Arial"/>
          <w:sz w:val="16"/>
          <w:szCs w:val="16"/>
          <w:i w:val="1"/>
          <w:iCs w:val="1"/>
          <w:color w:val="auto"/>
        </w:rPr>
        <w:t>, E</w:t>
      </w:r>
      <w:r>
        <w:rPr>
          <w:rFonts w:ascii="Arial" w:cs="Arial" w:eastAsia="Arial" w:hAnsi="Arial"/>
          <w:sz w:val="13"/>
          <w:szCs w:val="13"/>
          <w:i w:val="1"/>
          <w:iCs w:val="1"/>
          <w:color w:val="auto"/>
        </w:rPr>
        <w:t>XCHANGE</w:t>
      </w:r>
      <w:r>
        <w:rPr>
          <w:rFonts w:ascii="Arial" w:cs="Arial" w:eastAsia="Arial" w:hAnsi="Arial"/>
          <w:sz w:val="16"/>
          <w:szCs w:val="16"/>
          <w:color w:val="auto"/>
        </w:rPr>
        <w:t>. The Notes are in registered form without coupons in denominations of US$200,000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integral multiples of US$1,000 in excess thereof. The transfer of Notes may be registered and Notes may be exchanged as provided in the Indenture. The Registrar, the Transfer Agent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59" w:lineRule="exact"/>
        <w:rPr>
          <w:rFonts w:ascii="Arial" w:cs="Arial" w:eastAsia="Arial" w:hAnsi="Arial"/>
          <w:sz w:val="16"/>
          <w:szCs w:val="16"/>
          <w:color w:val="auto"/>
        </w:rPr>
      </w:pPr>
    </w:p>
    <w:p>
      <w:pPr>
        <w:ind w:left="780" w:hanging="352"/>
        <w:spacing w:after="0"/>
        <w:tabs>
          <w:tab w:leader="none" w:pos="780" w:val="left"/>
        </w:tabs>
        <w:numPr>
          <w:ilvl w:val="0"/>
          <w:numId w:val="629"/>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5"/>
          <w:szCs w:val="15"/>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5"/>
          <w:szCs w:val="15"/>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WNERS</w:t>
      </w:r>
      <w:r>
        <w:rPr>
          <w:rFonts w:ascii="Arial" w:cs="Arial" w:eastAsia="Arial" w:hAnsi="Arial"/>
          <w:sz w:val="18"/>
          <w:szCs w:val="18"/>
          <w:color w:val="auto"/>
        </w:rPr>
        <w:t>. The registered Holder may be treated as its owner for all purposes.</w:t>
      </w:r>
    </w:p>
    <w:p>
      <w:pPr>
        <w:spacing w:after="0" w:line="117" w:lineRule="exact"/>
        <w:rPr>
          <w:rFonts w:ascii="Arial" w:cs="Arial" w:eastAsia="Arial" w:hAnsi="Arial"/>
          <w:sz w:val="18"/>
          <w:szCs w:val="18"/>
          <w:color w:val="auto"/>
        </w:rPr>
      </w:pPr>
    </w:p>
    <w:p>
      <w:pPr>
        <w:ind w:left="760" w:hanging="332"/>
        <w:spacing w:after="0"/>
        <w:tabs>
          <w:tab w:leader="none" w:pos="760" w:val="left"/>
        </w:tabs>
        <w:numPr>
          <w:ilvl w:val="0"/>
          <w:numId w:val="629"/>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4"/>
          <w:szCs w:val="14"/>
          <w:i w:val="1"/>
          <w:iCs w:val="1"/>
          <w:color w:val="auto"/>
        </w:rPr>
        <w:t>MENDMENT</w:t>
      </w:r>
      <w:r>
        <w:rPr>
          <w:rFonts w:ascii="Arial" w:cs="Arial" w:eastAsia="Arial" w:hAnsi="Arial"/>
          <w:sz w:val="17"/>
          <w:szCs w:val="17"/>
          <w:i w:val="1"/>
          <w:iCs w:val="1"/>
          <w:color w:val="auto"/>
        </w:rPr>
        <w:t>, S</w:t>
      </w:r>
      <w:r>
        <w:rPr>
          <w:rFonts w:ascii="Arial" w:cs="Arial" w:eastAsia="Arial" w:hAnsi="Arial"/>
          <w:sz w:val="14"/>
          <w:szCs w:val="14"/>
          <w:i w:val="1"/>
          <w:iCs w:val="1"/>
          <w:color w:val="auto"/>
        </w:rPr>
        <w:t>UPPLEMENT AND</w:t>
      </w:r>
      <w:r>
        <w:rPr>
          <w:rFonts w:ascii="Arial" w:cs="Arial" w:eastAsia="Arial" w:hAnsi="Arial"/>
          <w:sz w:val="17"/>
          <w:szCs w:val="17"/>
          <w:i w:val="1"/>
          <w:iCs w:val="1"/>
          <w:color w:val="auto"/>
        </w:rPr>
        <w:t xml:space="preserve"> W</w:t>
      </w:r>
      <w:r>
        <w:rPr>
          <w:rFonts w:ascii="Arial" w:cs="Arial" w:eastAsia="Arial" w:hAnsi="Arial"/>
          <w:sz w:val="14"/>
          <w:szCs w:val="14"/>
          <w:i w:val="1"/>
          <w:iCs w:val="1"/>
          <w:color w:val="auto"/>
        </w:rPr>
        <w:t>AIVER</w:t>
      </w:r>
      <w:r>
        <w:rPr>
          <w:rFonts w:ascii="Arial" w:cs="Arial" w:eastAsia="Arial" w:hAnsi="Arial"/>
          <w:sz w:val="17"/>
          <w:szCs w:val="17"/>
          <w:color w:val="auto"/>
        </w:rPr>
        <w:t>. The Indenture, the Notes or the Note Guarantees may be amended as set forth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left="780" w:hanging="352"/>
        <w:spacing w:after="0"/>
        <w:tabs>
          <w:tab w:leader="none" w:pos="780" w:val="left"/>
        </w:tabs>
        <w:numPr>
          <w:ilvl w:val="0"/>
          <w:numId w:val="629"/>
        </w:numPr>
        <w:rPr>
          <w:rFonts w:ascii="Arial" w:cs="Arial" w:eastAsia="Arial" w:hAnsi="Arial"/>
          <w:sz w:val="16"/>
          <w:szCs w:val="16"/>
          <w:i w:val="1"/>
          <w:iCs w:val="1"/>
          <w:color w:val="auto"/>
        </w:rPr>
      </w:pPr>
      <w:r>
        <w:rPr>
          <w:rFonts w:ascii="Arial" w:cs="Arial" w:eastAsia="Arial" w:hAnsi="Arial"/>
          <w:sz w:val="16"/>
          <w:szCs w:val="16"/>
          <w:i w:val="1"/>
          <w:iCs w:val="1"/>
          <w:color w:val="auto"/>
        </w:rPr>
        <w:t>D</w:t>
      </w:r>
      <w:r>
        <w:rPr>
          <w:rFonts w:ascii="Arial" w:cs="Arial" w:eastAsia="Arial" w:hAnsi="Arial"/>
          <w:sz w:val="13"/>
          <w:szCs w:val="13"/>
          <w:i w:val="1"/>
          <w:iCs w:val="1"/>
          <w:color w:val="auto"/>
        </w:rPr>
        <w:t>EFAULTS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EMEDIES</w:t>
      </w:r>
      <w:r>
        <w:rPr>
          <w:rFonts w:ascii="Arial" w:cs="Arial" w:eastAsia="Arial" w:hAnsi="Arial"/>
          <w:sz w:val="16"/>
          <w:szCs w:val="16"/>
          <w:color w:val="auto"/>
        </w:rPr>
        <w:t>. The events listed in Section 6.01 of the Indenture shall constitute “</w:t>
      </w:r>
      <w:r>
        <w:rPr>
          <w:rFonts w:ascii="Arial" w:cs="Arial" w:eastAsia="Arial" w:hAnsi="Arial"/>
          <w:sz w:val="16"/>
          <w:szCs w:val="16"/>
          <w:i w:val="1"/>
          <w:iCs w:val="1"/>
          <w:color w:val="auto"/>
        </w:rPr>
        <w:t>Events of Default</w:t>
      </w:r>
      <w:r>
        <w:rPr>
          <w:rFonts w:ascii="Arial" w:cs="Arial" w:eastAsia="Arial" w:hAnsi="Arial"/>
          <w:sz w:val="16"/>
          <w:szCs w:val="16"/>
          <w:color w:val="auto"/>
        </w:rPr>
        <w:t>” for the purpose of this</w:t>
      </w:r>
    </w:p>
    <w:p>
      <w:pPr>
        <w:spacing w:after="0" w:line="4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Note.</w:t>
      </w:r>
    </w:p>
    <w:p>
      <w:pPr>
        <w:spacing w:after="0" w:line="102" w:lineRule="exact"/>
        <w:rPr>
          <w:rFonts w:ascii="Arial" w:cs="Arial" w:eastAsia="Arial" w:hAnsi="Arial"/>
          <w:sz w:val="16"/>
          <w:szCs w:val="16"/>
          <w:i w:val="1"/>
          <w:iCs w:val="1"/>
          <w:color w:val="auto"/>
        </w:rPr>
      </w:pPr>
    </w:p>
    <w:p>
      <w:pPr>
        <w:ind w:right="120" w:firstLine="428"/>
        <w:spacing w:after="0" w:line="342" w:lineRule="auto"/>
        <w:tabs>
          <w:tab w:leader="none" w:pos="768" w:val="left"/>
        </w:tabs>
        <w:numPr>
          <w:ilvl w:val="0"/>
          <w:numId w:val="629"/>
        </w:numPr>
        <w:rPr>
          <w:rFonts w:ascii="Arial" w:cs="Arial" w:eastAsia="Arial" w:hAnsi="Arial"/>
          <w:sz w:val="16"/>
          <w:szCs w:val="16"/>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RUSTEE</w:t>
      </w:r>
      <w:r>
        <w:rPr>
          <w:rFonts w:ascii="Arial" w:cs="Arial" w:eastAsia="Arial" w:hAnsi="Arial"/>
          <w:sz w:val="16"/>
          <w:szCs w:val="16"/>
          <w:i w:val="1"/>
          <w:iCs w:val="1"/>
          <w:color w:val="auto"/>
        </w:rPr>
        <w:t xml:space="preserve"> D</w:t>
      </w:r>
      <w:r>
        <w:rPr>
          <w:rFonts w:ascii="Arial" w:cs="Arial" w:eastAsia="Arial" w:hAnsi="Arial"/>
          <w:sz w:val="13"/>
          <w:szCs w:val="13"/>
          <w:i w:val="1"/>
          <w:iCs w:val="1"/>
          <w:color w:val="auto"/>
        </w:rPr>
        <w:t>EALINGS WITH</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OMPANY</w:t>
      </w:r>
      <w:r>
        <w:rPr>
          <w:rFonts w:ascii="Arial" w:cs="Arial" w:eastAsia="Arial" w:hAnsi="Arial"/>
          <w:sz w:val="16"/>
          <w:szCs w:val="16"/>
          <w:color w:val="auto"/>
        </w:rPr>
        <w:t>. The Trustee, in its individual or any other capacity, may make loans to, accept deposits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services for the Company or its Affiliates, and may otherwise deal with the Company or its Affiliates, as if it were not the Trustee.</w:t>
      </w:r>
    </w:p>
    <w:p>
      <w:pPr>
        <w:spacing w:after="0" w:line="15" w:lineRule="exact"/>
        <w:rPr>
          <w:rFonts w:ascii="Arial" w:cs="Arial" w:eastAsia="Arial" w:hAnsi="Arial"/>
          <w:sz w:val="16"/>
          <w:szCs w:val="16"/>
          <w:color w:val="auto"/>
        </w:rPr>
      </w:pPr>
    </w:p>
    <w:p>
      <w:pPr>
        <w:ind w:right="80" w:firstLine="428"/>
        <w:spacing w:after="0" w:line="259" w:lineRule="auto"/>
        <w:tabs>
          <w:tab w:leader="none" w:pos="768" w:val="left"/>
        </w:tabs>
        <w:numPr>
          <w:ilvl w:val="0"/>
          <w:numId w:val="629"/>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5"/>
          <w:szCs w:val="15"/>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5"/>
          <w:szCs w:val="15"/>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THERS</w:t>
      </w:r>
      <w:r>
        <w:rPr>
          <w:rFonts w:ascii="Arial" w:cs="Arial" w:eastAsia="Arial" w:hAnsi="Arial"/>
          <w:sz w:val="18"/>
          <w:szCs w:val="18"/>
          <w:color w:val="auto"/>
        </w:rPr>
        <w:t>. A director, officer, employee, incorporator or stockholder of the Company, as such, will not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8" w:lineRule="exact"/>
        <w:rPr>
          <w:rFonts w:ascii="Arial" w:cs="Arial" w:eastAsia="Arial" w:hAnsi="Arial"/>
          <w:sz w:val="18"/>
          <w:szCs w:val="18"/>
          <w:color w:val="auto"/>
        </w:rPr>
      </w:pPr>
    </w:p>
    <w:p>
      <w:pPr>
        <w:ind w:left="780" w:hanging="352"/>
        <w:spacing w:after="0"/>
        <w:tabs>
          <w:tab w:leader="none" w:pos="780" w:val="left"/>
        </w:tabs>
        <w:numPr>
          <w:ilvl w:val="0"/>
          <w:numId w:val="629"/>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4"/>
          <w:szCs w:val="14"/>
          <w:i w:val="1"/>
          <w:iCs w:val="1"/>
          <w:color w:val="auto"/>
        </w:rPr>
        <w:t>UTHENTICATION</w:t>
      </w:r>
      <w:r>
        <w:rPr>
          <w:rFonts w:ascii="Arial" w:cs="Arial" w:eastAsia="Arial" w:hAnsi="Arial"/>
          <w:sz w:val="17"/>
          <w:szCs w:val="17"/>
          <w:color w:val="auto"/>
        </w:rPr>
        <w:t>. This Note will not be valid until authenticated by the manual signature of the Trustee or an authenticating agent.</w:t>
      </w:r>
    </w:p>
    <w:p>
      <w:pPr>
        <w:spacing w:after="0" w:line="128" w:lineRule="exact"/>
        <w:rPr>
          <w:rFonts w:ascii="Arial" w:cs="Arial" w:eastAsia="Arial" w:hAnsi="Arial"/>
          <w:sz w:val="17"/>
          <w:szCs w:val="17"/>
          <w:color w:val="auto"/>
        </w:rPr>
      </w:pPr>
    </w:p>
    <w:p>
      <w:pPr>
        <w:ind w:right="320" w:firstLine="428"/>
        <w:spacing w:after="0" w:line="264" w:lineRule="auto"/>
        <w:tabs>
          <w:tab w:leader="none" w:pos="768" w:val="left"/>
        </w:tabs>
        <w:numPr>
          <w:ilvl w:val="0"/>
          <w:numId w:val="629"/>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5"/>
          <w:szCs w:val="15"/>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560"/>
          </w:cols>
          <w:pgMar w:left="880" w:top="274" w:right="459" w:bottom="1440" w:gutter="0" w:footer="0" w:header="0"/>
        </w:sectPr>
      </w:pPr>
    </w:p>
    <w:bookmarkStart w:id="449" w:name="page450"/>
    <w:bookmarkEnd w:id="449"/>
    <w:p>
      <w:pPr>
        <w:ind w:left="440" w:firstLine="428"/>
        <w:spacing w:after="0" w:line="279" w:lineRule="auto"/>
        <w:tabs>
          <w:tab w:leader="none" w:pos="1208" w:val="left"/>
        </w:tabs>
        <w:numPr>
          <w:ilvl w:val="0"/>
          <w:numId w:val="63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w:t>
      </w:r>
      <w:r>
        <w:rPr>
          <w:rFonts w:ascii="Arial" w:cs="Arial" w:eastAsia="Arial" w:hAnsi="Arial"/>
          <w:sz w:val="14"/>
          <w:szCs w:val="14"/>
          <w:i w:val="1"/>
          <w:iCs w:val="1"/>
          <w:color w:val="auto"/>
        </w:rPr>
        <w:t>UMBERS</w:t>
      </w:r>
      <w:r>
        <w:rPr>
          <w:rFonts w:ascii="Arial" w:cs="Arial" w:eastAsia="Arial" w:hAnsi="Arial"/>
          <w:sz w:val="17"/>
          <w:szCs w:val="17"/>
          <w:color w:val="auto"/>
        </w:rPr>
        <w:t>. Pursuant to a recommendation promulgated by the Committee on Uniform Security Identification Procedures,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63" w:lineRule="exact"/>
        <w:rPr>
          <w:rFonts w:ascii="Arial" w:cs="Arial" w:eastAsia="Arial" w:hAnsi="Arial"/>
          <w:sz w:val="17"/>
          <w:szCs w:val="17"/>
          <w:color w:val="auto"/>
        </w:rPr>
      </w:pPr>
    </w:p>
    <w:p>
      <w:pPr>
        <w:jc w:val="both"/>
        <w:ind w:left="440" w:right="660" w:firstLine="428"/>
        <w:spacing w:after="0" w:line="286" w:lineRule="auto"/>
        <w:tabs>
          <w:tab w:leader="none" w:pos="1208" w:val="left"/>
        </w:tabs>
        <w:numPr>
          <w:ilvl w:val="0"/>
          <w:numId w:val="630"/>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LAWS OF THE STATE OF NEW YORK WILL GOVERN AND BE USED TO CONSTRUE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AND THIS NOTE WITHOUT GIVING EFFECT TO APPLICABLE PRINCIPLES OF CONFLICTS OF LAW TO THE EXTENT THAT THE APPLICATION OF THE LAWS OF ANOTHER JURISDICTION WOULD BE REQUIRED THEREBY.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Studio City Finance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60"/>
          </w:cols>
          <w:pgMar w:left="440" w:top="274" w:right="49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color w:val="auto"/>
        </w:rPr>
        <w:t>SSIGNMENT</w:t>
      </w:r>
      <w:r>
        <w:rPr>
          <w:rFonts w:ascii="Arial" w:cs="Arial" w:eastAsia="Arial" w:hAnsi="Arial"/>
          <w:sz w:val="18"/>
          <w:szCs w:val="18"/>
          <w:color w:val="auto"/>
        </w:rPr>
        <w:t xml:space="preserve"> F</w:t>
      </w:r>
      <w:r>
        <w:rPr>
          <w:rFonts w:ascii="Arial" w:cs="Arial" w:eastAsia="Arial" w:hAnsi="Arial"/>
          <w:sz w:val="15"/>
          <w:szCs w:val="15"/>
          <w:color w:val="auto"/>
        </w:rPr>
        <w:t>ORM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-10160</wp:posOffset>
            </wp:positionV>
            <wp:extent cx="314325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8">
                      <a:extLst>
                        <a:ext uri="{28A0092B-C50C-407E-A947-70E740481C1C}"/>
                      </a:extLst>
                    </a:blip>
                    <a:srcRect/>
                    <a:stretch>
                      <a:fillRect/>
                    </a:stretch>
                  </pic:blipFill>
                  <pic:spPr bwMode="auto">
                    <a:xfrm>
                      <a:off x="0" y="0"/>
                      <a:ext cx="314325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6997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563880</wp:posOffset>
            </wp:positionV>
            <wp:extent cx="6997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760730</wp:posOffset>
            </wp:positionV>
            <wp:extent cx="6997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9060" w:type="dxa"/>
            <w:vAlign w:val="bottom"/>
            <w:gridSpan w:val="2"/>
          </w:tcPr>
          <w:p>
            <w:pPr>
              <w:ind w:left="1880"/>
              <w:spacing w:after="0"/>
              <w:rPr>
                <w:sz w:val="20"/>
                <w:szCs w:val="20"/>
                <w:color w:val="auto"/>
              </w:rPr>
            </w:pPr>
            <w:r>
              <w:rPr>
                <w:rFonts w:ascii="Arial" w:cs="Arial" w:eastAsia="Arial" w:hAnsi="Arial"/>
                <w:sz w:val="18"/>
                <w:szCs w:val="18"/>
                <w:color w:val="auto"/>
              </w:rPr>
              <w:t>(Print or type assignee’s name, address and zip code)</w:t>
            </w: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w w:val="91"/>
              </w:rPr>
              <w:t>and irrevocably appoint</w:t>
            </w:r>
          </w:p>
        </w:tc>
        <w:tc>
          <w:tcPr>
            <w:tcW w:w="6420" w:type="dxa"/>
            <w:vAlign w:val="bottom"/>
            <w:tcBorders>
              <w:bottom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w w:val="89"/>
              </w:rPr>
              <w:t>to transfer this Note on the books of</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agent may substitute another to act for him.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-19050</wp:posOffset>
            </wp:positionV>
            <wp:extent cx="151447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4">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(Sign exactly as your name appears on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face of this Note)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52" w:lineRule="exact"/>
        <w:rPr>
          <w:sz w:val="20"/>
          <w:szCs w:val="20"/>
          <w:color w:val="auto"/>
        </w:rPr>
      </w:pPr>
    </w:p>
    <w:p>
      <w:pPr>
        <w:ind w:left="5320" w:right="1400" w:hanging="5316"/>
        <w:spacing w:after="0" w:line="449" w:lineRule="auto"/>
        <w:tabs>
          <w:tab w:leader="none" w:pos="427" w:val="left"/>
        </w:tabs>
        <w:numPr>
          <w:ilvl w:val="0"/>
          <w:numId w:val="631"/>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A-12</w:t>
      </w:r>
    </w:p>
    <w:p>
      <w:pPr>
        <w:sectPr>
          <w:pgSz w:w="11900" w:h="16838" w:orient="portrait"/>
          <w:cols w:equalWidth="0" w:num="1">
            <w:col w:w="10780"/>
          </w:cols>
          <w:pgMar w:left="440" w:top="273" w:right="67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t>
      </w:r>
      <w:r>
        <w:rPr>
          <w:rFonts w:ascii="Arial" w:cs="Arial" w:eastAsia="Arial" w:hAnsi="Arial"/>
          <w:sz w:val="15"/>
          <w:szCs w:val="15"/>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5"/>
          <w:szCs w:val="15"/>
          <w:i w:val="1"/>
          <w:iCs w:val="1"/>
          <w:color w:val="auto"/>
        </w:rPr>
        <w:t>OLDER TO</w:t>
      </w:r>
      <w:r>
        <w:rPr>
          <w:rFonts w:ascii="Arial" w:cs="Arial" w:eastAsia="Arial" w:hAnsi="Arial"/>
          <w:sz w:val="18"/>
          <w:szCs w:val="18"/>
          <w:i w:val="1"/>
          <w:iCs w:val="1"/>
          <w:color w:val="auto"/>
        </w:rPr>
        <w:t xml:space="preserve"> E</w:t>
      </w:r>
      <w:r>
        <w:rPr>
          <w:rFonts w:ascii="Arial" w:cs="Arial" w:eastAsia="Arial" w:hAnsi="Arial"/>
          <w:sz w:val="15"/>
          <w:szCs w:val="15"/>
          <w:i w:val="1"/>
          <w:iCs w:val="1"/>
          <w:color w:val="auto"/>
        </w:rPr>
        <w:t>LECT</w:t>
      </w:r>
      <w:r>
        <w:rPr>
          <w:rFonts w:ascii="Arial" w:cs="Arial" w:eastAsia="Arial" w:hAnsi="Arial"/>
          <w:sz w:val="18"/>
          <w:szCs w:val="18"/>
          <w:i w:val="1"/>
          <w:iCs w:val="1"/>
          <w:color w:val="auto"/>
        </w:rPr>
        <w:t xml:space="preserve"> P</w:t>
      </w:r>
      <w:r>
        <w:rPr>
          <w:rFonts w:ascii="Arial" w:cs="Arial" w:eastAsia="Arial" w:hAnsi="Arial"/>
          <w:sz w:val="15"/>
          <w:szCs w:val="15"/>
          <w:i w:val="1"/>
          <w:iCs w:val="1"/>
          <w:color w:val="auto"/>
        </w:rPr>
        <w:t>URCHASE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you want to elect to have this Note purchased by the Company pursuant to Section 4.10, Section 4.15 or Section 4.21 of the Indenture, check the appropriate box below:</w:t>
      </w:r>
    </w:p>
    <w:p>
      <w:pPr>
        <w:spacing w:after="0" w:line="165" w:lineRule="exact"/>
        <w:rPr>
          <w:sz w:val="20"/>
          <w:szCs w:val="20"/>
          <w:color w:val="auto"/>
        </w:rPr>
      </w:pPr>
    </w:p>
    <w:p>
      <w:pPr>
        <w:spacing w:after="0" w:line="207" w:lineRule="exact"/>
        <w:tabs>
          <w:tab w:leader="none" w:pos="3960" w:val="left"/>
          <w:tab w:leader="none" w:pos="7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Section 4.15</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4.21</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you want to elect to have only part of the Note purchased by the Company pursuant to Section 4.10, Section 4.15 or Section 4.21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state the amount you elect to have purchased:</w:t>
      </w:r>
    </w:p>
    <w:p>
      <w:pPr>
        <w:spacing w:after="0" w:line="23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US$_______________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-19050</wp:posOffset>
            </wp:positionV>
            <wp:extent cx="220027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6">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-10160</wp:posOffset>
            </wp:positionV>
            <wp:extent cx="174307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7">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52" w:lineRule="exact"/>
        <w:rPr>
          <w:sz w:val="20"/>
          <w:szCs w:val="20"/>
          <w:color w:val="auto"/>
        </w:rPr>
      </w:pPr>
    </w:p>
    <w:p>
      <w:pPr>
        <w:ind w:left="5320" w:right="1640" w:hanging="5316"/>
        <w:spacing w:after="0" w:line="449" w:lineRule="auto"/>
        <w:tabs>
          <w:tab w:leader="none" w:pos="427" w:val="left"/>
        </w:tabs>
        <w:numPr>
          <w:ilvl w:val="0"/>
          <w:numId w:val="63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A-13</w:t>
      </w:r>
    </w:p>
    <w:p>
      <w:pPr>
        <w:sectPr>
          <w:pgSz w:w="11900" w:h="16838" w:orient="portrait"/>
          <w:cols w:equalWidth="0" w:num="1">
            <w:col w:w="11020"/>
          </w:cols>
          <w:pgMar w:left="440" w:top="274" w:right="439" w:bottom="1440" w:gutter="0" w:footer="0" w:header="0"/>
        </w:sectPr>
      </w:pPr>
    </w:p>
    <w:bookmarkStart w:id="452" w:name="page453"/>
    <w:bookmarkEnd w:id="45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color w:val="auto"/>
        </w:rPr>
        <w:t>CHEDULE OF</w:t>
      </w:r>
      <w:r>
        <w:rPr>
          <w:rFonts w:ascii="Arial" w:cs="Arial" w:eastAsia="Arial" w:hAnsi="Arial"/>
          <w:sz w:val="18"/>
          <w:szCs w:val="18"/>
          <w:color w:val="auto"/>
        </w:rPr>
        <w:t xml:space="preserve"> E</w:t>
      </w:r>
      <w:r>
        <w:rPr>
          <w:rFonts w:ascii="Arial" w:cs="Arial" w:eastAsia="Arial" w:hAnsi="Arial"/>
          <w:sz w:val="15"/>
          <w:szCs w:val="15"/>
          <w:color w:val="auto"/>
        </w:rPr>
        <w:t>XCHANGES OF</w:t>
      </w:r>
      <w:r>
        <w:rPr>
          <w:rFonts w:ascii="Arial" w:cs="Arial" w:eastAsia="Arial" w:hAnsi="Arial"/>
          <w:sz w:val="18"/>
          <w:szCs w:val="18"/>
          <w:color w:val="auto"/>
        </w:rPr>
        <w:t xml:space="preserve"> I</w:t>
      </w:r>
      <w:r>
        <w:rPr>
          <w:rFonts w:ascii="Arial" w:cs="Arial" w:eastAsia="Arial" w:hAnsi="Arial"/>
          <w:sz w:val="15"/>
          <w:szCs w:val="15"/>
          <w:color w:val="auto"/>
        </w:rPr>
        <w:t>NTERESTS IN THE</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N</w:t>
      </w:r>
      <w:r>
        <w:rPr>
          <w:rFonts w:ascii="Arial" w:cs="Arial" w:eastAsia="Arial" w:hAnsi="Arial"/>
          <w:sz w:val="15"/>
          <w:szCs w:val="15"/>
          <w:color w:val="auto"/>
        </w:rPr>
        <w:t>OTE</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7"/>
              </w:rPr>
              <w:t>Amount of</w:t>
            </w:r>
          </w:p>
        </w:tc>
        <w:tc>
          <w:tcPr>
            <w:tcW w:w="10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Amount of</w:t>
            </w:r>
          </w:p>
        </w:tc>
        <w:tc>
          <w:tcPr>
            <w:tcW w:w="2080" w:type="dxa"/>
            <w:vAlign w:val="bottom"/>
            <w:gridSpan w:val="2"/>
          </w:tcPr>
          <w:p>
            <w:pPr>
              <w:jc w:val="center"/>
              <w:ind w:left="948"/>
              <w:spacing w:after="0"/>
              <w:rPr>
                <w:sz w:val="20"/>
                <w:szCs w:val="20"/>
                <w:color w:val="auto"/>
              </w:rPr>
            </w:pPr>
            <w:r>
              <w:rPr>
                <w:rFonts w:ascii="Arial" w:cs="Arial" w:eastAsia="Arial" w:hAnsi="Arial"/>
                <w:sz w:val="14"/>
                <w:szCs w:val="14"/>
                <w:color w:val="auto"/>
                <w:w w:val="96"/>
              </w:rPr>
              <w:t>Principal Amount</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8"/>
              </w:rPr>
              <w:t>decrease in</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increase in</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of this Global</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 Amount</w:t>
            </w:r>
          </w:p>
        </w:tc>
        <w:tc>
          <w:tcPr>
            <w:tcW w:w="2080" w:type="dxa"/>
            <w:vAlign w:val="bottom"/>
            <w:gridSpan w:val="2"/>
          </w:tcPr>
          <w:p>
            <w:pPr>
              <w:jc w:val="center"/>
              <w:ind w:left="948"/>
              <w:spacing w:after="0" w:line="149" w:lineRule="exact"/>
              <w:rPr>
                <w:sz w:val="20"/>
                <w:szCs w:val="20"/>
                <w:color w:val="auto"/>
              </w:rPr>
            </w:pPr>
            <w:r>
              <w:rPr>
                <w:rFonts w:ascii="Arial" w:cs="Arial" w:eastAsia="Arial" w:hAnsi="Arial"/>
                <w:sz w:val="14"/>
                <w:szCs w:val="14"/>
                <w:color w:val="auto"/>
                <w:w w:val="96"/>
              </w:rPr>
              <w:t>Principal Amount</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7"/>
              </w:rPr>
              <w:t>Note following</w:t>
            </w:r>
          </w:p>
        </w:tc>
        <w:tc>
          <w:tcPr>
            <w:tcW w:w="2080" w:type="dxa"/>
            <w:vAlign w:val="bottom"/>
            <w:gridSpan w:val="2"/>
          </w:tcPr>
          <w:p>
            <w:pPr>
              <w:jc w:val="center"/>
              <w:ind w:left="948"/>
              <w:spacing w:after="0" w:line="149" w:lineRule="exact"/>
              <w:rPr>
                <w:sz w:val="20"/>
                <w:szCs w:val="20"/>
                <w:color w:val="auto"/>
              </w:rPr>
            </w:pPr>
            <w:r>
              <w:rPr>
                <w:rFonts w:ascii="Arial" w:cs="Arial" w:eastAsia="Arial" w:hAnsi="Arial"/>
                <w:sz w:val="14"/>
                <w:szCs w:val="14"/>
                <w:color w:val="auto"/>
                <w:w w:val="94"/>
              </w:rPr>
              <w:t>authorized officer</w:t>
            </w:r>
          </w:p>
        </w:tc>
      </w:tr>
      <w:tr>
        <w:trPr>
          <w:trHeight w:val="149"/>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such decrease</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Date of Exchange</w:t>
            </w:r>
          </w:p>
        </w:tc>
        <w:tc>
          <w:tcPr>
            <w:tcW w:w="194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10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10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(or increase)</w:t>
            </w:r>
          </w:p>
        </w:tc>
        <w:tc>
          <w:tcPr>
            <w:tcW w:w="10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40"/>
          </w:cols>
          <w:pgMar w:left="440" w:top="273" w:right="41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7.250% Senior Notes due 2024 of Studio City Finance Limited</w:t>
      </w:r>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Reference is hereby made to the Indenture, dated as of February 11, 2019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of US$___________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xml:space="preserve">”), to ___________________________ (the “ </w:t>
      </w:r>
      <w:r>
        <w:rPr>
          <w:rFonts w:ascii="Arial" w:cs="Arial" w:eastAsia="Arial" w:hAnsi="Arial"/>
          <w:sz w:val="17"/>
          <w:szCs w:val="17"/>
          <w:i w:val="1"/>
          <w:iCs w:val="1"/>
          <w:color w:val="auto"/>
        </w:rPr>
        <w:t>Transferee</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further 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3" w:lineRule="exact"/>
        <w:rPr>
          <w:sz w:val="20"/>
          <w:szCs w:val="20"/>
          <w:color w:val="auto"/>
        </w:rPr>
      </w:pPr>
    </w:p>
    <w:p>
      <w:pPr>
        <w:ind w:right="40" w:firstLine="444"/>
        <w:spacing w:after="0" w:line="221" w:lineRule="exact"/>
        <w:tabs>
          <w:tab w:leader="none" w:pos="621" w:val="left"/>
        </w:tabs>
        <w:numPr>
          <w:ilvl w:val="0"/>
          <w:numId w:val="63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4" w:lineRule="exact"/>
        <w:rPr>
          <w:rFonts w:ascii="Arial" w:cs="Arial" w:eastAsia="Arial" w:hAnsi="Arial"/>
          <w:sz w:val="17"/>
          <w:szCs w:val="17"/>
          <w:color w:val="auto"/>
        </w:rPr>
      </w:pPr>
    </w:p>
    <w:p>
      <w:pPr>
        <w:ind w:right="20" w:firstLine="444"/>
        <w:spacing w:after="0" w:line="220" w:lineRule="exact"/>
        <w:tabs>
          <w:tab w:leader="none" w:pos="621" w:val="left"/>
        </w:tabs>
        <w:numPr>
          <w:ilvl w:val="0"/>
          <w:numId w:val="633"/>
        </w:numPr>
        <w:rPr>
          <w:rFonts w:ascii="Arial" w:cs="Arial" w:eastAsia="Arial" w:hAnsi="Arial"/>
          <w:sz w:val="16"/>
          <w:szCs w:val="16"/>
          <w:color w:val="auto"/>
        </w:rPr>
      </w:pPr>
      <w:r>
        <w:rPr>
          <w:rFonts w:ascii="MS PGothic" w:cs="MS PGothic" w:eastAsia="MS PGothic" w:hAnsi="MS PGothic"/>
          <w:sz w:val="16"/>
          <w:szCs w:val="16"/>
          <w:u w:val="single" w:color="auto"/>
          <w:color w:val="auto"/>
        </w:rPr>
        <w:t>☐</w:t>
      </w:r>
      <w:r>
        <w:rPr>
          <w:rFonts w:ascii="Arial" w:cs="Arial" w:eastAsia="Arial" w:hAnsi="Arial"/>
          <w:sz w:val="16"/>
          <w:szCs w:val="16"/>
          <w:b w:val="1"/>
          <w:bCs w:val="1"/>
          <w:u w:val="single" w:color="auto"/>
          <w:color w:val="auto"/>
        </w:rPr>
        <w:t xml:space="preserve"> Check if Transferee will take delivery of a beneficial interest in the Regulation S Global Note or a Restricted Definitive Note pursuant to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454" w:name="page455"/>
    <w:bookmarkEnd w:id="454"/>
    <w:p>
      <w:pPr>
        <w:jc w:val="both"/>
        <w:ind w:right="120" w:firstLine="444"/>
        <w:spacing w:after="0" w:line="228" w:lineRule="exact"/>
        <w:tabs>
          <w:tab w:leader="none" w:pos="621" w:val="left"/>
        </w:tabs>
        <w:numPr>
          <w:ilvl w:val="0"/>
          <w:numId w:val="634"/>
        </w:numPr>
        <w:rPr>
          <w:rFonts w:ascii="Arial" w:cs="Arial" w:eastAsia="Arial" w:hAnsi="Arial"/>
          <w:sz w:val="16"/>
          <w:szCs w:val="16"/>
          <w:color w:val="auto"/>
        </w:rPr>
      </w:pPr>
      <w:r>
        <w:rPr>
          <w:rFonts w:ascii="MS PGothic" w:cs="MS PGothic" w:eastAsia="MS PGothic" w:hAnsi="MS PGothic"/>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 xml:space="preserve"> Check and complete if Transferee will take delivery of a beneficial interest in a Restricted Definitive Note pursuant to any provision of the Securities Act other than Rule 144A or Regulation 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 restrictions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2" w:lineRule="exact"/>
        <w:rPr>
          <w:sz w:val="20"/>
          <w:szCs w:val="20"/>
          <w:color w:val="auto"/>
        </w:rPr>
      </w:pPr>
    </w:p>
    <w:p>
      <w:pPr>
        <w:ind w:left="5440" w:right="2400" w:hanging="4572"/>
        <w:spacing w:after="0" w:line="294" w:lineRule="exact"/>
        <w:tabs>
          <w:tab w:leader="none" w:pos="1113" w:val="left"/>
        </w:tabs>
        <w:numPr>
          <w:ilvl w:val="0"/>
          <w:numId w:val="6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61" w:lineRule="exact"/>
        <w:rPr>
          <w:rFonts w:ascii="Arial" w:cs="Arial" w:eastAsia="Arial" w:hAnsi="Arial"/>
          <w:sz w:val="18"/>
          <w:szCs w:val="18"/>
          <w:color w:val="auto"/>
        </w:rPr>
      </w:pPr>
    </w:p>
    <w:p>
      <w:pPr>
        <w:ind w:left="1120" w:hanging="252"/>
        <w:spacing w:after="0" w:line="207" w:lineRule="exact"/>
        <w:tabs>
          <w:tab w:leader="none" w:pos="1120" w:val="left"/>
        </w:tabs>
        <w:numPr>
          <w:ilvl w:val="0"/>
          <w:numId w:val="63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440" w:right="380" w:firstLine="428"/>
        <w:spacing w:after="0" w:line="239" w:lineRule="exact"/>
        <w:tabs>
          <w:tab w:leader="none" w:pos="1108" w:val="left"/>
        </w:tabs>
        <w:numPr>
          <w:ilvl w:val="1"/>
          <w:numId w:val="63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70" w:lineRule="exact"/>
        <w:rPr>
          <w:rFonts w:ascii="Arial" w:cs="Arial" w:eastAsia="Arial" w:hAnsi="Arial"/>
          <w:sz w:val="18"/>
          <w:szCs w:val="18"/>
          <w:color w:val="auto"/>
        </w:rPr>
      </w:pPr>
    </w:p>
    <w:p>
      <w:pPr>
        <w:ind w:left="620" w:hanging="176"/>
        <w:spacing w:after="0" w:line="184" w:lineRule="exact"/>
        <w:tabs>
          <w:tab w:leader="none" w:pos="620" w:val="left"/>
        </w:tabs>
        <w:numPr>
          <w:ilvl w:val="0"/>
          <w:numId w:val="637"/>
        </w:numPr>
        <w:rPr>
          <w:rFonts w:ascii="Arial" w:cs="Arial" w:eastAsia="Arial" w:hAnsi="Arial"/>
          <w:sz w:val="16"/>
          <w:szCs w:val="16"/>
          <w:color w:val="auto"/>
        </w:rPr>
      </w:pPr>
      <w:r>
        <w:rPr>
          <w:rFonts w:ascii="MS PGothic" w:cs="MS PGothic" w:eastAsia="MS PGothic" w:hAnsi="MS PGothic"/>
          <w:sz w:val="16"/>
          <w:szCs w:val="16"/>
          <w:u w:val="single" w:color="auto"/>
          <w:color w:val="auto"/>
        </w:rPr>
        <w:t>☐</w:t>
      </w:r>
      <w:r>
        <w:rPr>
          <w:rFonts w:ascii="Arial" w:cs="Arial" w:eastAsia="Arial" w:hAnsi="Arial"/>
          <w:sz w:val="16"/>
          <w:szCs w:val="16"/>
          <w:b w:val="1"/>
          <w:bCs w:val="1"/>
          <w:u w:val="single" w:color="auto"/>
          <w:color w:val="auto"/>
        </w:rPr>
        <w:t xml:space="preserve"> Check if Transferee will take delivery of a beneficial interest in an Unrestricted Global Note or of an Unrestricted Definitive Note.</w:t>
      </w:r>
    </w:p>
    <w:p>
      <w:pPr>
        <w:spacing w:after="0" w:line="140" w:lineRule="exact"/>
        <w:rPr>
          <w:sz w:val="20"/>
          <w:szCs w:val="20"/>
          <w:color w:val="auto"/>
        </w:rPr>
      </w:pPr>
    </w:p>
    <w:p>
      <w:pPr>
        <w:ind w:right="120" w:firstLine="444"/>
        <w:spacing w:after="0" w:line="224" w:lineRule="exact"/>
        <w:tabs>
          <w:tab w:leader="none" w:pos="685" w:val="left"/>
        </w:tabs>
        <w:numPr>
          <w:ilvl w:val="0"/>
          <w:numId w:val="6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4" w:lineRule="exact"/>
        <w:rPr>
          <w:rFonts w:ascii="Arial" w:cs="Arial" w:eastAsia="Arial" w:hAnsi="Arial"/>
          <w:sz w:val="18"/>
          <w:szCs w:val="18"/>
          <w:color w:val="auto"/>
        </w:rPr>
      </w:pPr>
    </w:p>
    <w:p>
      <w:pPr>
        <w:ind w:firstLine="444"/>
        <w:spacing w:after="0" w:line="224" w:lineRule="exact"/>
        <w:tabs>
          <w:tab w:leader="none" w:pos="695" w:val="left"/>
        </w:tabs>
        <w:numPr>
          <w:ilvl w:val="0"/>
          <w:numId w:val="63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 Rule 903 or Rule 904</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5" w:lineRule="exact"/>
        <w:rPr>
          <w:rFonts w:ascii="Arial" w:cs="Arial" w:eastAsia="Arial" w:hAnsi="Arial"/>
          <w:sz w:val="17"/>
          <w:szCs w:val="17"/>
          <w:color w:val="auto"/>
        </w:rPr>
      </w:pPr>
    </w:p>
    <w:p>
      <w:pPr>
        <w:ind w:right="180" w:firstLine="444"/>
        <w:spacing w:after="0" w:line="223" w:lineRule="exact"/>
        <w:tabs>
          <w:tab w:leader="none" w:pos="685" w:val="left"/>
        </w:tabs>
        <w:numPr>
          <w:ilvl w:val="0"/>
          <w:numId w:val="6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 exemption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41" w:right="439" w:bottom="1440" w:gutter="0" w:footer="0" w:header="0"/>
        </w:sectPr>
      </w:pPr>
    </w:p>
    <w:bookmarkStart w:id="455" w:name="page456"/>
    <w:bookmarkEnd w:id="455"/>
    <w:p>
      <w:pPr>
        <w:ind w:left="6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320040</wp:posOffset>
            </wp:positionV>
            <wp:extent cx="279590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2">
                      <a:extLst>
                        <a:ext uri="{28A0092B-C50C-407E-A947-70E740481C1C}"/>
                      </a:extLst>
                    </a:blip>
                    <a:srcRect/>
                    <a:stretch>
                      <a:fillRect/>
                    </a:stretch>
                  </pic:blipFill>
                  <pic:spPr bwMode="auto">
                    <a:xfrm>
                      <a:off x="0" y="0"/>
                      <a:ext cx="2795905" cy="8890"/>
                    </a:xfrm>
                    <a:prstGeom prst="rect">
                      <a:avLst/>
                    </a:prstGeom>
                    <a:noFill/>
                  </pic:spPr>
                </pic:pic>
              </a:graphicData>
            </a:graphic>
          </wp:anchor>
        </w:drawing>
        <w:t>[Insert Name of Transferor]</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019"/>
          </w:cols>
          <w:pgMar w:left="440" w:top="516" w:right="1440" w:bottom="1440" w:gutter="0" w:footer="0" w:header="0"/>
        </w:sectPr>
      </w:pPr>
    </w:p>
    <w:bookmarkStart w:id="456" w:name="page457"/>
    <w:bookmarkEnd w:id="456"/>
    <w:p>
      <w:pPr>
        <w:jc w:val="right"/>
        <w:ind w:right="2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256" w:lineRule="exact"/>
        <w:rPr>
          <w:sz w:val="20"/>
          <w:szCs w:val="20"/>
          <w:color w:val="auto"/>
        </w:rPr>
      </w:pPr>
    </w:p>
    <w:p>
      <w:pPr>
        <w:ind w:left="440" w:hanging="436"/>
        <w:spacing w:after="0"/>
        <w:tabs>
          <w:tab w:leader="none" w:pos="44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[CHECK ONE OF (a) OR (b)]</w:t>
      </w:r>
    </w:p>
    <w:p>
      <w:pPr>
        <w:spacing w:after="0" w:line="98" w:lineRule="exact"/>
        <w:rPr>
          <w:sz w:val="20"/>
          <w:szCs w:val="20"/>
          <w:color w:val="auto"/>
        </w:rPr>
      </w:pPr>
    </w:p>
    <w:p>
      <w:pPr>
        <w:ind w:left="860" w:hanging="424"/>
        <w:spacing w:after="0" w:line="207" w:lineRule="exact"/>
        <w:tabs>
          <w:tab w:leader="none" w:pos="860" w:val="left"/>
        </w:tabs>
        <w:numPr>
          <w:ilvl w:val="1"/>
          <w:numId w:val="64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2"/>
          <w:numId w:val="64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2"/>
          <w:numId w:val="64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130" w:lineRule="exact"/>
        <w:rPr>
          <w:rFonts w:ascii="Arial" w:cs="Arial" w:eastAsia="Arial" w:hAnsi="Arial"/>
          <w:sz w:val="18"/>
          <w:szCs w:val="18"/>
          <w:color w:val="auto"/>
        </w:rPr>
      </w:pPr>
    </w:p>
    <w:p>
      <w:pPr>
        <w:ind w:left="860" w:hanging="424"/>
        <w:spacing w:after="0" w:line="207" w:lineRule="exact"/>
        <w:tabs>
          <w:tab w:leader="none" w:pos="860" w:val="left"/>
        </w:tabs>
        <w:numPr>
          <w:ilvl w:val="1"/>
          <w:numId w:val="64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180" w:hanging="176"/>
        <w:spacing w:after="0"/>
        <w:tabs>
          <w:tab w:leader="none" w:pos="18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[CHECK ONE]</w:t>
      </w:r>
    </w:p>
    <w:p>
      <w:pPr>
        <w:spacing w:after="0" w:line="220" w:lineRule="exact"/>
        <w:rPr>
          <w:sz w:val="20"/>
          <w:szCs w:val="20"/>
          <w:color w:val="auto"/>
        </w:rPr>
      </w:pPr>
    </w:p>
    <w:p>
      <w:pPr>
        <w:ind w:left="860" w:hanging="424"/>
        <w:spacing w:after="0" w:line="207" w:lineRule="exact"/>
        <w:tabs>
          <w:tab w:leader="none" w:pos="860" w:val="left"/>
        </w:tabs>
        <w:numPr>
          <w:ilvl w:val="0"/>
          <w:numId w:val="6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1"/>
          <w:numId w:val="6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1"/>
          <w:numId w:val="6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1"/>
          <w:numId w:val="6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_________); or</w:t>
      </w:r>
    </w:p>
    <w:p>
      <w:pPr>
        <w:spacing w:after="0" w:line="130" w:lineRule="exact"/>
        <w:rPr>
          <w:rFonts w:ascii="Arial" w:cs="Arial" w:eastAsia="Arial" w:hAnsi="Arial"/>
          <w:sz w:val="18"/>
          <w:szCs w:val="18"/>
          <w:color w:val="auto"/>
        </w:rPr>
      </w:pPr>
    </w:p>
    <w:p>
      <w:pPr>
        <w:ind w:left="860" w:hanging="424"/>
        <w:spacing w:after="0" w:line="207" w:lineRule="exact"/>
        <w:tabs>
          <w:tab w:leader="none" w:pos="860" w:val="left"/>
        </w:tabs>
        <w:numPr>
          <w:ilvl w:val="0"/>
          <w:numId w:val="6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30" w:lineRule="exact"/>
        <w:rPr>
          <w:rFonts w:ascii="Arial" w:cs="Arial" w:eastAsia="Arial" w:hAnsi="Arial"/>
          <w:sz w:val="18"/>
          <w:szCs w:val="18"/>
          <w:color w:val="auto"/>
        </w:rPr>
      </w:pPr>
    </w:p>
    <w:p>
      <w:pPr>
        <w:ind w:left="860" w:hanging="424"/>
        <w:spacing w:after="0" w:line="207" w:lineRule="exact"/>
        <w:tabs>
          <w:tab w:leader="none" w:pos="860" w:val="left"/>
        </w:tabs>
        <w:numPr>
          <w:ilvl w:val="0"/>
          <w:numId w:val="64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019"/>
          </w:cols>
          <w:pgMar w:left="440" w:top="270" w:right="1440"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7.250% Senior Notes due 2024 of Studio City Finance Limited</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(CUSIP ____________)</w:t>
      </w:r>
    </w:p>
    <w:p>
      <w:pPr>
        <w:spacing w:after="0" w:line="225"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Reference is hereby made to the Indenture, dated as of February 11, 2019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__________________________,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US$____________ in such Note[s] or interests (the “</w:t>
      </w:r>
      <w:r>
        <w:rPr>
          <w:rFonts w:ascii="Arial" w:cs="Arial" w:eastAsia="Arial" w:hAnsi="Arial"/>
          <w:sz w:val="16"/>
          <w:szCs w:val="16"/>
          <w:i w:val="1"/>
          <w:iCs w:val="1"/>
          <w:color w:val="auto"/>
        </w:rPr>
        <w:t>Exchange</w:t>
      </w:r>
      <w:r>
        <w:rPr>
          <w:rFonts w:ascii="Arial" w:cs="Arial" w:eastAsia="Arial" w:hAnsi="Arial"/>
          <w:sz w:val="16"/>
          <w:szCs w:val="16"/>
          <w:color w:val="auto"/>
        </w:rPr>
        <w:t>”). In connection with the Exchange, the Owner hereby certifies that:</w:t>
      </w:r>
    </w:p>
    <w:p>
      <w:pPr>
        <w:spacing w:after="0" w:line="122" w:lineRule="exact"/>
        <w:rPr>
          <w:sz w:val="20"/>
          <w:szCs w:val="20"/>
          <w:color w:val="auto"/>
        </w:rPr>
      </w:pPr>
    </w:p>
    <w:p>
      <w:pPr>
        <w:ind w:right="700" w:firstLine="444"/>
        <w:spacing w:after="0" w:line="282" w:lineRule="auto"/>
        <w:tabs>
          <w:tab w:leader="none" w:pos="621" w:val="left"/>
        </w:tabs>
        <w:numPr>
          <w:ilvl w:val="0"/>
          <w:numId w:val="643"/>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25" w:lineRule="exact"/>
        <w:rPr>
          <w:sz w:val="20"/>
          <w:szCs w:val="20"/>
          <w:color w:val="auto"/>
        </w:rPr>
      </w:pPr>
    </w:p>
    <w:p>
      <w:pPr>
        <w:ind w:firstLine="444"/>
        <w:spacing w:after="0" w:line="223" w:lineRule="exact"/>
        <w:tabs>
          <w:tab w:leader="none" w:pos="685" w:val="left"/>
        </w:tabs>
        <w:numPr>
          <w:ilvl w:val="0"/>
          <w:numId w:val="64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64" w:lineRule="exact"/>
        <w:rPr>
          <w:rFonts w:ascii="Arial" w:cs="Arial" w:eastAsia="Arial" w:hAnsi="Arial"/>
          <w:sz w:val="17"/>
          <w:szCs w:val="17"/>
          <w:color w:val="auto"/>
        </w:rPr>
      </w:pPr>
    </w:p>
    <w:p>
      <w:pPr>
        <w:ind w:firstLine="444"/>
        <w:spacing w:after="0" w:line="224" w:lineRule="exact"/>
        <w:tabs>
          <w:tab w:leader="none" w:pos="695" w:val="left"/>
        </w:tabs>
        <w:numPr>
          <w:ilvl w:val="0"/>
          <w:numId w:val="64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65" w:lineRule="exact"/>
        <w:rPr>
          <w:rFonts w:ascii="Arial" w:cs="Arial" w:eastAsia="Arial" w:hAnsi="Arial"/>
          <w:sz w:val="17"/>
          <w:szCs w:val="17"/>
          <w:color w:val="auto"/>
        </w:rPr>
      </w:pPr>
    </w:p>
    <w:p>
      <w:pPr>
        <w:ind w:right="20" w:firstLine="444"/>
        <w:spacing w:after="0" w:line="224" w:lineRule="exact"/>
        <w:tabs>
          <w:tab w:leader="none" w:pos="685" w:val="left"/>
        </w:tabs>
        <w:numPr>
          <w:ilvl w:val="0"/>
          <w:numId w:val="64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69" w:right="439" w:bottom="1440" w:gutter="0" w:footer="0" w:header="0"/>
        </w:sectPr>
      </w:pPr>
    </w:p>
    <w:bookmarkStart w:id="458" w:name="page459"/>
    <w:bookmarkEnd w:id="458"/>
    <w:p>
      <w:pPr>
        <w:ind w:left="-4" w:firstLine="444"/>
        <w:spacing w:after="0" w:line="224" w:lineRule="exact"/>
        <w:tabs>
          <w:tab w:leader="none" w:pos="692" w:val="left"/>
        </w:tabs>
        <w:numPr>
          <w:ilvl w:val="0"/>
          <w:numId w:val="645"/>
        </w:numPr>
        <w:rPr>
          <w:rFonts w:ascii="Arial" w:cs="Arial" w:eastAsia="Arial" w:hAnsi="Arial"/>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 xml:space="preserve"> Check if Exchange is from Restricted Definitive Note to Unrestricted Definitive Note</w:t>
      </w:r>
      <w:r>
        <w:rPr>
          <w:rFonts w:ascii="Arial" w:cs="Arial" w:eastAsia="Arial" w:hAnsi="Arial"/>
          <w:sz w:val="17"/>
          <w:szCs w:val="17"/>
          <w:color w:val="auto"/>
        </w:rPr>
        <w:t>. In connection with the Owner’s Exchange of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94" w:lineRule="exact"/>
        <w:rPr>
          <w:sz w:val="20"/>
          <w:szCs w:val="20"/>
          <w:color w:val="auto"/>
        </w:rPr>
      </w:pPr>
    </w:p>
    <w:p>
      <w:pPr>
        <w:ind w:left="-4" w:right="120" w:firstLine="444"/>
        <w:spacing w:after="0" w:line="282" w:lineRule="auto"/>
        <w:tabs>
          <w:tab w:leader="none" w:pos="617" w:val="left"/>
        </w:tabs>
        <w:numPr>
          <w:ilvl w:val="0"/>
          <w:numId w:val="646"/>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25" w:lineRule="exact"/>
        <w:rPr>
          <w:sz w:val="20"/>
          <w:szCs w:val="20"/>
          <w:color w:val="auto"/>
        </w:rPr>
      </w:pPr>
    </w:p>
    <w:p>
      <w:pPr>
        <w:ind w:left="-4" w:firstLine="444"/>
        <w:spacing w:after="0" w:line="226" w:lineRule="exact"/>
        <w:tabs>
          <w:tab w:leader="none" w:pos="681" w:val="left"/>
        </w:tabs>
        <w:numPr>
          <w:ilvl w:val="1"/>
          <w:numId w:val="6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61" w:lineRule="exact"/>
        <w:rPr>
          <w:rFonts w:ascii="Arial" w:cs="Arial" w:eastAsia="Arial" w:hAnsi="Arial"/>
          <w:sz w:val="16"/>
          <w:szCs w:val="16"/>
          <w:color w:val="auto"/>
        </w:rPr>
      </w:pPr>
    </w:p>
    <w:p>
      <w:pPr>
        <w:ind w:left="-4" w:right="40" w:firstLine="444"/>
        <w:spacing w:after="0" w:line="232" w:lineRule="exact"/>
        <w:tabs>
          <w:tab w:leader="none" w:pos="692" w:val="left"/>
        </w:tabs>
        <w:numPr>
          <w:ilvl w:val="1"/>
          <w:numId w:val="64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with an equal principal amount, the Owner hereby certifies (i) the beneficial interest is being acquired for the Owner’s own account without transfer and</w:t>
      </w:r>
    </w:p>
    <w:p>
      <w:pPr>
        <w:ind w:left="-4" w:right="180" w:firstLine="4"/>
        <w:spacing w:after="0" w:line="295" w:lineRule="auto"/>
        <w:tabs>
          <w:tab w:leader="none" w:pos="261" w:val="left"/>
        </w:tabs>
        <w:numPr>
          <w:ilvl w:val="0"/>
          <w:numId w:val="648"/>
        </w:numPr>
        <w:rPr>
          <w:rFonts w:ascii="Arial" w:cs="Arial" w:eastAsia="Arial" w:hAnsi="Arial"/>
          <w:sz w:val="16"/>
          <w:szCs w:val="16"/>
          <w:color w:val="auto"/>
        </w:rPr>
      </w:pPr>
      <w:r>
        <w:rPr>
          <w:rFonts w:ascii="Arial" w:cs="Arial" w:eastAsia="Arial" w:hAnsi="Arial"/>
          <w:sz w:val="16"/>
          <w:szCs w:val="16"/>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62"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306705</wp:posOffset>
            </wp:positionV>
            <wp:extent cx="279590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16"/>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16"/>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6413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76"/>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76"/>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156"/>
        <w:spacing w:after="0"/>
        <w:rPr>
          <w:sz w:val="20"/>
          <w:szCs w:val="20"/>
          <w:color w:val="auto"/>
        </w:rPr>
      </w:pPr>
      <w:r>
        <w:rPr>
          <w:rFonts w:ascii="Arial" w:cs="Arial" w:eastAsia="Arial" w:hAnsi="Arial"/>
          <w:sz w:val="18"/>
          <w:szCs w:val="18"/>
          <w:color w:val="auto"/>
        </w:rPr>
        <w:t>Dated: ______________________</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96"/>
          </w:cols>
          <w:pgMar w:left="444" w:top="241" w:right="45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SUPPLEMENTAL INDENTURE (this “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_________, among [name of New Subsidiary Guarantor[s]] (the</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Subsidiary Guarantor</w:t>
      </w:r>
      <w:r>
        <w:rPr>
          <w:rFonts w:ascii="Arial" w:cs="Arial" w:eastAsia="Arial" w:hAnsi="Arial"/>
          <w:sz w:val="18"/>
          <w:szCs w:val="18"/>
          <w:color w:val="auto"/>
        </w:rPr>
        <w:t>”), Studio City Finance Limited, a BVI business company with limited liability incorporated under the laws of British Virgin Islands (the “</w:t>
      </w:r>
      <w:r>
        <w:rPr>
          <w:rFonts w:ascii="Arial" w:cs="Arial" w:eastAsia="Arial" w:hAnsi="Arial"/>
          <w:sz w:val="18"/>
          <w:szCs w:val="18"/>
          <w:i w:val="1"/>
          <w:iCs w:val="1"/>
          <w:color w:val="auto"/>
        </w:rPr>
        <w:t>Company</w:t>
      </w:r>
      <w:r>
        <w:rPr>
          <w:rFonts w:ascii="Arial" w:cs="Arial" w:eastAsia="Arial" w:hAnsi="Arial"/>
          <w:sz w:val="18"/>
          <w:szCs w:val="18"/>
          <w:color w:val="auto"/>
        </w:rPr>
        <w:t>”) and Deutsche Bank Trust Company Americas, as Trustee (in such role,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WHEREAS the Company, the Trustee and each of the parties described above are parties to an Indenture, dated as of February 11, 2019, as amended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the Company’s 7.250% Senior Notes due 2024;</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9.03 of the Indenture, each New Subsidiary Guarantor is required to execute a supplemental Indenture;</w:t>
      </w:r>
    </w:p>
    <w:p>
      <w:pPr>
        <w:spacing w:after="0" w:line="237"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Subsidiary Guarantor, the Company, the Trustee and the other parties hereto mutually covenant and agree for the equal and ratable benefit of the Holders as follows:</w:t>
      </w:r>
    </w:p>
    <w:p>
      <w:pPr>
        <w:spacing w:after="0" w:line="73" w:lineRule="exact"/>
        <w:rPr>
          <w:sz w:val="20"/>
          <w:szCs w:val="20"/>
          <w:color w:val="auto"/>
        </w:rPr>
      </w:pPr>
    </w:p>
    <w:p>
      <w:pPr>
        <w:ind w:left="620" w:hanging="176"/>
        <w:spacing w:after="0"/>
        <w:tabs>
          <w:tab w:leader="none" w:pos="620" w:val="left"/>
        </w:tabs>
        <w:numPr>
          <w:ilvl w:val="0"/>
          <w:numId w:val="64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but not defined herein shall have the meanings assigned to them in the Indenture.</w:t>
      </w:r>
    </w:p>
    <w:p>
      <w:pPr>
        <w:spacing w:after="0" w:line="117" w:lineRule="exact"/>
        <w:rPr>
          <w:rFonts w:ascii="Arial" w:cs="Arial" w:eastAsia="Arial" w:hAnsi="Arial"/>
          <w:sz w:val="18"/>
          <w:szCs w:val="18"/>
          <w:color w:val="auto"/>
        </w:rPr>
      </w:pPr>
    </w:p>
    <w:p>
      <w:pPr>
        <w:ind w:right="40" w:firstLine="444"/>
        <w:spacing w:after="0" w:line="287" w:lineRule="auto"/>
        <w:tabs>
          <w:tab w:leader="none" w:pos="621" w:val="left"/>
        </w:tabs>
        <w:numPr>
          <w:ilvl w:val="0"/>
          <w:numId w:val="649"/>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Pursuant to, and subject to the provisions of, Article 11 of the Indenture, [each][the] New Subsidiary Guarantor (which term includes each other New Subsidiary Guarantor that hereinafter guarantees the Notes pursuant to the terms of the Indenture) hereby unconditionally and irrevocably guarantees, jointly and severally with each other New Subsidiary Guarantor and all Subsidiary Guarantors,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[Each][The] New Subsidiary Guarantor further agrees that the Guaranteed Obligations may be extended or renewed, in whole or in part, without notice or further assent from such New Subsidiary Guarantor and that such New Subsidiary Guarantor[s] will remain bound under Article 11 of the Indenture, notwithstanding any extension or renewal of any Guaranteed Obligation.</w:t>
      </w:r>
    </w:p>
    <w:p>
      <w:pPr>
        <w:spacing w:after="0" w:line="173"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The Guaranteed Obligations of [each][the] New Subsidiary Guarantor to the Holders of Notes and to the Trustee pursuant to the Indenture as supplemented hereby, are expressly set forth in Article 11 of the Indenture and reference is hereby made to the Indenture for the precise terms of the Note Guarantee.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460" w:name="page461"/>
    <w:bookmarkEnd w:id="460"/>
    <w:p>
      <w:pPr>
        <w:ind w:left="540" w:hanging="96"/>
        <w:spacing w:after="0"/>
        <w:tabs>
          <w:tab w:leader="none" w:pos="540" w:val="left"/>
        </w:tabs>
        <w:numPr>
          <w:ilvl w:val="0"/>
          <w:numId w:val="6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Relevant limitations imposed by local law analogous to Section 11.02 of the Indenture to be inserted, if and as applicable</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4" w:lineRule="auto"/>
        <w:tabs>
          <w:tab w:leader="none" w:pos="621"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 Supplemental Indentures Part of Indenture.</w:t>
      </w:r>
      <w:r>
        <w:rPr>
          <w:rFonts w:ascii="Arial" w:cs="Arial" w:eastAsia="Arial" w:hAnsi="Arial"/>
          <w:sz w:val="18"/>
          <w:szCs w:val="18"/>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each Holder, by accepting the Notes whether heretofore or hereafter authenticated and delivered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[the][each] New Subsidiary Guarantor and each Subsidiary Guarantor shall be released from all its obligations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Guarantee in accordance with the terms of the Indenture, including Section 11.08 of the Indenture and upon any defeasance of the Notes in accordance with Article 8 of the Indenture.</w:t>
      </w:r>
    </w:p>
    <w:p>
      <w:pPr>
        <w:spacing w:after="0" w:line="84" w:lineRule="exact"/>
        <w:rPr>
          <w:rFonts w:ascii="Arial" w:cs="Arial" w:eastAsia="Arial" w:hAnsi="Arial"/>
          <w:sz w:val="18"/>
          <w:szCs w:val="18"/>
          <w:color w:val="auto"/>
        </w:rPr>
      </w:pPr>
    </w:p>
    <w:p>
      <w:pPr>
        <w:ind w:left="620" w:hanging="176"/>
        <w:spacing w:after="0"/>
        <w:tabs>
          <w:tab w:leader="none" w:pos="620"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LAWS OF THE STATE OF NEW YORK.</w:t>
      </w:r>
    </w:p>
    <w:p>
      <w:pPr>
        <w:spacing w:after="0" w:line="102" w:lineRule="exact"/>
        <w:rPr>
          <w:rFonts w:ascii="Arial" w:cs="Arial" w:eastAsia="Arial" w:hAnsi="Arial"/>
          <w:sz w:val="18"/>
          <w:szCs w:val="18"/>
          <w:color w:val="auto"/>
        </w:rPr>
      </w:pPr>
    </w:p>
    <w:p>
      <w:pPr>
        <w:ind w:right="280" w:firstLine="444"/>
        <w:spacing w:after="0" w:line="277" w:lineRule="auto"/>
        <w:tabs>
          <w:tab w:leader="none" w:pos="621"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xml:space="preserve"> The Trustee makes no representation as to the validity or sufficiency of this Supplemental Indenture. The recitals of fact contained herein shall be treated as statements of the other parties hereto and not the Trustee.</w:t>
      </w:r>
    </w:p>
    <w:p>
      <w:pPr>
        <w:spacing w:after="0" w:line="62" w:lineRule="exact"/>
        <w:rPr>
          <w:rFonts w:ascii="Arial" w:cs="Arial" w:eastAsia="Arial" w:hAnsi="Arial"/>
          <w:sz w:val="18"/>
          <w:szCs w:val="18"/>
          <w:color w:val="auto"/>
        </w:rPr>
      </w:pPr>
    </w:p>
    <w:p>
      <w:pPr>
        <w:ind w:right="80" w:firstLine="444"/>
        <w:spacing w:after="0" w:line="277" w:lineRule="auto"/>
        <w:tabs>
          <w:tab w:leader="none" w:pos="621"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651"/>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20"/>
          </w:cols>
          <w:pgMar w:left="440" w:top="274" w:right="439" w:bottom="1440" w:gutter="0" w:footer="0" w:header="0"/>
        </w:sectPr>
      </w:pPr>
    </w:p>
    <w:bookmarkStart w:id="461" w:name="page462"/>
    <w:bookmarkEnd w:id="4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OF NEW SUBSIDIARY GUARANTOR],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New Subsidiary Guarantor,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DEUTSCHE BANK TRUST COMPANY AMERICAS, as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440"/>
          </w:cols>
          <w:pgMar w:left="880" w:top="274" w:right="579" w:bottom="1440"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b w:val="1"/>
          <w:bCs w:val="1"/>
          <w:color w:val="auto"/>
        </w:rPr>
        <w:t>Exhibit 4.21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Cabot Square,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4QA England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Representatives of the several Underwriters named in Schedule A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Studio City International Holdings Limited (the “</w:t>
      </w:r>
      <w:r>
        <w:rPr>
          <w:rFonts w:ascii="Arial" w:cs="Arial" w:eastAsia="Arial" w:hAnsi="Arial"/>
          <w:sz w:val="17"/>
          <w:szCs w:val="17"/>
          <w:b w:val="1"/>
          <w:bCs w:val="1"/>
          <w:color w:val="auto"/>
        </w:rPr>
        <w:t>Company</w:t>
      </w:r>
      <w:r>
        <w:rPr>
          <w:rFonts w:ascii="Arial" w:cs="Arial" w:eastAsia="Arial" w:hAnsi="Arial"/>
          <w:sz w:val="17"/>
          <w:szCs w:val="17"/>
          <w:color w:val="auto"/>
        </w:rPr>
        <w:t>”), a Cayman Islands exempted company with limited liability, proposes to issue and sell to the several Underwriters named in Schedule A attached hereto (the “</w:t>
      </w:r>
      <w:r>
        <w:rPr>
          <w:rFonts w:ascii="Arial" w:cs="Arial" w:eastAsia="Arial" w:hAnsi="Arial"/>
          <w:sz w:val="17"/>
          <w:szCs w:val="17"/>
          <w:b w:val="1"/>
          <w:bCs w:val="1"/>
          <w:color w:val="auto"/>
        </w:rPr>
        <w:t>Underwriters</w:t>
      </w:r>
      <w:r>
        <w:rPr>
          <w:rFonts w:ascii="Arial" w:cs="Arial" w:eastAsia="Arial" w:hAnsi="Arial"/>
          <w:sz w:val="17"/>
          <w:szCs w:val="17"/>
          <w:color w:val="auto"/>
        </w:rPr>
        <w:t>”), of whom you act as the Representatives, an aggregate of 28,750,000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each representing four Class A ordinary shares, par value US$0.0001 per share, of the Company (each an “</w:t>
      </w:r>
      <w:r>
        <w:rPr>
          <w:rFonts w:ascii="Arial" w:cs="Arial" w:eastAsia="Arial" w:hAnsi="Arial"/>
          <w:sz w:val="17"/>
          <w:szCs w:val="17"/>
          <w:b w:val="1"/>
          <w:bCs w:val="1"/>
          <w:color w:val="auto"/>
        </w:rPr>
        <w:t>Ordinary Share</w:t>
      </w:r>
      <w:r>
        <w:rPr>
          <w:rFonts w:ascii="Arial" w:cs="Arial" w:eastAsia="Arial" w:hAnsi="Arial"/>
          <w:sz w:val="17"/>
          <w:szCs w:val="17"/>
          <w:color w:val="auto"/>
        </w:rPr>
        <w:t>”). The 28,750,000 ADSs to be sold by the Company are collectively called the “</w:t>
      </w:r>
      <w:r>
        <w:rPr>
          <w:rFonts w:ascii="Arial" w:cs="Arial" w:eastAsia="Arial" w:hAnsi="Arial"/>
          <w:sz w:val="17"/>
          <w:szCs w:val="17"/>
          <w:b w:val="1"/>
          <w:bCs w:val="1"/>
          <w:color w:val="auto"/>
        </w:rPr>
        <w:t>Firm ADSs</w:t>
      </w:r>
      <w:r>
        <w:rPr>
          <w:rFonts w:ascii="Arial" w:cs="Arial" w:eastAsia="Arial" w:hAnsi="Arial"/>
          <w:sz w:val="17"/>
          <w:szCs w:val="17"/>
          <w:color w:val="auto"/>
        </w:rPr>
        <w:t>.” In addition, the Company has granted to the Underwriters an option to purchase up to an additional 4,312,500 ADSs. The additional 4,312,500 ADSs to be sold by the Company pursuant to such option are collectively called the “</w:t>
      </w:r>
      <w:r>
        <w:rPr>
          <w:rFonts w:ascii="Arial" w:cs="Arial" w:eastAsia="Arial" w:hAnsi="Arial"/>
          <w:sz w:val="17"/>
          <w:szCs w:val="17"/>
          <w:b w:val="1"/>
          <w:bCs w:val="1"/>
          <w:color w:val="auto"/>
        </w:rPr>
        <w:t>Optional ADSs</w:t>
      </w:r>
      <w:r>
        <w:rPr>
          <w:rFonts w:ascii="Arial" w:cs="Arial" w:eastAsia="Arial" w:hAnsi="Arial"/>
          <w:sz w:val="17"/>
          <w:szCs w:val="17"/>
          <w:color w:val="auto"/>
        </w:rPr>
        <w:t>”. The Firm ADSs and, if and to the extent such option is exercised, the Optional ADSs are collectively called the “</w:t>
      </w:r>
      <w:r>
        <w:rPr>
          <w:rFonts w:ascii="Arial" w:cs="Arial" w:eastAsia="Arial" w:hAnsi="Arial"/>
          <w:sz w:val="17"/>
          <w:szCs w:val="17"/>
          <w:b w:val="1"/>
          <w:bCs w:val="1"/>
          <w:color w:val="auto"/>
        </w:rPr>
        <w:t>Offered ADSs</w:t>
      </w:r>
      <w:r>
        <w:rPr>
          <w:rFonts w:ascii="Arial" w:cs="Arial" w:eastAsia="Arial" w:hAnsi="Arial"/>
          <w:sz w:val="17"/>
          <w:szCs w:val="17"/>
          <w:color w:val="auto"/>
        </w:rPr>
        <w:t>.” The Ordinary Shares represented by the Firm ADSs and the Ordinary Shares represented by the Optional ADSs are hereinafter collectively called the “</w:t>
      </w:r>
      <w:r>
        <w:rPr>
          <w:rFonts w:ascii="Arial" w:cs="Arial" w:eastAsia="Arial" w:hAnsi="Arial"/>
          <w:sz w:val="17"/>
          <w:szCs w:val="17"/>
          <w:b w:val="1"/>
          <w:bCs w:val="1"/>
          <w:color w:val="auto"/>
        </w:rPr>
        <w:t>Shares</w:t>
      </w:r>
      <w:r>
        <w:rPr>
          <w:rFonts w:ascii="Arial" w:cs="Arial" w:eastAsia="Arial" w:hAnsi="Arial"/>
          <w:sz w:val="17"/>
          <w:szCs w:val="17"/>
          <w:color w:val="auto"/>
        </w:rPr>
        <w:t>.” Unless the context otherwise requires, each reference to the Offered ADSs herein also includes the Shares.</w:t>
      </w:r>
    </w:p>
    <w:p>
      <w:pPr>
        <w:spacing w:after="0" w:line="17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As provided in Section 1 hereof, the Underwriters will take delivery of the Shares in the form of ADSs. The ADSs shall be evidenced by American Depositary Receipts (the “</w:t>
      </w:r>
      <w:r>
        <w:rPr>
          <w:rFonts w:ascii="Arial" w:cs="Arial" w:eastAsia="Arial" w:hAnsi="Arial"/>
          <w:sz w:val="18"/>
          <w:szCs w:val="18"/>
          <w:b w:val="1"/>
          <w:bCs w:val="1"/>
          <w:color w:val="auto"/>
        </w:rPr>
        <w:t>ADRs</w:t>
      </w:r>
      <w:r>
        <w:rPr>
          <w:rFonts w:ascii="Arial" w:cs="Arial" w:eastAsia="Arial" w:hAnsi="Arial"/>
          <w:sz w:val="18"/>
          <w:szCs w:val="18"/>
          <w:color w:val="auto"/>
        </w:rPr>
        <w:t>”) issued pursuant to a Deposit Agreement dated as of October 17, 2018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Deustche Bank Trust Company Americas,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owners and holders from time to time of the American Depositary Shares issued under the Deposit Agreement. Each ADS will initially represent the right to receive four Ordinary Shares deposited pursuant to the Deposit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63" w:name="page464"/>
    <w:bookmarkEnd w:id="463"/>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The Company has prepared and filed, in accordance with the provisions of the Securities Act of 1933, as amended, and the rules and regulations thereunder (collectively, the “</w:t>
      </w:r>
      <w:r>
        <w:rPr>
          <w:rFonts w:ascii="Arial" w:cs="Arial" w:eastAsia="Arial" w:hAnsi="Arial"/>
          <w:sz w:val="17"/>
          <w:szCs w:val="17"/>
          <w:b w:val="1"/>
          <w:bCs w:val="1"/>
          <w:color w:val="auto"/>
        </w:rPr>
        <w:t>Act</w:t>
      </w:r>
      <w:r>
        <w:rPr>
          <w:rFonts w:ascii="Arial" w:cs="Arial" w:eastAsia="Arial" w:hAnsi="Arial"/>
          <w:sz w:val="17"/>
          <w:szCs w:val="17"/>
          <w:color w:val="auto"/>
        </w:rPr>
        <w:t>”), with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F-1 (File No. 333-227232) under the Act, including a prospectus, relating to the ADSs. Such registration statement has become effective under the Act. The Company has filed, in accordance with Section 12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 registration statement on Form 8-A to register the Offered ADSs (the “</w:t>
      </w:r>
      <w:r>
        <w:rPr>
          <w:rFonts w:ascii="Arial" w:cs="Arial" w:eastAsia="Arial" w:hAnsi="Arial"/>
          <w:sz w:val="17"/>
          <w:szCs w:val="17"/>
          <w:b w:val="1"/>
          <w:bCs w:val="1"/>
          <w:color w:val="auto"/>
        </w:rPr>
        <w:t>Form 8-A Registration Statement</w:t>
      </w:r>
      <w:r>
        <w:rPr>
          <w:rFonts w:ascii="Arial" w:cs="Arial" w:eastAsia="Arial" w:hAnsi="Arial"/>
          <w:sz w:val="17"/>
          <w:szCs w:val="17"/>
          <w:color w:val="auto"/>
        </w:rPr>
        <w:t>”).</w:t>
      </w:r>
    </w:p>
    <w:p>
      <w:pPr>
        <w:spacing w:after="0" w:line="17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Company has prepared and filed with the Commission under the Act a registration statement on Form F-6 (File No. 333-227759). As used in this Agreement, “</w:t>
      </w:r>
      <w:r>
        <w:rPr>
          <w:rFonts w:ascii="Arial" w:cs="Arial" w:eastAsia="Arial" w:hAnsi="Arial"/>
          <w:sz w:val="18"/>
          <w:szCs w:val="18"/>
          <w:b w:val="1"/>
          <w:bCs w:val="1"/>
          <w:color w:val="auto"/>
        </w:rPr>
        <w:t>F-6 Registration Statement</w:t>
      </w:r>
      <w:r>
        <w:rPr>
          <w:rFonts w:ascii="Arial" w:cs="Arial" w:eastAsia="Arial" w:hAnsi="Arial"/>
          <w:sz w:val="18"/>
          <w:szCs w:val="18"/>
          <w:color w:val="auto"/>
        </w:rPr>
        <w:t>” means such registration statement on Form F-6, as amended at the time it became effective under the Act, including all exhibits thereto.</w:t>
      </w:r>
    </w:p>
    <w:p>
      <w:pPr>
        <w:spacing w:after="0" w:line="177"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color w:val="auto"/>
        </w:rPr>
        <w:t>Except where the context otherwise requires,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used herein, means the registration statement, as amended at the time of such registration statement’s effectiveness for purposes of Section 11 of the Act, as such section applies to the respective Underwriters (the “</w:t>
      </w:r>
      <w:r>
        <w:rPr>
          <w:rFonts w:ascii="Arial" w:cs="Arial" w:eastAsia="Arial" w:hAnsi="Arial"/>
          <w:sz w:val="16"/>
          <w:szCs w:val="16"/>
          <w:b w:val="1"/>
          <w:b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Time</w:t>
      </w:r>
      <w:r>
        <w:rPr>
          <w:rFonts w:ascii="Arial" w:cs="Arial" w:eastAsia="Arial" w:hAnsi="Arial"/>
          <w:sz w:val="16"/>
          <w:szCs w:val="16"/>
          <w:color w:val="auto"/>
        </w:rPr>
        <w:t>”), including (i) all documents filed as a part thereof, (ii) any information contained in a prospectus filed with the Commission pursuant to Rule</w:t>
      </w:r>
      <w:r>
        <w:rPr>
          <w:rFonts w:ascii="Arial" w:cs="Arial" w:eastAsia="Arial" w:hAnsi="Arial"/>
          <w:sz w:val="16"/>
          <w:szCs w:val="16"/>
          <w:b w:val="1"/>
          <w:bCs w:val="1"/>
          <w:color w:val="auto"/>
        </w:rPr>
        <w:t xml:space="preserve"> </w:t>
      </w:r>
      <w:r>
        <w:rPr>
          <w:rFonts w:ascii="Arial" w:cs="Arial" w:eastAsia="Arial" w:hAnsi="Arial"/>
          <w:sz w:val="16"/>
          <w:szCs w:val="16"/>
          <w:color w:val="auto"/>
        </w:rPr>
        <w:t>424(b) under the Act, to the extent such information is deemed, pursuant to Rule 430A under the Act, to be part of the registration statement at the Effective Time and (iii) any registration statement filed to register the offer and sale of ADSs pursuant to Rule 462(b) under the Act.</w:t>
      </w:r>
    </w:p>
    <w:p>
      <w:pPr>
        <w:spacing w:after="0" w:line="158"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The Company has furnished to you, for use by the Underwriters, copies of one or more preliminary prospectus, relating to the Offered ADSs. Except where the context otherwise requires, “</w:t>
      </w:r>
      <w:r>
        <w:rPr>
          <w:rFonts w:ascii="Arial" w:cs="Arial" w:eastAsia="Arial" w:hAnsi="Arial"/>
          <w:sz w:val="18"/>
          <w:szCs w:val="18"/>
          <w:b w:val="1"/>
          <w:bCs w:val="1"/>
          <w:color w:val="auto"/>
        </w:rPr>
        <w:t>Pre-Pricing Prospectus</w:t>
      </w:r>
      <w:r>
        <w:rPr>
          <w:rFonts w:ascii="Arial" w:cs="Arial" w:eastAsia="Arial" w:hAnsi="Arial"/>
          <w:sz w:val="18"/>
          <w:szCs w:val="18"/>
          <w:color w:val="auto"/>
        </w:rPr>
        <w:t>,” as used herein, means each such preliminary prospectus, in the form so furnished.</w:t>
      </w:r>
    </w:p>
    <w:p>
      <w:pPr>
        <w:spacing w:after="0" w:line="177"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Except where the context otherwise requires, “</w:t>
      </w:r>
      <w:r>
        <w:rPr>
          <w:rFonts w:ascii="Arial" w:cs="Arial" w:eastAsia="Arial" w:hAnsi="Arial"/>
          <w:sz w:val="18"/>
          <w:szCs w:val="18"/>
          <w:b w:val="1"/>
          <w:bCs w:val="1"/>
          <w:color w:val="auto"/>
        </w:rPr>
        <w:t>Prospectus</w:t>
      </w:r>
      <w:r>
        <w:rPr>
          <w:rFonts w:ascii="Arial" w:cs="Arial" w:eastAsia="Arial" w:hAnsi="Arial"/>
          <w:sz w:val="18"/>
          <w:szCs w:val="18"/>
          <w:color w:val="auto"/>
        </w:rPr>
        <w:t>,” as used herein, means the prospectus, relating to the Offered ADSs, filed by the Company with the Commission pursuant to Rule 424(b) under the Act on or before the second business day after the date hereof and that is also a day on which the Commission is open for business (or such earlier time as may be required under the Act) in the form furnished by the Company to you for use by the Underwriters in connection with the offering of the Offered ADSs.</w:t>
      </w:r>
    </w:p>
    <w:p>
      <w:pPr>
        <w:spacing w:after="0" w:line="180"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Free Writing Prospectuses</w:t>
      </w:r>
      <w:r>
        <w:rPr>
          <w:rFonts w:ascii="Arial" w:cs="Arial" w:eastAsia="Arial" w:hAnsi="Arial"/>
          <w:sz w:val="16"/>
          <w:szCs w:val="16"/>
          <w:color w:val="auto"/>
        </w:rPr>
        <w:t>,” as used herein, means the documents listed on Schedule B attached hereto under the heading “Permitted Free Writing Prospectuses” and each “road show” (as defined in Rule 433 under the Act), if any, related to the offering of the Offered ADSs contemplated hereby that is a “written communication” (as defined in Rule 405 under the Act). The Underwriters have not offered or sold and will not offer or sell, without the Company’s consent, any Offered ADSs by means of any “free writing prospectus” (as defined in Rule 405 under the Act) that is required to be filed by the Underwriters with the Commission pursuant to Rule 433 under the Act, other than a Permitted Free Writing Prospectus.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69" w:right="439" w:bottom="1440" w:gutter="0" w:footer="0" w:header="0"/>
        </w:sectPr>
      </w:pPr>
    </w:p>
    <w:bookmarkStart w:id="464" w:name="page465"/>
    <w:bookmarkEnd w:id="464"/>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ind w:right="2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Free Writing Prospectuses</w:t>
      </w:r>
      <w:r>
        <w:rPr>
          <w:rFonts w:ascii="Arial" w:cs="Arial" w:eastAsia="Arial" w:hAnsi="Arial"/>
          <w:sz w:val="16"/>
          <w:szCs w:val="16"/>
          <w:color w:val="auto"/>
        </w:rPr>
        <w:t>,” as used herein, means (i) each “issuer free writing prospectus” (as defined in Rule 433(h)(1) under the Act), if any, relating to the Offered ADSs, which is not a Permitted Free Writing Prospectus and (ii) each Permitted Free Writing Prospectus.</w:t>
      </w:r>
    </w:p>
    <w:p>
      <w:pPr>
        <w:spacing w:after="0" w:line="116" w:lineRule="exact"/>
        <w:rPr>
          <w:sz w:val="20"/>
          <w:szCs w:val="20"/>
          <w:color w:val="auto"/>
        </w:rPr>
      </w:pPr>
    </w:p>
    <w:p>
      <w:pPr>
        <w:ind w:right="1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Package</w:t>
      </w:r>
      <w:r>
        <w:rPr>
          <w:rFonts w:ascii="Arial" w:cs="Arial" w:eastAsia="Arial" w:hAnsi="Arial"/>
          <w:sz w:val="18"/>
          <w:szCs w:val="18"/>
          <w:color w:val="auto"/>
        </w:rPr>
        <w:t>,” as used herein, means, collectively, the pricing information set forth on Schedule B attached hereto under the heading “Pricing Information Provided Orally by Underwriters,” the Pre-Pricing Prospectus immediately prior to the Applicable Time and all Permitted Free Writing Prospectuses issued at or prior to the Applicable Time, if any, considered together. “</w:t>
      </w:r>
      <w:r>
        <w:rPr>
          <w:rFonts w:ascii="Arial" w:cs="Arial" w:eastAsia="Arial" w:hAnsi="Arial"/>
          <w:sz w:val="18"/>
          <w:szCs w:val="18"/>
          <w:b w:val="1"/>
          <w:bCs w:val="1"/>
          <w:color w:val="auto"/>
        </w:rPr>
        <w:t>Applicable Time</w:t>
      </w:r>
      <w:r>
        <w:rPr>
          <w:rFonts w:ascii="Arial" w:cs="Arial" w:eastAsia="Arial" w:hAnsi="Arial"/>
          <w:sz w:val="18"/>
          <w:szCs w:val="18"/>
          <w:color w:val="auto"/>
        </w:rPr>
        <w:t>,” as used herein, means 8:00 P.M., New York City time, on October 17, 2018.</w:t>
      </w:r>
    </w:p>
    <w:p>
      <w:pPr>
        <w:spacing w:after="0" w:line="184"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In connection with the offering contemplated by this Agreement, the Company has entered into or will enter into, among other things, (i) an implementation agreement (the “</w:t>
      </w:r>
      <w:r>
        <w:rPr>
          <w:rFonts w:ascii="Arial" w:cs="Arial" w:eastAsia="Arial" w:hAnsi="Arial"/>
          <w:sz w:val="17"/>
          <w:szCs w:val="17"/>
          <w:b w:val="1"/>
          <w:bCs w:val="1"/>
          <w:color w:val="auto"/>
        </w:rPr>
        <w:t>Implementation Agreement</w:t>
      </w:r>
      <w:r>
        <w:rPr>
          <w:rFonts w:ascii="Arial" w:cs="Arial" w:eastAsia="Arial" w:hAnsi="Arial"/>
          <w:sz w:val="17"/>
          <w:szCs w:val="17"/>
          <w:color w:val="auto"/>
        </w:rPr>
        <w:t>”) with MCE Cotai Investments Limited, Melco Resorts &amp; Entertainment Limited, New Cotai, LLC and MSC Cotai Limited (“</w:t>
      </w:r>
      <w:r>
        <w:rPr>
          <w:rFonts w:ascii="Arial" w:cs="Arial" w:eastAsia="Arial" w:hAnsi="Arial"/>
          <w:sz w:val="17"/>
          <w:szCs w:val="17"/>
          <w:b w:val="1"/>
          <w:bCs w:val="1"/>
          <w:color w:val="auto"/>
        </w:rPr>
        <w:t>MSC Cotai</w:t>
      </w:r>
      <w:r>
        <w:rPr>
          <w:rFonts w:ascii="Arial" w:cs="Arial" w:eastAsia="Arial" w:hAnsi="Arial"/>
          <w:sz w:val="17"/>
          <w:szCs w:val="17"/>
          <w:color w:val="auto"/>
        </w:rPr>
        <w:t>,” and together with the Company, the “</w:t>
      </w:r>
      <w:r>
        <w:rPr>
          <w:rFonts w:ascii="Arial" w:cs="Arial" w:eastAsia="Arial" w:hAnsi="Arial"/>
          <w:sz w:val="17"/>
          <w:szCs w:val="17"/>
          <w:b w:val="1"/>
          <w:bCs w:val="1"/>
          <w:color w:val="auto"/>
        </w:rPr>
        <w:t>Company Parties</w:t>
      </w:r>
      <w:r>
        <w:rPr>
          <w:rFonts w:ascii="Arial" w:cs="Arial" w:eastAsia="Arial" w:hAnsi="Arial"/>
          <w:sz w:val="17"/>
          <w:szCs w:val="17"/>
          <w:color w:val="auto"/>
        </w:rPr>
        <w:t>”) and the joinder thereto (the “</w:t>
      </w:r>
      <w:r>
        <w:rPr>
          <w:rFonts w:ascii="Arial" w:cs="Arial" w:eastAsia="Arial" w:hAnsi="Arial"/>
          <w:sz w:val="17"/>
          <w:szCs w:val="17"/>
          <w:b w:val="1"/>
          <w:bCs w:val="1"/>
          <w:color w:val="auto"/>
        </w:rPr>
        <w:t>Joinder to</w:t>
      </w:r>
      <w:r>
        <w:rPr>
          <w:rFonts w:ascii="Arial" w:cs="Arial" w:eastAsia="Arial" w:hAnsi="Arial"/>
          <w:sz w:val="17"/>
          <w:szCs w:val="17"/>
          <w:color w:val="auto"/>
        </w:rPr>
        <w:t xml:space="preserve"> </w:t>
      </w:r>
      <w:r>
        <w:rPr>
          <w:rFonts w:ascii="Arial" w:cs="Arial" w:eastAsia="Arial" w:hAnsi="Arial"/>
          <w:sz w:val="17"/>
          <w:szCs w:val="17"/>
          <w:b w:val="1"/>
          <w:bCs w:val="1"/>
          <w:color w:val="auto"/>
        </w:rPr>
        <w:t>Implementation Agreement</w:t>
      </w:r>
      <w:r>
        <w:rPr>
          <w:rFonts w:ascii="Arial" w:cs="Arial" w:eastAsia="Arial" w:hAnsi="Arial"/>
          <w:sz w:val="17"/>
          <w:szCs w:val="17"/>
          <w:color w:val="auto"/>
        </w:rPr>
        <w:t>”), (ii) a transfer agreement with MSC Cotai (the “</w:t>
      </w:r>
      <w:r>
        <w:rPr>
          <w:rFonts w:ascii="Arial" w:cs="Arial" w:eastAsia="Arial" w:hAnsi="Arial"/>
          <w:sz w:val="17"/>
          <w:szCs w:val="17"/>
          <w:b w:val="1"/>
          <w:bCs w:val="1"/>
          <w:color w:val="auto"/>
        </w:rPr>
        <w:t>Transfer Agreement</w:t>
      </w:r>
      <w:r>
        <w:rPr>
          <w:rFonts w:ascii="Arial" w:cs="Arial" w:eastAsia="Arial" w:hAnsi="Arial"/>
          <w:sz w:val="17"/>
          <w:szCs w:val="17"/>
          <w:color w:val="auto"/>
        </w:rPr>
        <w:t>”), (iii) a participation agreement with New Cotai,</w:t>
      </w:r>
      <w:r>
        <w:rPr>
          <w:rFonts w:ascii="Arial" w:cs="Arial" w:eastAsia="Arial" w:hAnsi="Arial"/>
          <w:sz w:val="17"/>
          <w:szCs w:val="17"/>
          <w:b w:val="1"/>
          <w:bCs w:val="1"/>
          <w:color w:val="auto"/>
        </w:rPr>
        <w:t xml:space="preserve"> </w:t>
      </w:r>
      <w:r>
        <w:rPr>
          <w:rFonts w:ascii="Arial" w:cs="Arial" w:eastAsia="Arial" w:hAnsi="Arial"/>
          <w:sz w:val="17"/>
          <w:szCs w:val="17"/>
          <w:color w:val="auto"/>
        </w:rPr>
        <w:t>LLC and MSC Cotai (the “</w:t>
      </w:r>
      <w:r>
        <w:rPr>
          <w:rFonts w:ascii="Arial" w:cs="Arial" w:eastAsia="Arial" w:hAnsi="Arial"/>
          <w:sz w:val="17"/>
          <w:szCs w:val="17"/>
          <w:b w:val="1"/>
          <w:bCs w:val="1"/>
          <w:color w:val="auto"/>
        </w:rPr>
        <w:t>Participation Agreement</w:t>
      </w:r>
      <w:r>
        <w:rPr>
          <w:rFonts w:ascii="Arial" w:cs="Arial" w:eastAsia="Arial" w:hAnsi="Arial"/>
          <w:sz w:val="17"/>
          <w:szCs w:val="17"/>
          <w:color w:val="auto"/>
        </w:rPr>
        <w:t xml:space="preserve">”), (iv) a share exchange agreement with New Cotai, LLC (“the </w:t>
      </w:r>
      <w:r>
        <w:rPr>
          <w:rFonts w:ascii="Arial" w:cs="Arial" w:eastAsia="Arial" w:hAnsi="Arial"/>
          <w:sz w:val="17"/>
          <w:szCs w:val="17"/>
          <w:b w:val="1"/>
          <w:bCs w:val="1"/>
          <w:color w:val="auto"/>
        </w:rPr>
        <w:t>Share Exchange Agreement</w:t>
      </w:r>
      <w:r>
        <w:rPr>
          <w:rFonts w:ascii="Arial" w:cs="Arial" w:eastAsia="Arial" w:hAnsi="Arial"/>
          <w:sz w:val="17"/>
          <w:szCs w:val="17"/>
          <w:color w:val="auto"/>
        </w:rPr>
        <w:t>”), and (v) various documents in order to effectuate the re-domiciliation of the Company by way of continuation as an exempted company incorporated with limited liability under the Cayman Islands (the “</w:t>
      </w:r>
      <w:r>
        <w:rPr>
          <w:rFonts w:ascii="Arial" w:cs="Arial" w:eastAsia="Arial" w:hAnsi="Arial"/>
          <w:sz w:val="17"/>
          <w:szCs w:val="17"/>
          <w:b w:val="1"/>
          <w:bCs w:val="1"/>
          <w:color w:val="auto"/>
        </w:rPr>
        <w:t>Continuation Documents</w:t>
      </w:r>
      <w:r>
        <w:rPr>
          <w:rFonts w:ascii="Arial" w:cs="Arial" w:eastAsia="Arial" w:hAnsi="Arial"/>
          <w:sz w:val="17"/>
          <w:szCs w:val="17"/>
          <w:color w:val="auto"/>
        </w:rPr>
        <w:t>” and collectively, the “</w:t>
      </w:r>
      <w:r>
        <w:rPr>
          <w:rFonts w:ascii="Arial" w:cs="Arial" w:eastAsia="Arial" w:hAnsi="Arial"/>
          <w:sz w:val="17"/>
          <w:szCs w:val="17"/>
          <w:b w:val="1"/>
          <w:bCs w:val="1"/>
          <w:color w:val="auto"/>
        </w:rPr>
        <w:t>Reorganization Documents</w:t>
      </w:r>
      <w:r>
        <w:rPr>
          <w:rFonts w:ascii="Arial" w:cs="Arial" w:eastAsia="Arial" w:hAnsi="Arial"/>
          <w:sz w:val="17"/>
          <w:szCs w:val="17"/>
          <w:color w:val="auto"/>
        </w:rPr>
        <w:t>”). Prior to the Closing Date (as defined below), the Company and MSC Cotai will complete the reorganization transactions contemplated by the Reorganization Documents as described in “Corporate History and Organizational Structure” of the Registration Statement, the Disclosure Package and the Prospectus (the “</w:t>
      </w:r>
      <w:r>
        <w:rPr>
          <w:rFonts w:ascii="Arial" w:cs="Arial" w:eastAsia="Arial" w:hAnsi="Arial"/>
          <w:sz w:val="17"/>
          <w:szCs w:val="17"/>
          <w:b w:val="1"/>
          <w:bCs w:val="1"/>
          <w:color w:val="auto"/>
        </w:rPr>
        <w:t>Reorganization Transactions</w:t>
      </w:r>
      <w:r>
        <w:rPr>
          <w:rFonts w:ascii="Arial" w:cs="Arial" w:eastAsia="Arial" w:hAnsi="Arial"/>
          <w:sz w:val="17"/>
          <w:szCs w:val="17"/>
          <w:color w:val="auto"/>
        </w:rPr>
        <w:t>”).</w:t>
      </w:r>
    </w:p>
    <w:p>
      <w:pPr>
        <w:spacing w:after="0" w:line="174" w:lineRule="exact"/>
        <w:rPr>
          <w:sz w:val="20"/>
          <w:szCs w:val="20"/>
          <w:color w:val="auto"/>
        </w:rPr>
      </w:pPr>
    </w:p>
    <w:p>
      <w:pPr>
        <w:ind w:right="100" w:firstLine="441"/>
        <w:spacing w:after="0" w:line="314" w:lineRule="auto"/>
        <w:rPr>
          <w:sz w:val="20"/>
          <w:szCs w:val="20"/>
          <w:color w:val="auto"/>
        </w:rPr>
      </w:pPr>
      <w:r>
        <w:rPr>
          <w:rFonts w:ascii="Arial" w:cs="Arial" w:eastAsia="Arial" w:hAnsi="Arial"/>
          <w:sz w:val="16"/>
          <w:szCs w:val="16"/>
          <w:color w:val="auto"/>
        </w:rPr>
        <w:t>As used in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 day on which the NYSE Global Market (the “</w:t>
      </w:r>
      <w:r>
        <w:rPr>
          <w:rFonts w:ascii="Arial" w:cs="Arial" w:eastAsia="Arial" w:hAnsi="Arial"/>
          <w:sz w:val="16"/>
          <w:szCs w:val="16"/>
          <w:b w:val="1"/>
          <w:bCs w:val="1"/>
          <w:color w:val="auto"/>
        </w:rPr>
        <w:t>NYSE</w:t>
      </w:r>
      <w:r>
        <w:rPr>
          <w:rFonts w:ascii="Arial" w:cs="Arial" w:eastAsia="Arial" w:hAnsi="Arial"/>
          <w:sz w:val="16"/>
          <w:szCs w:val="16"/>
          <w:color w:val="auto"/>
        </w:rPr>
        <w:t>”) is open for trading. 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Underwriters agree as follows:</w:t>
      </w:r>
    </w:p>
    <w:p>
      <w:pPr>
        <w:spacing w:after="0" w:line="117" w:lineRule="exact"/>
        <w:rPr>
          <w:sz w:val="20"/>
          <w:szCs w:val="20"/>
          <w:color w:val="auto"/>
        </w:rPr>
      </w:pPr>
    </w:p>
    <w:p>
      <w:pPr>
        <w:ind w:left="620" w:hanging="176"/>
        <w:spacing w:after="0"/>
        <w:tabs>
          <w:tab w:leader="none" w:pos="620" w:val="left"/>
        </w:tabs>
        <w:numPr>
          <w:ilvl w:val="0"/>
          <w:numId w:val="652"/>
        </w:numPr>
        <w:rPr>
          <w:rFonts w:ascii="Arial" w:cs="Arial" w:eastAsia="Arial" w:hAnsi="Arial"/>
          <w:sz w:val="18"/>
          <w:szCs w:val="18"/>
          <w:color w:val="auto"/>
        </w:rPr>
      </w:pPr>
      <w:r>
        <w:rPr>
          <w:rFonts w:ascii="Arial" w:cs="Arial" w:eastAsia="Arial" w:hAnsi="Arial"/>
          <w:sz w:val="18"/>
          <w:szCs w:val="18"/>
          <w:i w:val="1"/>
          <w:iCs w:val="1"/>
          <w:color w:val="auto"/>
        </w:rPr>
        <w:t>Sale and Purchase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firstLine="428"/>
        <w:spacing w:after="0" w:line="289" w:lineRule="auto"/>
        <w:tabs>
          <w:tab w:leader="none" w:pos="1108" w:val="left"/>
        </w:tabs>
        <w:numPr>
          <w:ilvl w:val="1"/>
          <w:numId w:val="652"/>
        </w:numPr>
        <w:rPr>
          <w:rFonts w:ascii="Arial" w:cs="Arial" w:eastAsia="Arial" w:hAnsi="Arial"/>
          <w:sz w:val="16"/>
          <w:szCs w:val="16"/>
          <w:color w:val="auto"/>
        </w:rPr>
      </w:pPr>
      <w:r>
        <w:rPr>
          <w:rFonts w:ascii="Arial" w:cs="Arial" w:eastAsia="Arial" w:hAnsi="Arial"/>
          <w:sz w:val="16"/>
          <w:szCs w:val="16"/>
          <w:color w:val="auto"/>
        </w:rPr>
        <w:t>Upon the basis of the representations and warranties and subject to the terms and conditions herein set forth, the Company agrees to sell to the respective Underwriters, and each of the Underwriters, severally and not jointly, agrees to purchase from the Company (i) the respective number of Firm ADSs set forth opposite the name of such Underwriter in Schedule A attached hereto at the Public Offering Price (as defined below), which will be allocated and resold by the Underwriters to MCE Cotai Investments Limited and certain affiliates of New Cotai, LLC (the “</w:t>
      </w:r>
      <w:r>
        <w:rPr>
          <w:rFonts w:ascii="Arial" w:cs="Arial" w:eastAsia="Arial" w:hAnsi="Arial"/>
          <w:sz w:val="16"/>
          <w:szCs w:val="16"/>
          <w:b w:val="1"/>
          <w:bCs w:val="1"/>
          <w:color w:val="auto"/>
        </w:rPr>
        <w:t>Sponsor Firm ADSs</w:t>
      </w:r>
      <w:r>
        <w:rPr>
          <w:rFonts w:ascii="Arial" w:cs="Arial" w:eastAsia="Arial" w:hAnsi="Arial"/>
          <w:sz w:val="16"/>
          <w:szCs w:val="16"/>
          <w:color w:val="auto"/>
        </w:rPr>
        <w:t>”), and (ii) the respective number of Firm ADSs set forth opposite the name of such Underwriter in Schedule A attached hereto (the “</w:t>
      </w:r>
      <w:r>
        <w:rPr>
          <w:rFonts w:ascii="Arial" w:cs="Arial" w:eastAsia="Arial" w:hAnsi="Arial"/>
          <w:sz w:val="16"/>
          <w:szCs w:val="16"/>
          <w:b w:val="1"/>
          <w:bCs w:val="1"/>
          <w:color w:val="auto"/>
        </w:rPr>
        <w:t>Public Firm ADSs</w:t>
      </w:r>
      <w:r>
        <w:rPr>
          <w:rFonts w:ascii="Arial" w:cs="Arial" w:eastAsia="Arial" w:hAnsi="Arial"/>
          <w:sz w:val="16"/>
          <w:szCs w:val="16"/>
          <w:color w:val="auto"/>
        </w:rPr>
        <w:t>”) at the Public Offering Price less an underwriting commission in the amount of US$0.875 per ADS. In addition, the Company agrees to pay the Underwriters, as a structuring fee, a total amount of US$3,773,438 (the “</w:t>
      </w:r>
      <w:r>
        <w:rPr>
          <w:rFonts w:ascii="Arial" w:cs="Arial" w:eastAsia="Arial" w:hAnsi="Arial"/>
          <w:sz w:val="16"/>
          <w:szCs w:val="16"/>
          <w:b w:val="1"/>
          <w:bCs w:val="1"/>
          <w:color w:val="auto"/>
        </w:rPr>
        <w:t>Structuring Fee</w:t>
      </w:r>
      <w:r>
        <w:rPr>
          <w:rFonts w:ascii="Arial" w:cs="Arial" w:eastAsia="Arial" w:hAnsi="Arial"/>
          <w:sz w:val="16"/>
          <w:szCs w:val="16"/>
          <w:color w:val="auto"/>
        </w:rPr>
        <w:t>”) in consideration of their services relating to the public offering, which fee shall be allocated among the Underwriters pro rata based on the respective numbers of Public Firm ADSs set forth opposite their names in Schedule A attached 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465" w:name="page466"/>
    <w:bookmarkEnd w:id="4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62" w:lineRule="exact"/>
        <w:rPr>
          <w:sz w:val="20"/>
          <w:szCs w:val="20"/>
          <w:color w:val="auto"/>
        </w:rPr>
      </w:pPr>
    </w:p>
    <w:p>
      <w:pPr>
        <w:ind w:left="440" w:right="20" w:firstLine="428"/>
        <w:spacing w:after="0" w:line="268" w:lineRule="auto"/>
        <w:tabs>
          <w:tab w:leader="none" w:pos="1118" w:val="left"/>
        </w:tabs>
        <w:numPr>
          <w:ilvl w:val="1"/>
          <w:numId w:val="653"/>
        </w:numPr>
        <w:rPr>
          <w:rFonts w:ascii="Arial" w:cs="Arial" w:eastAsia="Arial" w:hAnsi="Arial"/>
          <w:sz w:val="17"/>
          <w:szCs w:val="17"/>
          <w:color w:val="auto"/>
        </w:rPr>
      </w:pPr>
      <w:r>
        <w:rPr>
          <w:rFonts w:ascii="Arial" w:cs="Arial" w:eastAsia="Arial" w:hAnsi="Arial"/>
          <w:sz w:val="17"/>
          <w:szCs w:val="17"/>
          <w:color w:val="auto"/>
        </w:rPr>
        <w:t xml:space="preserve">On the basis of the representations and warranties contained in this Agreement, and subject to its terms and conditions, the Company agrees to sell to the Underwriters the Optional ADSs, and the Underwriters shall have the right to purchase, severally and not jointly, up to 4,312,500 Optional ADSs at the Public Offering Price,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amount paid by the Underwriters for any Optional ADSs shall be reduced by an amount per share equal to any dividends declared by the Company and payable on the ADSs but not payable on such Optional ADSs. You may exercise this right on behalf of the Underwriters in whole or from time to time in part by giving written notice not later than 30 days after the date of this Agreement. Any exercise notice shall specify the number of Optional ADSs to be purchased by the Underwriters and the date on which such ADSs are to be purchased. Each purchase date must be at least two business days after the written notice is given and may not be earlier than the closing date for the Firm ADSs nor later than ten business days after the date of such notice. Optional ADSs may be purchased as provided in Section 3 hereof solely for the purpose of covering over-allotments made in connection with the offering of the Offered ADSs.On each day, if any, that Optional ADSs are to be purchased, each Underwriter agrees, severally and not jointly, to purchase the number of Optional ADSs (subject to such adjustments to eliminate fractional shares as you may determine) that bears the same proportion to the total number of Optional ADSs to be purchased on such Option Closing Date as the number of ADSs set forth in Schedule A attached hereto opposite the name of such Underwriter bears to the total number of Firm ADSs.</w:t>
      </w:r>
    </w:p>
    <w:p>
      <w:pPr>
        <w:spacing w:after="0" w:line="79" w:lineRule="exact"/>
        <w:rPr>
          <w:rFonts w:ascii="Arial" w:cs="Arial" w:eastAsia="Arial" w:hAnsi="Arial"/>
          <w:sz w:val="17"/>
          <w:szCs w:val="17"/>
          <w:color w:val="auto"/>
        </w:rPr>
      </w:pPr>
    </w:p>
    <w:p>
      <w:pPr>
        <w:ind w:right="160" w:firstLine="444"/>
        <w:spacing w:after="0" w:line="286" w:lineRule="auto"/>
        <w:tabs>
          <w:tab w:leader="none" w:pos="621" w:val="left"/>
        </w:tabs>
        <w:numPr>
          <w:ilvl w:val="0"/>
          <w:numId w:val="654"/>
        </w:numPr>
        <w:rPr>
          <w:rFonts w:ascii="Arial" w:cs="Arial" w:eastAsia="Arial" w:hAnsi="Arial"/>
          <w:sz w:val="17"/>
          <w:szCs w:val="17"/>
          <w:color w:val="auto"/>
        </w:rPr>
      </w:pPr>
      <w:r>
        <w:rPr>
          <w:rFonts w:ascii="Arial" w:cs="Arial" w:eastAsia="Arial" w:hAnsi="Arial"/>
          <w:sz w:val="17"/>
          <w:szCs w:val="17"/>
          <w:i w:val="1"/>
          <w:iCs w:val="1"/>
          <w:color w:val="auto"/>
        </w:rPr>
        <w:t>Terms of Public Offering</w:t>
      </w:r>
      <w:r>
        <w:rPr>
          <w:rFonts w:ascii="Arial" w:cs="Arial" w:eastAsia="Arial" w:hAnsi="Arial"/>
          <w:sz w:val="17"/>
          <w:szCs w:val="17"/>
          <w:color w:val="auto"/>
        </w:rPr>
        <w:t>. The Company is advised by you that the Underwriters propose to make a public offering of their respective portions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ADSs as soon after the Registration Statement and this Agreement have become effective as in your judgment is advisable. The Company is further advised by you that the ADSs are to be offered to the public initially at US$12.5 per ADS (the “</w:t>
      </w:r>
      <w:r>
        <w:rPr>
          <w:rFonts w:ascii="Arial" w:cs="Arial" w:eastAsia="Arial" w:hAnsi="Arial"/>
          <w:sz w:val="17"/>
          <w:szCs w:val="17"/>
          <w:b w:val="1"/>
          <w:bCs w:val="1"/>
          <w:color w:val="auto"/>
        </w:rPr>
        <w:t>Public Offering Price</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firstLine="444"/>
        <w:spacing w:after="0" w:line="293" w:lineRule="auto"/>
        <w:tabs>
          <w:tab w:leader="none" w:pos="621" w:val="left"/>
        </w:tabs>
        <w:numPr>
          <w:ilvl w:val="0"/>
          <w:numId w:val="654"/>
        </w:numPr>
        <w:rPr>
          <w:rFonts w:ascii="Arial" w:cs="Arial" w:eastAsia="Arial" w:hAnsi="Arial"/>
          <w:sz w:val="16"/>
          <w:szCs w:val="16"/>
          <w:color w:val="auto"/>
        </w:rPr>
      </w:pPr>
      <w:r>
        <w:rPr>
          <w:rFonts w:ascii="Arial" w:cs="Arial" w:eastAsia="Arial" w:hAnsi="Arial"/>
          <w:sz w:val="16"/>
          <w:szCs w:val="16"/>
          <w:i w:val="1"/>
          <w:iCs w:val="1"/>
          <w:color w:val="auto"/>
        </w:rPr>
        <w:t>Payment and Delivery</w:t>
      </w:r>
      <w:r>
        <w:rPr>
          <w:rFonts w:ascii="Arial" w:cs="Arial" w:eastAsia="Arial" w:hAnsi="Arial"/>
          <w:sz w:val="16"/>
          <w:szCs w:val="16"/>
          <w:color w:val="auto"/>
        </w:rPr>
        <w:t>. Payment of the purchase price for the Firm ADSs, after deducting the Structuring Fee, shall be made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Underwriters to the Company in U.S. dollars in immediately available funds by wire transfer to an account specified by the Company to the Underwriters at least 48 hours in advance of such payment against delivery of such Firm ADSs for the respective accounts of the several Underwriters at 10:00 a.m., New York City time, on October 22, 2018, or at such other time on the same or such other date as shall be agreed upon by the Company and you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date is a business day and a day on which commercial banks in the United States and the Cayman Islands are not legally obliged or authorized to close. The time and date of such payment are hereinafter referred to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466" w:name="page467"/>
    <w:bookmarkEnd w:id="466"/>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 xml:space="preserve">Payment of the purchase price for any Optional ADSs shall be made by the Underwriters to the Company in U.S. dollars in immediately available funds by wire transfer to an account specified by the Company to the Underwriters at least 48 hours in advance of such payment against delivery of such Optional ADSs for the respective accounts of the several Underwriters at 10:00 a.m., New York City time, on the date specified in the corresponding notice described in Section 1(b) or at such other time on the same or on such other date as shall be agreed upon by the Company and you in writing;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date is a business day and a day on which commercial banks in the United States and the Cayman Islands are not legally obliged or</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close. The time and date of such payment are hereinafter referred to as the “</w:t>
      </w:r>
      <w:r>
        <w:rPr>
          <w:rFonts w:ascii="Arial" w:cs="Arial" w:eastAsia="Arial" w:hAnsi="Arial"/>
          <w:sz w:val="16"/>
          <w:szCs w:val="16"/>
          <w:b w:val="1"/>
          <w:bCs w:val="1"/>
          <w:color w:val="auto"/>
        </w:rPr>
        <w:t>Option Closing Date</w:t>
      </w:r>
      <w:r>
        <w:rPr>
          <w:rFonts w:ascii="Arial" w:cs="Arial" w:eastAsia="Arial" w:hAnsi="Arial"/>
          <w:sz w:val="16"/>
          <w:szCs w:val="16"/>
          <w:color w:val="auto"/>
        </w:rPr>
        <w:t>.”</w:t>
      </w:r>
    </w:p>
    <w:p>
      <w:pPr>
        <w:spacing w:after="0" w:line="161"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Delivery of the ADSs shall be made by or on behalf of the Company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for the respective accounts of the Underwriters, against confirmation of payment of the purchase price by the Underwriters in U.S. dollars in immediately available funds by wire transfer to an account specified by the Company at least 48 hours prior to the time of such delivery. Such delivery shall be made on the Closing Date or the Option Closing Date, as the case may be.</w:t>
      </w:r>
    </w:p>
    <w:p>
      <w:pPr>
        <w:spacing w:after="0" w:line="184"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Firm ADSs and Optional ADSs shall be registered in such names and in such denominations as the Underwriters shall request in writing not later than two full business day prior to the Closing Date or the applicable Option Closing Date, as the case may be. The Firm ADSs and Optional ADSs shall be delivered to the Underwriters on the Closing Date or an Option Closing Date, as the case may be, for the respective accounts of the several Underwriters, with any transfer taxes payable in connection with the transfer of the ADSs to the Underwriters duly paid, against payment of the purchase price therefor.</w:t>
      </w:r>
    </w:p>
    <w:p>
      <w:pPr>
        <w:spacing w:after="0" w:line="80" w:lineRule="exact"/>
        <w:rPr>
          <w:sz w:val="20"/>
          <w:szCs w:val="20"/>
          <w:color w:val="auto"/>
        </w:rPr>
      </w:pPr>
    </w:p>
    <w:p>
      <w:pPr>
        <w:ind w:right="120" w:firstLine="444"/>
        <w:spacing w:after="0" w:line="277" w:lineRule="auto"/>
        <w:tabs>
          <w:tab w:leader="none" w:pos="621" w:val="left"/>
        </w:tabs>
        <w:numPr>
          <w:ilvl w:val="0"/>
          <w:numId w:val="65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of the Company Parties. </w:t>
      </w:r>
      <w:r>
        <w:rPr>
          <w:rFonts w:ascii="Arial" w:cs="Arial" w:eastAsia="Arial" w:hAnsi="Arial"/>
          <w:sz w:val="18"/>
          <w:szCs w:val="18"/>
          <w:color w:val="auto"/>
        </w:rPr>
        <w:t>Each of the Company Parties hereby jointly and severally represents and warrants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and agrees with each of the Underwriters that:</w:t>
      </w:r>
    </w:p>
    <w:p>
      <w:pPr>
        <w:spacing w:after="0" w:line="62" w:lineRule="exact"/>
        <w:rPr>
          <w:rFonts w:ascii="Arial" w:cs="Arial" w:eastAsia="Arial" w:hAnsi="Arial"/>
          <w:sz w:val="18"/>
          <w:szCs w:val="18"/>
          <w:color w:val="auto"/>
        </w:rPr>
      </w:pPr>
    </w:p>
    <w:p>
      <w:pPr>
        <w:ind w:left="440" w:right="80" w:firstLine="428"/>
        <w:spacing w:after="0" w:line="290" w:lineRule="auto"/>
        <w:tabs>
          <w:tab w:leader="none" w:pos="1108" w:val="left"/>
        </w:tabs>
        <w:numPr>
          <w:ilvl w:val="1"/>
          <w:numId w:val="655"/>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w:t>
      </w:r>
      <w:r>
        <w:rPr>
          <w:rFonts w:ascii="Arial" w:cs="Arial" w:eastAsia="Arial" w:hAnsi="Arial"/>
          <w:sz w:val="16"/>
          <w:szCs w:val="16"/>
          <w:color w:val="auto"/>
        </w:rPr>
        <w:t>(i) The Registration Statement has heretofore become effective under the Act or,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registration statement to be filed to register the offer and sale of the Offered ADSs pursuant to Rule 462(b) under the Act, will be filed with the Commission and become effective under the Act no later than 10:00 P.M., New York City time, on the date of determination of the Public Offering Price; (ii) the Offered ADSs have been or will be duly registered under the Act pursuant to the Registration Statement; (iii) as of the date hereof and as of each Closing Date and Option Closing Date, no stop order of the Commission preventing or suspending the use of any Pre-Pricing Prospectus, the Prospectus or any Permitted Free Writing Prospectus, or the effectiveness of the Registration Statement, has been or will have been issued, and no proceedings for such purpose have been instituted or, to the Company’s knowledge, are contemplated by the Commission; and the Form 8-A Registration Statement has become effective as provided in Section 12 of the Exchange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284" w:lineRule="auto"/>
        <w:tabs>
          <w:tab w:leader="none" w:pos="678" w:val="left"/>
        </w:tabs>
        <w:numPr>
          <w:ilvl w:val="0"/>
          <w:numId w:val="656"/>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Securities Law: </w:t>
      </w:r>
      <w:r>
        <w:rPr>
          <w:rFonts w:ascii="Arial" w:cs="Arial" w:eastAsia="Arial" w:hAnsi="Arial"/>
          <w:sz w:val="16"/>
          <w:szCs w:val="16"/>
          <w:color w:val="auto"/>
        </w:rPr>
        <w:t>(i) The Registration Statement complied when it became effective, complies as of the date hereof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amended or supplemented, at the Applicable Time, the Closing Date and the Option Closing Date, will comply, in all material respects, with the requirements of the Act; (ii) the Registration Statement did not, as of the Effective Time, the Closing Date and the Option Closing Date, contain an untrue statement of a material fact or omit to state a material fact required to be stated therein or necessary to make the statements therein not misleading; each Pre-Pricing Prospectus complied, at the time it was filed with the Commission, and complies as of the date hereof, in all material respects, with the requirements of the Act; (iii) the Disclosure Package, as of the Applicable Time, did not include an untrue statement of a material fact or omit to state a material fact necessary in order to make the statements therein, in the light of the circumstances under which they were made, not misleading; (iv) the Prospectus, as amended or supplemented (as the case may be), as of the date that it is filed with the Commission, the Closing Date and the Option Closing Date (a) will comply, in all material respects, with the requirements of the Act (including, without limitation, Section 10(a) of the Act) and (b) did not or will not include an untrue statement of a material fact or omit to state a material fact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 or warranty with respect to any statement contained in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or the Prospectus made in reliance upon and in conformity with information concerning an Underwriter and furnished in writing by or on behalf of such Underwriter through you to the Company expressly for use in the Registration Statement, the Disclosure Package or the Prospectus (“</w:t>
      </w:r>
      <w:r>
        <w:rPr>
          <w:rFonts w:ascii="Arial" w:cs="Arial" w:eastAsia="Arial" w:hAnsi="Arial"/>
          <w:sz w:val="16"/>
          <w:szCs w:val="16"/>
          <w:b w:val="1"/>
          <w:bCs w:val="1"/>
          <w:color w:val="auto"/>
        </w:rPr>
        <w:t>Other Information</w:t>
      </w:r>
      <w:r>
        <w:rPr>
          <w:rFonts w:ascii="Arial" w:cs="Arial" w:eastAsia="Arial" w:hAnsi="Arial"/>
          <w:sz w:val="16"/>
          <w:szCs w:val="16"/>
          <w:color w:val="auto"/>
        </w:rPr>
        <w:t xml:space="preserve">”); and (v) the F-6 Registration Statement has been declared effective by the Commission. No order suspending the effectiveness of the F-6 Registration Statement has been issued by the Commission, and no proceeding for that purpose or pursuant to Section 8A of the Act against the Company or related to the offering of the Offered ADSs has been initiated or, to the knowledge of the Company, threatened by the Commission; as of the applicable effective date of the F-6 Registration Statement and any post-effective amendment thereto, the F-6 Registration Statement and any such post-effective amendment complied and will comply in all material respects with the Act, and did not and will not contain any untrue statement of a material fact or omit to state a material fact required to be stated therein or necessary in order to make the statements therein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makes no representation or warranty with respect to any Other Information;</w:t>
      </w:r>
    </w:p>
    <w:p>
      <w:pPr>
        <w:spacing w:after="0" w:line="3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69" w:right="43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20" w:firstLine="428"/>
        <w:spacing w:after="0" w:line="286" w:lineRule="auto"/>
        <w:tabs>
          <w:tab w:leader="none" w:pos="668" w:val="left"/>
        </w:tabs>
        <w:numPr>
          <w:ilvl w:val="0"/>
          <w:numId w:val="657"/>
        </w:numPr>
        <w:rPr>
          <w:rFonts w:ascii="Arial" w:cs="Arial" w:eastAsia="Arial" w:hAnsi="Arial"/>
          <w:sz w:val="16"/>
          <w:szCs w:val="16"/>
          <w:color w:val="auto"/>
        </w:rPr>
      </w:pPr>
      <w:r>
        <w:rPr>
          <w:rFonts w:ascii="Arial" w:cs="Arial" w:eastAsia="Arial" w:hAnsi="Arial"/>
          <w:sz w:val="16"/>
          <w:szCs w:val="16"/>
          <w:i w:val="1"/>
          <w:iCs w:val="1"/>
          <w:color w:val="auto"/>
        </w:rPr>
        <w:t xml:space="preserve">Ineligible Issuer Status and Issuer Free Writing Prospectus. </w:t>
      </w:r>
      <w:r>
        <w:rPr>
          <w:rFonts w:ascii="Arial" w:cs="Arial" w:eastAsia="Arial" w:hAnsi="Arial"/>
          <w:sz w:val="16"/>
          <w:szCs w:val="16"/>
          <w:color w:val="auto"/>
        </w:rPr>
        <w:t>The Company is not an “ineligible issuer” (as defined in Rule 405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 as of the eligibility determination date for purposes of Rules 164, 405 and 433 under the Act with respect to the offering of the Offered ADSs contemplated by the Registration Statement; the parties hereto agree and understand that the content of any and all “road shows” (as defined in Rule 433(h) under the Act), related to the offering of the Offered ADSs contemplated hereby is solely the property of the Company; any free writing prospectus that the Company is required to file pursuant to Rule 433(d) under the Act has been, or will be, filed with the Commission in accordance with the requirements of the Act and the applicable rules and regulations of the Commission thereunder. Each free writing prospectus that the Company has filed, or is required to file, pursuant to Rule 433(d) under the Act or that was prepared by or behalf of or used or referred to by the Company complies or will comply in all material respects with the requirements of the Act and the applicable rules and regulations of the Commission thereunder. Except for the free writing prospectuses, if any, identified in Schedule B attached hereto, and bona fide electronic road shows (as defined in Rule 433(h)(5) under the Act), if any, each furnished to you before first use, the Company has not prepared, used or referred to, and will not, without your prior consent, prepare, use or refer to, any free writing prospectus. As of the time of each sale of the Offered ADSs in connection with the offering when the Prospectus is not yet available to prospective purchasers, no free writing prospectus, when considered together with the Pre-Pricing Prospectus, as amended up to the date of such, included an untrue statement of a material fact or omitted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Company makes no representation or warranty with respect to any Other Information;</w:t>
      </w:r>
    </w:p>
    <w:p>
      <w:pPr>
        <w:spacing w:after="0" w:line="56" w:lineRule="exact"/>
        <w:rPr>
          <w:rFonts w:ascii="Arial" w:cs="Arial" w:eastAsia="Arial" w:hAnsi="Arial"/>
          <w:sz w:val="16"/>
          <w:szCs w:val="16"/>
          <w:color w:val="auto"/>
        </w:rPr>
      </w:pPr>
    </w:p>
    <w:p>
      <w:pPr>
        <w:ind w:right="20" w:firstLine="428"/>
        <w:spacing w:after="0" w:line="269" w:lineRule="auto"/>
        <w:tabs>
          <w:tab w:leader="none" w:pos="678" w:val="left"/>
        </w:tabs>
        <w:numPr>
          <w:ilvl w:val="0"/>
          <w:numId w:val="657"/>
        </w:numPr>
        <w:rPr>
          <w:rFonts w:ascii="Arial" w:cs="Arial" w:eastAsia="Arial" w:hAnsi="Arial"/>
          <w:sz w:val="17"/>
          <w:szCs w:val="17"/>
          <w:color w:val="auto"/>
        </w:rPr>
      </w:pPr>
      <w:r>
        <w:rPr>
          <w:rFonts w:ascii="Arial" w:cs="Arial" w:eastAsia="Arial" w:hAnsi="Arial"/>
          <w:sz w:val="17"/>
          <w:szCs w:val="17"/>
          <w:i w:val="1"/>
          <w:iCs w:val="1"/>
          <w:color w:val="auto"/>
        </w:rPr>
        <w:t xml:space="preserve">Good Standing. </w:t>
      </w:r>
      <w:r>
        <w:rPr>
          <w:rFonts w:ascii="Arial" w:cs="Arial" w:eastAsia="Arial" w:hAnsi="Arial"/>
          <w:sz w:val="17"/>
          <w:szCs w:val="17"/>
          <w:color w:val="auto"/>
        </w:rPr>
        <w:t>The Company and each of its Subsidiaries (each a “</w:t>
      </w:r>
      <w:r>
        <w:rPr>
          <w:rFonts w:ascii="Arial" w:cs="Arial" w:eastAsia="Arial" w:hAnsi="Arial"/>
          <w:sz w:val="17"/>
          <w:szCs w:val="17"/>
          <w:b w:val="1"/>
          <w:bCs w:val="1"/>
          <w:color w:val="auto"/>
        </w:rPr>
        <w:t>Subsidiary</w:t>
      </w:r>
      <w:r>
        <w:rPr>
          <w:rFonts w:ascii="Arial" w:cs="Arial" w:eastAsia="Arial" w:hAnsi="Arial"/>
          <w:sz w:val="17"/>
          <w:szCs w:val="17"/>
          <w:color w:val="auto"/>
        </w:rPr>
        <w:t>” and together the “</w:t>
      </w:r>
      <w:r>
        <w:rPr>
          <w:rFonts w:ascii="Arial" w:cs="Arial" w:eastAsia="Arial" w:hAnsi="Arial"/>
          <w:sz w:val="17"/>
          <w:szCs w:val="17"/>
          <w:b w:val="1"/>
          <w:bCs w:val="1"/>
          <w:color w:val="auto"/>
        </w:rPr>
        <w:t>Subsidiaries</w:t>
      </w:r>
      <w:r>
        <w:rPr>
          <w:rFonts w:ascii="Arial" w:cs="Arial" w:eastAsia="Arial" w:hAnsi="Arial"/>
          <w:sz w:val="17"/>
          <w:szCs w:val="17"/>
          <w:color w:val="auto"/>
        </w:rPr>
        <w:t>”) as identified on</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 C attached hereto has been duly incorporated and is validly existing and (where such concept is applicable) in good standing under the laws of the jurisdiction of its incorporation or establishment, with power and authority (corporate and other) to own, lease and operate its properties and conduct its business as described in the Registration Statement, the Disclosure Package and the Prospectus and to enter into, execute and perform its obligations under this Agreement and the Deposit Agreement, and is duly qualified to do business as a foreign corporation (where such concept is applicable) in good standing in all other jurisdictions in which its ownership or lease of property or the conduct of its business requires such qualification, except where the failure to be so qualified in such jurisdiction would not, individually or collectively, have a material adverse effect on the condition (financial or otherwise), business, properties, business prospects or results of operations of the Company and its Subsidiaries taken as a whole or the performance of the Company’s obligations under this Agreement or under the Deposit Agreement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Company owns all of the issued and outstanding share capital of each of the Subsidiaries in the amount and as set forth in the Registration Statement, the Disclosure Package and the Prospectus; other than the share capital of the Subsidiaries, the Company does not own, directly or indirectly, any shares or any other equity interests or long-term debt securities of any corporation, firm, partnership, joint venture, association or other entity;</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69" w:right="439" w:bottom="1440" w:gutter="0" w:footer="0" w:header="0"/>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271" w:lineRule="auto"/>
        <w:tabs>
          <w:tab w:leader="none" w:pos="668" w:val="left"/>
        </w:tabs>
        <w:numPr>
          <w:ilvl w:val="0"/>
          <w:numId w:val="658"/>
        </w:numPr>
        <w:rPr>
          <w:rFonts w:ascii="Arial" w:cs="Arial" w:eastAsia="Arial" w:hAnsi="Arial"/>
          <w:sz w:val="17"/>
          <w:szCs w:val="17"/>
          <w:color w:val="auto"/>
        </w:rPr>
      </w:pPr>
      <w:r>
        <w:rPr>
          <w:rFonts w:ascii="Arial" w:cs="Arial" w:eastAsia="Arial" w:hAnsi="Arial"/>
          <w:sz w:val="17"/>
          <w:szCs w:val="17"/>
          <w:i w:val="1"/>
          <w:iCs w:val="1"/>
          <w:color w:val="auto"/>
        </w:rPr>
        <w:t xml:space="preserve">Share Capital. </w:t>
      </w:r>
      <w:r>
        <w:rPr>
          <w:rFonts w:ascii="Arial" w:cs="Arial" w:eastAsia="Arial" w:hAnsi="Arial"/>
          <w:sz w:val="17"/>
          <w:szCs w:val="17"/>
          <w:color w:val="auto"/>
        </w:rPr>
        <w:t>As of the date of this Agreement, the Company has an authorized and outstanding capitalization as set forth in the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Registration Statement, the Disclosure Package and the Prospectus entitled “Description of Share Capital” (and any similar sections or information, if any, contained in any Permitted Free Writing Prospectus), and, as of the time of purchase, the Company shall have an authorized and outstanding capitalization as set forth in the sections of the Registration Statement, the Disclosure Package and the Prospectus entitled “Description of Share Capital” (and any similar sections or information, if any, contained in any Permitted Free Writing Prospectus); all of the shares of the Company and each of the Subsidiaries outstanding prior to the issuance of ADSs have been duly authorized and validly issued and are fully paid and non-assessable and have been issued in compliance with all applicable securities laws and were not issued in violation of any preemptive right, resale right, right of first-refusal or similar right;</w:t>
      </w:r>
    </w:p>
    <w:p>
      <w:pPr>
        <w:spacing w:after="0" w:line="70" w:lineRule="exact"/>
        <w:rPr>
          <w:rFonts w:ascii="Arial" w:cs="Arial" w:eastAsia="Arial" w:hAnsi="Arial"/>
          <w:sz w:val="17"/>
          <w:szCs w:val="17"/>
          <w:color w:val="auto"/>
        </w:rPr>
      </w:pPr>
    </w:p>
    <w:p>
      <w:pPr>
        <w:ind w:firstLine="428"/>
        <w:spacing w:after="0" w:line="253" w:lineRule="auto"/>
        <w:tabs>
          <w:tab w:leader="none" w:pos="648" w:val="left"/>
        </w:tabs>
        <w:numPr>
          <w:ilvl w:val="0"/>
          <w:numId w:val="658"/>
        </w:numPr>
        <w:rPr>
          <w:rFonts w:ascii="Arial" w:cs="Arial" w:eastAsia="Arial" w:hAnsi="Arial"/>
          <w:sz w:val="18"/>
          <w:szCs w:val="18"/>
          <w:color w:val="auto"/>
        </w:rPr>
      </w:pPr>
      <w:r>
        <w:rPr>
          <w:rFonts w:ascii="Arial" w:cs="Arial" w:eastAsia="Arial" w:hAnsi="Arial"/>
          <w:sz w:val="18"/>
          <w:szCs w:val="18"/>
          <w:i w:val="1"/>
          <w:iCs w:val="1"/>
          <w:color w:val="auto"/>
        </w:rPr>
        <w:t xml:space="preserve">Offered ADSs. </w:t>
      </w:r>
      <w:r>
        <w:rPr>
          <w:rFonts w:ascii="Arial" w:cs="Arial" w:eastAsia="Arial" w:hAnsi="Arial"/>
          <w:sz w:val="18"/>
          <w:szCs w:val="18"/>
          <w:color w:val="auto"/>
        </w:rPr>
        <w:t>The Offered ADSs have been duly and validly authorized and (A) (i) upon delivery by the Depositary of the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ADSs against deposit of the Ordinary Shares in respect thereof in accordance with the provisions of the Deposit Agreement, and (ii) upon issuance and delivery by the Company of the Shares, in each case, and (B) upon payment by the Underwriters for the Offered ADSs evidenced thereby in accordance with the provisions of this Agreement, such Offered ADSs will be duly and validly issued fully paid and non-assessable, and free of statutory and contractual preemptive rights, resale rights, rights of first refusal and similar rights and the Underwriters will acquire valid and marketable title to such Offered ADSs free and clear of any claim, lien, encumbrance, security interest, community property right or other defect in title; the Offered ADSs conform in all material respects to the description thereof contained in the Registration Statement, the Disclosure Package and the Prospectus; except as described in the Registration Statement, the Disclosure Package and the Prospectus, there are no limitations on the rights of holders of ADSs to hold or vote or transfer their respective securities (except for limitations under securities laws applicable to control securities);</w:t>
      </w:r>
    </w:p>
    <w:p>
      <w:pPr>
        <w:spacing w:after="0" w:line="86" w:lineRule="exact"/>
        <w:rPr>
          <w:rFonts w:ascii="Arial" w:cs="Arial" w:eastAsia="Arial" w:hAnsi="Arial"/>
          <w:sz w:val="18"/>
          <w:szCs w:val="18"/>
          <w:color w:val="auto"/>
        </w:rPr>
      </w:pPr>
    </w:p>
    <w:p>
      <w:pPr>
        <w:ind w:left="680" w:hanging="252"/>
        <w:spacing w:after="0"/>
        <w:tabs>
          <w:tab w:leader="none" w:pos="680" w:val="left"/>
        </w:tabs>
        <w:numPr>
          <w:ilvl w:val="0"/>
          <w:numId w:val="658"/>
        </w:numPr>
        <w:rPr>
          <w:rFonts w:ascii="Arial" w:cs="Arial" w:eastAsia="Arial" w:hAnsi="Arial"/>
          <w:sz w:val="17"/>
          <w:szCs w:val="17"/>
          <w:color w:val="auto"/>
        </w:rPr>
      </w:pPr>
      <w:r>
        <w:rPr>
          <w:rFonts w:ascii="Arial" w:cs="Arial" w:eastAsia="Arial" w:hAnsi="Arial"/>
          <w:sz w:val="17"/>
          <w:szCs w:val="17"/>
          <w:i w:val="1"/>
          <w:iCs w:val="1"/>
          <w:color w:val="auto"/>
        </w:rPr>
        <w:t xml:space="preserve">Authorization of this Agreement. </w:t>
      </w:r>
      <w:r>
        <w:rPr>
          <w:rFonts w:ascii="Arial" w:cs="Arial" w:eastAsia="Arial" w:hAnsi="Arial"/>
          <w:sz w:val="17"/>
          <w:szCs w:val="17"/>
          <w:color w:val="auto"/>
        </w:rPr>
        <w:t>This Agreement has been duly and validly authorized, executed and delivered by the Company;</w:t>
      </w:r>
    </w:p>
    <w:p>
      <w:pPr>
        <w:spacing w:after="0" w:line="128" w:lineRule="exact"/>
        <w:rPr>
          <w:rFonts w:ascii="Arial" w:cs="Arial" w:eastAsia="Arial" w:hAnsi="Arial"/>
          <w:sz w:val="17"/>
          <w:szCs w:val="17"/>
          <w:color w:val="auto"/>
        </w:rPr>
      </w:pPr>
    </w:p>
    <w:p>
      <w:pPr>
        <w:ind w:right="40" w:firstLine="428"/>
        <w:spacing w:after="0" w:line="290" w:lineRule="auto"/>
        <w:tabs>
          <w:tab w:leader="none" w:pos="678" w:val="left"/>
        </w:tabs>
        <w:numPr>
          <w:ilvl w:val="0"/>
          <w:numId w:val="658"/>
        </w:numPr>
        <w:rPr>
          <w:rFonts w:ascii="Arial" w:cs="Arial" w:eastAsia="Arial" w:hAnsi="Arial"/>
          <w:sz w:val="16"/>
          <w:szCs w:val="16"/>
          <w:color w:val="auto"/>
        </w:rPr>
      </w:pPr>
      <w:r>
        <w:rPr>
          <w:rFonts w:ascii="Arial" w:cs="Arial" w:eastAsia="Arial" w:hAnsi="Arial"/>
          <w:sz w:val="16"/>
          <w:szCs w:val="16"/>
          <w:i w:val="1"/>
          <w:iCs w:val="1"/>
          <w:color w:val="auto"/>
        </w:rPr>
        <w:t>Reorganization</w:t>
      </w:r>
      <w:r>
        <w:rPr>
          <w:rFonts w:ascii="Arial" w:cs="Arial" w:eastAsia="Arial" w:hAnsi="Arial"/>
          <w:sz w:val="16"/>
          <w:szCs w:val="16"/>
          <w:color w:val="auto"/>
        </w:rPr>
        <w:t>. Each of the Reorganization Documents to which the Company or MSC Cotai is or will be a party has been duly and</w:t>
      </w:r>
      <w:r>
        <w:rPr>
          <w:rFonts w:ascii="Arial" w:cs="Arial" w:eastAsia="Arial" w:hAnsi="Arial"/>
          <w:sz w:val="16"/>
          <w:szCs w:val="16"/>
          <w:i w:val="1"/>
          <w:iCs w:val="1"/>
          <w:color w:val="auto"/>
        </w:rPr>
        <w:t xml:space="preserve"> </w:t>
      </w:r>
      <w:r>
        <w:rPr>
          <w:rFonts w:ascii="Arial" w:cs="Arial" w:eastAsia="Arial" w:hAnsi="Arial"/>
          <w:sz w:val="16"/>
          <w:szCs w:val="16"/>
          <w:color w:val="auto"/>
        </w:rPr>
        <w:t>validly authorized by the Company and MSC Cotai, as the case may be, and when executed and delivered by the Company and MSC Cotai, as the case may be (assuming due authorization, execution and delivery by the other parties hereto and thereto), constitute valid and binding obligations of the Company and MSC Cotai, as the case may be, enforceable against such party in accordance with their respective terms, except as enforceability may be limited by applicable bankruptcy, insolvency or similar laws affecting creditors’ rights generally or by equitable principles relating to enforceability; the descriptions of the Reorganization Transactions as set forth in the Registration Statement, the Disclosure Package or the Prospectus are complete, true and accurate in all material respects; and the execution, delivery and performance of the Reorganization Documents and the consummation of the Reorganization Transactions will not contravene any applicable law, rule or regulation of Macau;</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0" w:right="439" w:bottom="1440" w:gutter="0" w:footer="0" w:header="0"/>
        </w:sectPr>
      </w:pPr>
    </w:p>
    <w:bookmarkStart w:id="470" w:name="page471"/>
    <w:bookmarkEnd w:id="4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80" w:firstLine="428"/>
        <w:spacing w:after="0" w:line="291" w:lineRule="auto"/>
        <w:tabs>
          <w:tab w:leader="none" w:pos="638" w:val="left"/>
        </w:tabs>
        <w:numPr>
          <w:ilvl w:val="1"/>
          <w:numId w:val="659"/>
        </w:numPr>
        <w:rPr>
          <w:rFonts w:ascii="Arial" w:cs="Arial" w:eastAsia="Arial" w:hAnsi="Arial"/>
          <w:sz w:val="16"/>
          <w:szCs w:val="16"/>
          <w:color w:val="auto"/>
        </w:rPr>
      </w:pPr>
      <w:r>
        <w:rPr>
          <w:rFonts w:ascii="Arial" w:cs="Arial" w:eastAsia="Arial" w:hAnsi="Arial"/>
          <w:sz w:val="16"/>
          <w:szCs w:val="16"/>
          <w:i w:val="1"/>
          <w:iCs w:val="1"/>
          <w:color w:val="auto"/>
        </w:rPr>
        <w:t xml:space="preserve">Deposit Agreement. </w:t>
      </w:r>
      <w:r>
        <w:rPr>
          <w:rFonts w:ascii="Arial" w:cs="Arial" w:eastAsia="Arial" w:hAnsi="Arial"/>
          <w:sz w:val="16"/>
          <w:szCs w:val="16"/>
          <w:color w:val="auto"/>
        </w:rPr>
        <w:t>The Deposit Agreement has been duly authorized, executed and delivered by the Company and constitutes a valid</w:t>
      </w:r>
      <w:r>
        <w:rPr>
          <w:rFonts w:ascii="Arial" w:cs="Arial" w:eastAsia="Arial" w:hAnsi="Arial"/>
          <w:sz w:val="16"/>
          <w:szCs w:val="16"/>
          <w:i w:val="1"/>
          <w:iCs w:val="1"/>
          <w:color w:val="auto"/>
        </w:rPr>
        <w:t xml:space="preserve"> </w:t>
      </w:r>
      <w:r>
        <w:rPr>
          <w:rFonts w:ascii="Arial" w:cs="Arial" w:eastAsia="Arial" w:hAnsi="Arial"/>
          <w:sz w:val="16"/>
          <w:szCs w:val="16"/>
          <w:color w:val="auto"/>
        </w:rPr>
        <w:t>and legally binding agreement of the Company enforceable against the Company in accordance with its terms, except as enforceability may be limited by applicable bankruptcy, insolvency or similar laws affecting creditors’ rights generally or by equitable principles relating to enforceability; and upon due issuance by the Depositary of ADRs evidencing the Offered ADSs against the deposit of Shares in respect thereof in accordance with the provisions of the Deposit Agreement, the holders of Offered ADSs will be entitled subject to the terms and provisions of the Deposit Agreement to all the rights specified in the Offered ADSs and in the Deposit Agreement; the Deposit Agreement conforms in all material respects to the description thereof contained in the Registration Statement, the Disclosure Package and the Prospectus;</w:t>
      </w:r>
    </w:p>
    <w:p>
      <w:pPr>
        <w:spacing w:after="0" w:line="59" w:lineRule="exact"/>
        <w:rPr>
          <w:rFonts w:ascii="Arial" w:cs="Arial" w:eastAsia="Arial" w:hAnsi="Arial"/>
          <w:sz w:val="16"/>
          <w:szCs w:val="16"/>
          <w:color w:val="auto"/>
        </w:rPr>
      </w:pPr>
    </w:p>
    <w:p>
      <w:pPr>
        <w:ind w:right="40" w:firstLine="428"/>
        <w:spacing w:after="0" w:line="259" w:lineRule="auto"/>
        <w:tabs>
          <w:tab w:leader="none" w:pos="638" w:val="left"/>
        </w:tabs>
        <w:numPr>
          <w:ilvl w:val="1"/>
          <w:numId w:val="659"/>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of Registration Statements. </w:t>
      </w:r>
      <w:r>
        <w:rPr>
          <w:rFonts w:ascii="Arial" w:cs="Arial" w:eastAsia="Arial" w:hAnsi="Arial"/>
          <w:sz w:val="18"/>
          <w:szCs w:val="18"/>
          <w:color w:val="auto"/>
        </w:rPr>
        <w:t>The Registration Statement, the Pre-Pricing Prospectus, the Prospectus and any Free</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Prospectus and the filing of the Registration Statement, the Pre-Pricing Prospectus, the Prospectus and any Free Writing Prospectus with the Commission have been duly authorized by and on behalf of the Company, and the Registration Statement have been duly executed pursuant to such authorization by and on behalf of the Company;</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1"/>
          <w:numId w:val="659"/>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Offered ADSs have been approved for listing on the NYSE, subject only to official notice of issuance;</w:t>
      </w:r>
    </w:p>
    <w:p>
      <w:pPr>
        <w:spacing w:after="0" w:line="117" w:lineRule="exact"/>
        <w:rPr>
          <w:rFonts w:ascii="Arial" w:cs="Arial" w:eastAsia="Arial" w:hAnsi="Arial"/>
          <w:sz w:val="18"/>
          <w:szCs w:val="18"/>
          <w:color w:val="auto"/>
        </w:rPr>
      </w:pPr>
    </w:p>
    <w:p>
      <w:pPr>
        <w:ind w:right="40" w:firstLine="428"/>
        <w:spacing w:after="0" w:line="276" w:lineRule="auto"/>
        <w:tabs>
          <w:tab w:leader="none" w:pos="638" w:val="left"/>
        </w:tabs>
        <w:numPr>
          <w:ilvl w:val="1"/>
          <w:numId w:val="659"/>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Rights; Lock-up Letters. </w:t>
      </w:r>
      <w:r>
        <w:rPr>
          <w:rFonts w:ascii="Arial" w:cs="Arial" w:eastAsia="Arial" w:hAnsi="Arial"/>
          <w:sz w:val="17"/>
          <w:szCs w:val="17"/>
          <w:color w:val="auto"/>
        </w:rPr>
        <w:t>Except as disclosed in the Registration Statement, the Disclosure Package and the Prospectus, there</w:t>
      </w:r>
      <w:r>
        <w:rPr>
          <w:rFonts w:ascii="Arial" w:cs="Arial" w:eastAsia="Arial" w:hAnsi="Arial"/>
          <w:sz w:val="17"/>
          <w:szCs w:val="17"/>
          <w:i w:val="1"/>
          <w:iCs w:val="1"/>
          <w:color w:val="auto"/>
        </w:rPr>
        <w:t xml:space="preserve"> </w:t>
      </w:r>
      <w:r>
        <w:rPr>
          <w:rFonts w:ascii="Arial" w:cs="Arial" w:eastAsia="Arial" w:hAnsi="Arial"/>
          <w:sz w:val="17"/>
          <w:szCs w:val="17"/>
          <w:color w:val="auto"/>
        </w:rPr>
        <w:t>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ADSs registered pursuant to the Registration Statement. Each shareholder of the Company has furnished to the Underwriters on or prior to the date hereof a letter or letters substantially in the form of Exhibit A hereto;</w:t>
      </w:r>
    </w:p>
    <w:p>
      <w:pPr>
        <w:spacing w:after="0" w:line="64" w:lineRule="exact"/>
        <w:rPr>
          <w:rFonts w:ascii="Arial" w:cs="Arial" w:eastAsia="Arial" w:hAnsi="Arial"/>
          <w:sz w:val="17"/>
          <w:szCs w:val="17"/>
          <w:color w:val="auto"/>
        </w:rPr>
      </w:pPr>
    </w:p>
    <w:p>
      <w:pPr>
        <w:ind w:right="520" w:firstLine="428"/>
        <w:spacing w:after="0" w:line="291" w:lineRule="auto"/>
        <w:tabs>
          <w:tab w:leader="none" w:pos="728" w:val="left"/>
        </w:tabs>
        <w:numPr>
          <w:ilvl w:val="1"/>
          <w:numId w:val="659"/>
        </w:numPr>
        <w:rPr>
          <w:rFonts w:ascii="Arial" w:cs="Arial" w:eastAsia="Arial" w:hAnsi="Arial"/>
          <w:sz w:val="16"/>
          <w:szCs w:val="16"/>
          <w:color w:val="auto"/>
        </w:rPr>
      </w:pPr>
      <w:r>
        <w:rPr>
          <w:rFonts w:ascii="Arial" w:cs="Arial" w:eastAsia="Arial" w:hAnsi="Arial"/>
          <w:sz w:val="16"/>
          <w:szCs w:val="16"/>
          <w:i w:val="1"/>
          <w:iCs w:val="1"/>
          <w:color w:val="auto"/>
        </w:rPr>
        <w:t xml:space="preserve">Other Shareholders’ Rights. </w:t>
      </w:r>
      <w:r>
        <w:rPr>
          <w:rFonts w:ascii="Arial" w:cs="Arial" w:eastAsia="Arial" w:hAnsi="Arial"/>
          <w:sz w:val="16"/>
          <w:szCs w:val="16"/>
          <w:color w:val="auto"/>
        </w:rPr>
        <w:t>The issuance and sale of the Offered ADSs by the Company and the deposit of the Shares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and the issuance of the ADRs evidencing the Shares as contemplated by this Agreement and the Deposit Agreement will neither</w:t>
      </w:r>
    </w:p>
    <w:p>
      <w:pPr>
        <w:ind w:right="200" w:firstLine="4"/>
        <w:spacing w:after="0" w:line="254" w:lineRule="auto"/>
        <w:tabs>
          <w:tab w:leader="none" w:pos="215" w:val="left"/>
        </w:tabs>
        <w:numPr>
          <w:ilvl w:val="0"/>
          <w:numId w:val="660"/>
        </w:numPr>
        <w:rPr>
          <w:rFonts w:ascii="Arial" w:cs="Arial" w:eastAsia="Arial" w:hAnsi="Arial"/>
          <w:sz w:val="18"/>
          <w:szCs w:val="18"/>
          <w:color w:val="auto"/>
        </w:rPr>
      </w:pPr>
      <w:r>
        <w:rPr>
          <w:rFonts w:ascii="Arial" w:cs="Arial" w:eastAsia="Arial" w:hAnsi="Arial"/>
          <w:sz w:val="18"/>
          <w:szCs w:val="18"/>
          <w:color w:val="auto"/>
        </w:rPr>
        <w:t>cause any holder of any Ordinary Shares or ADSs, securities convertible into or exchangeable or exercisable for Ordinary Shares or ADSs or options, warrants or other rights to purchase Ordinary Shares or ADSs or any other securities of the Company to have any right to acquire any securities of the Company nor (ii) trigger any anti-dilution rights of any such holder with respect to such Shares, ADSs, securities, options, warrants or rights;</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0" w:right="439" w:bottom="1440" w:gutter="0" w:footer="0" w:header="0"/>
        </w:sectPr>
      </w:pPr>
    </w:p>
    <w:bookmarkStart w:id="471" w:name="page472"/>
    <w:bookmarkEnd w:id="4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left="680" w:hanging="252"/>
        <w:spacing w:after="0"/>
        <w:tabs>
          <w:tab w:leader="none" w:pos="680" w:val="left"/>
        </w:tabs>
        <w:numPr>
          <w:ilvl w:val="0"/>
          <w:numId w:val="661"/>
        </w:numPr>
        <w:rPr>
          <w:rFonts w:ascii="Arial" w:cs="Arial" w:eastAsia="Arial" w:hAnsi="Arial"/>
          <w:sz w:val="17"/>
          <w:szCs w:val="17"/>
          <w:color w:val="auto"/>
        </w:rPr>
      </w:pPr>
      <w:r>
        <w:rPr>
          <w:rFonts w:ascii="Arial" w:cs="Arial" w:eastAsia="Arial" w:hAnsi="Arial"/>
          <w:sz w:val="17"/>
          <w:szCs w:val="17"/>
          <w:i w:val="1"/>
          <w:iCs w:val="1"/>
          <w:color w:val="auto"/>
        </w:rPr>
        <w:t xml:space="preserve">No Consent Required. </w:t>
      </w:r>
      <w:r>
        <w:rPr>
          <w:rFonts w:ascii="Arial" w:cs="Arial" w:eastAsia="Arial" w:hAnsi="Arial"/>
          <w:sz w:val="17"/>
          <w:szCs w:val="17"/>
          <w:color w:val="auto"/>
        </w:rPr>
        <w:t>No consent, approval, or order of, clearance by, or filing or registration with, any person (including any</w:t>
      </w:r>
    </w:p>
    <w:p>
      <w:pPr>
        <w:spacing w:after="0" w:line="34" w:lineRule="exact"/>
        <w:rPr>
          <w:rFonts w:ascii="Arial" w:cs="Arial" w:eastAsia="Arial" w:hAnsi="Arial"/>
          <w:sz w:val="17"/>
          <w:szCs w:val="17"/>
          <w:color w:val="auto"/>
        </w:rPr>
      </w:pPr>
    </w:p>
    <w:p>
      <w:pPr>
        <w:ind w:right="120"/>
        <w:spacing w:after="0" w:line="270" w:lineRule="auto"/>
        <w:rPr>
          <w:rFonts w:ascii="Arial" w:cs="Arial" w:eastAsia="Arial" w:hAnsi="Arial"/>
          <w:sz w:val="17"/>
          <w:szCs w:val="17"/>
          <w:color w:val="auto"/>
        </w:rPr>
      </w:pPr>
      <w:r>
        <w:rPr>
          <w:rFonts w:ascii="Arial" w:cs="Arial" w:eastAsia="Arial" w:hAnsi="Arial"/>
          <w:sz w:val="17"/>
          <w:szCs w:val="17"/>
          <w:color w:val="auto"/>
        </w:rPr>
        <w:t>governmental agency or body or any court or any stock exchange), or approval of the shareholders of the Company, is required to be obtained or made by the Company or any of its Subsidiaries for the performance by the Company of its obligations under this Agreement and the Deposit Agreement except (A) such as have been obtained and made under the Act or the rules and regulations thereunder by the blue sky or similar laws of any jurisdiction in connection with the offer and sale of the ADSs by the Underwriters in the manner contemplated in the Registration Statement, the Disclosure Package and the Prospectus; (B) such as have already been obtained or as may be required by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and (C) as have otherwise been obtained;</w:t>
      </w:r>
    </w:p>
    <w:p>
      <w:pPr>
        <w:spacing w:after="0" w:line="70" w:lineRule="exact"/>
        <w:rPr>
          <w:rFonts w:ascii="Arial" w:cs="Arial" w:eastAsia="Arial" w:hAnsi="Arial"/>
          <w:sz w:val="17"/>
          <w:szCs w:val="17"/>
          <w:color w:val="auto"/>
        </w:rPr>
      </w:pPr>
    </w:p>
    <w:p>
      <w:pPr>
        <w:ind w:right="60" w:firstLine="428"/>
        <w:spacing w:after="0" w:line="271" w:lineRule="auto"/>
        <w:tabs>
          <w:tab w:leader="none" w:pos="678" w:val="left"/>
        </w:tabs>
        <w:numPr>
          <w:ilvl w:val="0"/>
          <w:numId w:val="661"/>
        </w:numPr>
        <w:rPr>
          <w:rFonts w:ascii="Arial" w:cs="Arial" w:eastAsia="Arial" w:hAnsi="Arial"/>
          <w:sz w:val="17"/>
          <w:szCs w:val="17"/>
          <w:color w:val="auto"/>
        </w:rPr>
      </w:pPr>
      <w:r>
        <w:rPr>
          <w:rFonts w:ascii="Arial" w:cs="Arial" w:eastAsia="Arial" w:hAnsi="Arial"/>
          <w:sz w:val="17"/>
          <w:szCs w:val="17"/>
          <w:i w:val="1"/>
          <w:iCs w:val="1"/>
          <w:color w:val="auto"/>
        </w:rPr>
        <w:t xml:space="preserve">Title to Property. </w:t>
      </w:r>
      <w:r>
        <w:rPr>
          <w:rFonts w:ascii="Arial" w:cs="Arial" w:eastAsia="Arial" w:hAnsi="Arial"/>
          <w:sz w:val="17"/>
          <w:szCs w:val="17"/>
          <w:color w:val="auto"/>
        </w:rPr>
        <w:t>Except as disclosed in the Registration Statement, the Disclosure Package and the Prospectus,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have good and marketable title to all real property and all other property and assets owned by them as are necessary to the conduct of the businesses of the Company and its Subsidiaries in the manner described in the Registration Statement, the Disclosure Package and the Prospectus, in each case free from liens, charges, encumbrances and defects that would materially affect the value thereof or materially interfere with the use made or to be made thereof by them, and the Company and its Subsidiaries hold any leased real or personal property under valid and enforceable leases with no terms or provisions that would materially interfere with the use made or to be made thereof by them in relation to the businesses of the Company and its Subsidiaries and except for such liens, encumbrances, charges, defects, claims, options or restrictions which, individually or in the aggregate, would not have a Material Adverse Effect;</w:t>
      </w:r>
    </w:p>
    <w:p>
      <w:pPr>
        <w:spacing w:after="0" w:line="70" w:lineRule="exact"/>
        <w:rPr>
          <w:rFonts w:ascii="Arial" w:cs="Arial" w:eastAsia="Arial" w:hAnsi="Arial"/>
          <w:sz w:val="17"/>
          <w:szCs w:val="17"/>
          <w:color w:val="auto"/>
        </w:rPr>
      </w:pPr>
    </w:p>
    <w:p>
      <w:pPr>
        <w:ind w:right="20" w:firstLine="428"/>
        <w:spacing w:after="0" w:line="270" w:lineRule="auto"/>
        <w:tabs>
          <w:tab w:leader="none" w:pos="678" w:val="left"/>
        </w:tabs>
        <w:numPr>
          <w:ilvl w:val="0"/>
          <w:numId w:val="661"/>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Constitutive Documents, Contracts and Law. </w:t>
      </w:r>
      <w:r>
        <w:rPr>
          <w:rFonts w:ascii="Arial" w:cs="Arial" w:eastAsia="Arial" w:hAnsi="Arial"/>
          <w:sz w:val="17"/>
          <w:szCs w:val="17"/>
          <w:color w:val="auto"/>
        </w:rPr>
        <w:t>Except as disclosed in the Registration Statement, the Disclosure Package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Prospectus, neither the Company nor any of its Subsidiaries is (A) in violation of its respective constitutional documents, (B) in default of the performance or observance of any obligation, agreement, covenant or condition contained in any contract, indenture, mortgage, deed of trust, loan or credit agreement, note, license, lease or other agreement or instrument to which the Company or any of its Subsidiaries is a party or by which it may be bound, or to which any of the properties or assets of the Company or any of its Subsidiaries may be subject (and no event has occurred which, with the giving of notices or lapse of time or both, would constitute such default) or (C) in violation of any statute, law, rule, regulation, judgment, order or decree of any court, regulatory body, administrative agency, governmental body, arbitrator or other authority having jurisdiction over the Company or such Subsidiary or any of its properties, as applicable, except, in the case of (B) and (C) only, any defaults or violations which, individually and collectively, would not have a Material Adverse Effect;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0" w:right="439"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60" w:firstLine="428"/>
        <w:spacing w:after="0" w:line="253" w:lineRule="auto"/>
        <w:tabs>
          <w:tab w:leader="none" w:pos="678" w:val="left"/>
        </w:tabs>
        <w:numPr>
          <w:ilvl w:val="0"/>
          <w:numId w:val="662"/>
        </w:numPr>
        <w:rPr>
          <w:rFonts w:ascii="Arial" w:cs="Arial" w:eastAsia="Arial" w:hAnsi="Arial"/>
          <w:sz w:val="18"/>
          <w:szCs w:val="18"/>
          <w:color w:val="auto"/>
        </w:rPr>
      </w:pPr>
      <w:r>
        <w:rPr>
          <w:rFonts w:ascii="Arial" w:cs="Arial" w:eastAsia="Arial" w:hAnsi="Arial"/>
          <w:sz w:val="18"/>
          <w:szCs w:val="18"/>
          <w:i w:val="1"/>
          <w:iCs w:val="1"/>
          <w:color w:val="auto"/>
        </w:rPr>
        <w:t xml:space="preserve">Absence of Defaults and Conflicts Resulting from Transaction. </w:t>
      </w:r>
      <w:r>
        <w:rPr>
          <w:rFonts w:ascii="Arial" w:cs="Arial" w:eastAsia="Arial" w:hAnsi="Arial"/>
          <w:sz w:val="18"/>
          <w:szCs w:val="18"/>
          <w:color w:val="auto"/>
        </w:rPr>
        <w:t>The execution, delivery and performance of this Agreement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Agreement and the consummation of the transactions contemplated herein, the issuance and sale of the Offered ADSs (including the deposit of any Ordinary Shares underlying the Offered ADSs with the Depositary and issuance of the ADRs evidencing the Offered ADSs) do not and will not result in (A) a violation of the respective constitutional documents of the Company or any of its Subsidiaries, (B) a violation of any statute, law, rule, regulation, judgment, order or decree of any court, regulatory body, administrative agency, governmental body, arbitrator or other authority having jurisdiction over the Company or any of its Subsidiaries or any of their properties or (C) a violation of any indenture, mortgage, deed of trust, bank loan or credit agreement or other evidence of indebtedness, or any license, lease, contract or other agreement or instrument to which the Company or any of its Subsidiaries is a party or by which any of them or any of their respective properties may be bound or affected;</w:t>
      </w:r>
    </w:p>
    <w:p>
      <w:pPr>
        <w:spacing w:after="0" w:line="89" w:lineRule="exact"/>
        <w:rPr>
          <w:rFonts w:ascii="Arial" w:cs="Arial" w:eastAsia="Arial" w:hAnsi="Arial"/>
          <w:sz w:val="18"/>
          <w:szCs w:val="18"/>
          <w:color w:val="auto"/>
        </w:rPr>
      </w:pPr>
    </w:p>
    <w:p>
      <w:pPr>
        <w:ind w:right="40" w:firstLine="428"/>
        <w:spacing w:after="0" w:line="287" w:lineRule="auto"/>
        <w:tabs>
          <w:tab w:leader="none" w:pos="648" w:val="left"/>
        </w:tabs>
        <w:numPr>
          <w:ilvl w:val="0"/>
          <w:numId w:val="662"/>
        </w:numPr>
        <w:rPr>
          <w:rFonts w:ascii="Arial" w:cs="Arial" w:eastAsia="Arial" w:hAnsi="Arial"/>
          <w:sz w:val="16"/>
          <w:szCs w:val="16"/>
          <w:color w:val="auto"/>
        </w:rPr>
      </w:pPr>
      <w:r>
        <w:rPr>
          <w:rFonts w:ascii="Arial" w:cs="Arial" w:eastAsia="Arial" w:hAnsi="Arial"/>
          <w:sz w:val="16"/>
          <w:szCs w:val="16"/>
          <w:i w:val="1"/>
          <w:iCs w:val="1"/>
          <w:color w:val="auto"/>
        </w:rPr>
        <w:t xml:space="preserve">No Pending Proceedings. </w:t>
      </w:r>
      <w:r>
        <w:rPr>
          <w:rFonts w:ascii="Arial" w:cs="Arial" w:eastAsia="Arial" w:hAnsi="Arial"/>
          <w:sz w:val="16"/>
          <w:szCs w:val="16"/>
          <w:color w:val="auto"/>
        </w:rPr>
        <w:t>Except as described in the Registration Statement, the Disclosure Package and the Prospectus,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legal, governmental or regulatory investigations, actions, suits or proceedings pending to which the Company or any of its Subsidiaries is or could reasonably be expected to be a party or to which any property of the Company or any of its Subsidiaries is or could reasonably be expected to be the subject that, individually or in the aggregate, if determined adversely to the Company or any of its Subsidiaries, could reasonably be expected to have a Material Adverse Effect; no such investigations, actions, suits or proceedings are to the knowledge of the Company, threatened or contemplated by any governmental or regulatory authority or, to the knowledge of the Company, threatened by others; and (i) there are no current or pending legal, governmental or regulatory actions, suits or proceedings that are required under the Act to be described in the Registration Statement, the Disclosure Package or the Prospectus that are not so described in the Registration Statement, the Disclosure Package or the Prospectus and (ii) there are no statutes, regulations or contracts or other documents that are required under the Act to be filed as exhibits to the Registration Statement or described in the Registration Statement, the Disclosure Package or the Prospectus that are not so filed as exhibits to the Registration Statement or described in the Registration Statement, the Disclosure Package or the Prospectus;</w:t>
      </w:r>
    </w:p>
    <w:p>
      <w:pPr>
        <w:spacing w:after="0" w:line="64" w:lineRule="exact"/>
        <w:rPr>
          <w:rFonts w:ascii="Arial" w:cs="Arial" w:eastAsia="Arial" w:hAnsi="Arial"/>
          <w:sz w:val="16"/>
          <w:szCs w:val="16"/>
          <w:color w:val="auto"/>
        </w:rPr>
      </w:pPr>
    </w:p>
    <w:p>
      <w:pPr>
        <w:ind w:firstLine="428"/>
        <w:spacing w:after="0" w:line="269" w:lineRule="auto"/>
        <w:tabs>
          <w:tab w:leader="none" w:pos="658" w:val="left"/>
        </w:tabs>
        <w:numPr>
          <w:ilvl w:val="0"/>
          <w:numId w:val="662"/>
        </w:numPr>
        <w:rPr>
          <w:rFonts w:ascii="Arial" w:cs="Arial" w:eastAsia="Arial" w:hAnsi="Arial"/>
          <w:sz w:val="17"/>
          <w:szCs w:val="17"/>
          <w:color w:val="auto"/>
        </w:rPr>
      </w:pPr>
      <w:r>
        <w:rPr>
          <w:rFonts w:ascii="Arial" w:cs="Arial" w:eastAsia="Arial" w:hAnsi="Arial"/>
          <w:sz w:val="17"/>
          <w:szCs w:val="17"/>
          <w:i w:val="1"/>
          <w:iCs w:val="1"/>
          <w:color w:val="auto"/>
        </w:rPr>
        <w:t xml:space="preserve">Possession of Licenses and Permits. </w:t>
      </w:r>
      <w:r>
        <w:rPr>
          <w:rFonts w:ascii="Arial" w:cs="Arial" w:eastAsia="Arial" w:hAnsi="Arial"/>
          <w:sz w:val="17"/>
          <w:szCs w:val="17"/>
          <w:color w:val="auto"/>
        </w:rPr>
        <w:t>Except as described in the Registration Statement, the Disclosure Package and the Prospectus, (i)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possess, and are in compliance with the terms of, all licenses, certificates and authorizations (collectively, “</w:t>
      </w:r>
      <w:r>
        <w:rPr>
          <w:rFonts w:ascii="Arial" w:cs="Arial" w:eastAsia="Arial" w:hAnsi="Arial"/>
          <w:sz w:val="17"/>
          <w:szCs w:val="17"/>
          <w:b w:val="1"/>
          <w:bCs w:val="1"/>
          <w:color w:val="auto"/>
        </w:rPr>
        <w:t>Licenses</w:t>
      </w:r>
      <w:r>
        <w:rPr>
          <w:rFonts w:ascii="Arial" w:cs="Arial" w:eastAsia="Arial" w:hAnsi="Arial"/>
          <w:sz w:val="17"/>
          <w:szCs w:val="17"/>
          <w:color w:val="auto"/>
        </w:rPr>
        <w:t>”) issued by appropriate governmental agencies or bodies necessary or material to the conduct of the business of the Company and its Subsidiaries now operated by them or proposed in the Registration Statement, the Disclosure Package and the Prospectus to be conducted by them, except for such non-compliance that would not, individually or in the aggregate, have a Material Adverse Effect; (ii) such Licenses are valid and in full force and effect and contain no materially burdensome restrictions or conditions not described in the Pre-Pricing Prospectus or the Prospectus; (iii) the Company and its Subsidiaries have not received any notice of proceedings relating to the revocation or modification of any License that, if determined adversely to the Company or any of its Subsidiaries would, individually or in the aggregate, have a Material Adverse Effect; except for the non-renewal of any such License which non-renewal would have a Material Adverse Effect on the Company or any of its Subsidiaries, none of the Company or any of its Subsidiaries has any reason to believe that any such licenses will not be renewed in the ordinary course;</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69" w:right="439"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180" w:firstLine="428"/>
        <w:spacing w:after="0" w:line="342" w:lineRule="auto"/>
        <w:tabs>
          <w:tab w:leader="none" w:pos="638" w:val="left"/>
        </w:tabs>
        <w:numPr>
          <w:ilvl w:val="0"/>
          <w:numId w:val="663"/>
        </w:numPr>
        <w:rPr>
          <w:rFonts w:ascii="Arial" w:cs="Arial" w:eastAsia="Arial" w:hAnsi="Arial"/>
          <w:sz w:val="16"/>
          <w:szCs w:val="16"/>
          <w:color w:val="auto"/>
        </w:rPr>
      </w:pPr>
      <w:r>
        <w:rPr>
          <w:rFonts w:ascii="Arial" w:cs="Arial" w:eastAsia="Arial" w:hAnsi="Arial"/>
          <w:sz w:val="16"/>
          <w:szCs w:val="16"/>
          <w:i w:val="1"/>
          <w:iCs w:val="1"/>
          <w:color w:val="auto"/>
        </w:rPr>
        <w:t xml:space="preserve">Absence of Labor Dispute; Compliance with Labor Law. </w:t>
      </w:r>
      <w:r>
        <w:rPr>
          <w:rFonts w:ascii="Arial" w:cs="Arial" w:eastAsia="Arial" w:hAnsi="Arial"/>
          <w:sz w:val="16"/>
          <w:szCs w:val="16"/>
          <w:color w:val="auto"/>
        </w:rPr>
        <w:t>Except as would not have a Material Adverse Effect, no labor dispute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the Company or any of its Subsidiaries exists or, to the knowledge of the Company or any of its Subsidiaries, is imminent;</w:t>
      </w:r>
    </w:p>
    <w:p>
      <w:pPr>
        <w:spacing w:after="0" w:line="15" w:lineRule="exact"/>
        <w:rPr>
          <w:rFonts w:ascii="Arial" w:cs="Arial" w:eastAsia="Arial" w:hAnsi="Arial"/>
          <w:sz w:val="16"/>
          <w:szCs w:val="16"/>
          <w:color w:val="auto"/>
        </w:rPr>
      </w:pPr>
    </w:p>
    <w:p>
      <w:pPr>
        <w:ind w:right="80" w:firstLine="428"/>
        <w:spacing w:after="0" w:line="255" w:lineRule="auto"/>
        <w:tabs>
          <w:tab w:leader="none" w:pos="678" w:val="left"/>
        </w:tabs>
        <w:numPr>
          <w:ilvl w:val="0"/>
          <w:numId w:val="663"/>
        </w:numPr>
        <w:rPr>
          <w:rFonts w:ascii="Arial" w:cs="Arial" w:eastAsia="Arial" w:hAnsi="Arial"/>
          <w:sz w:val="18"/>
          <w:szCs w:val="18"/>
          <w:color w:val="auto"/>
        </w:rPr>
      </w:pPr>
      <w:r>
        <w:rPr>
          <w:rFonts w:ascii="Arial" w:cs="Arial" w:eastAsia="Arial" w:hAnsi="Arial"/>
          <w:sz w:val="18"/>
          <w:szCs w:val="18"/>
          <w:i w:val="1"/>
          <w:iCs w:val="1"/>
          <w:color w:val="auto"/>
        </w:rPr>
        <w:t xml:space="preserve">Possession of Intellectual Property. </w:t>
      </w:r>
      <w:r>
        <w:rPr>
          <w:rFonts w:ascii="Arial" w:cs="Arial" w:eastAsia="Arial" w:hAnsi="Arial"/>
          <w:sz w:val="18"/>
          <w:szCs w:val="18"/>
          <w:color w:val="auto"/>
        </w:rPr>
        <w:t>Except as described in the Registration Statement, the Disclosure Package and the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own, possess or can acquire on reasonable terms, adequate trademarks, trade names and other rights to inventions, know how, patents, copyrights, confidential information and other intellectual property (collectively,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necessary to conduct the business of the Company and its Subsidiaries now operated by them or presently employed by them. None of the Company or any of its Subsidiaries has received any notice or communication of infringement of or conflict with asserted rights of others with respect to any intellectual property rights of others that, if determined adversely to the Company or any of its Subsidiaries would, individually or in the aggregate, have a Material Adverse Effect;</w:t>
      </w:r>
    </w:p>
    <w:p>
      <w:pPr>
        <w:spacing w:after="0" w:line="81" w:lineRule="exact"/>
        <w:rPr>
          <w:rFonts w:ascii="Arial" w:cs="Arial" w:eastAsia="Arial" w:hAnsi="Arial"/>
          <w:sz w:val="18"/>
          <w:szCs w:val="18"/>
          <w:color w:val="auto"/>
        </w:rPr>
      </w:pPr>
    </w:p>
    <w:p>
      <w:pPr>
        <w:ind w:right="200" w:firstLine="428"/>
        <w:spacing w:after="0" w:line="279" w:lineRule="auto"/>
        <w:tabs>
          <w:tab w:leader="none" w:pos="678" w:val="left"/>
        </w:tabs>
        <w:numPr>
          <w:ilvl w:val="0"/>
          <w:numId w:val="663"/>
        </w:numPr>
        <w:rPr>
          <w:rFonts w:ascii="Arial" w:cs="Arial" w:eastAsia="Arial" w:hAnsi="Arial"/>
          <w:sz w:val="17"/>
          <w:szCs w:val="17"/>
          <w:color w:val="auto"/>
        </w:rPr>
      </w:pPr>
      <w:r>
        <w:rPr>
          <w:rFonts w:ascii="Arial" w:cs="Arial" w:eastAsia="Arial" w:hAnsi="Arial"/>
          <w:sz w:val="17"/>
          <w:szCs w:val="17"/>
          <w:i w:val="1"/>
          <w:iCs w:val="1"/>
          <w:color w:val="auto"/>
        </w:rPr>
        <w:t xml:space="preserve">Accurate Disclosure. </w:t>
      </w:r>
      <w:r>
        <w:rPr>
          <w:rFonts w:ascii="Arial" w:cs="Arial" w:eastAsia="Arial" w:hAnsi="Arial"/>
          <w:sz w:val="17"/>
          <w:szCs w:val="17"/>
          <w:color w:val="auto"/>
        </w:rPr>
        <w:t>The statements set forth in the Prospectus under the sections headed (i) “Risk Factors,” “Enforceability of Civil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 “Taxation,” insofar as they purport to describe provisions of the laws and documents referred to therein, and (ii) “Description of Share Capital” and “Description of American Depositary Shares,” insofar as they purport to constitute a summary of the provisions of the laws and documents referred to therein, are accurate and fair in all material respects;</w:t>
      </w:r>
    </w:p>
    <w:p>
      <w:pPr>
        <w:spacing w:after="0" w:line="63" w:lineRule="exact"/>
        <w:rPr>
          <w:rFonts w:ascii="Arial" w:cs="Arial" w:eastAsia="Arial" w:hAnsi="Arial"/>
          <w:sz w:val="17"/>
          <w:szCs w:val="17"/>
          <w:color w:val="auto"/>
        </w:rPr>
      </w:pPr>
    </w:p>
    <w:p>
      <w:pPr>
        <w:ind w:right="140" w:firstLine="428"/>
        <w:spacing w:after="0" w:line="290" w:lineRule="auto"/>
        <w:tabs>
          <w:tab w:leader="none" w:pos="718" w:val="left"/>
        </w:tabs>
        <w:numPr>
          <w:ilvl w:val="0"/>
          <w:numId w:val="663"/>
        </w:numPr>
        <w:rPr>
          <w:rFonts w:ascii="Arial" w:cs="Arial" w:eastAsia="Arial" w:hAnsi="Arial"/>
          <w:sz w:val="16"/>
          <w:szCs w:val="16"/>
          <w:color w:val="auto"/>
        </w:rPr>
      </w:pPr>
      <w:r>
        <w:rPr>
          <w:rFonts w:ascii="Arial" w:cs="Arial" w:eastAsia="Arial" w:hAnsi="Arial"/>
          <w:sz w:val="16"/>
          <w:szCs w:val="16"/>
          <w:i w:val="1"/>
          <w:iCs w:val="1"/>
          <w:color w:val="auto"/>
        </w:rPr>
        <w:t>Environmental Laws</w:t>
      </w:r>
      <w:r>
        <w:rPr>
          <w:rFonts w:ascii="Arial" w:cs="Arial" w:eastAsia="Arial" w:hAnsi="Arial"/>
          <w:sz w:val="16"/>
          <w:szCs w:val="16"/>
          <w:color w:val="auto"/>
        </w:rPr>
        <w:t>. Neither the Company nor any of its Subsidiaries is in violation of any statute, any rule, regulation, decision or</w:t>
      </w:r>
      <w:r>
        <w:rPr>
          <w:rFonts w:ascii="Arial" w:cs="Arial" w:eastAsia="Arial" w:hAnsi="Arial"/>
          <w:sz w:val="16"/>
          <w:szCs w:val="16"/>
          <w:i w:val="1"/>
          <w:iCs w:val="1"/>
          <w:color w:val="auto"/>
        </w:rPr>
        <w:t xml:space="preserve"> </w:t>
      </w:r>
      <w:r>
        <w:rPr>
          <w:rFonts w:ascii="Arial" w:cs="Arial" w:eastAsia="Arial" w:hAnsi="Arial"/>
          <w:sz w:val="16"/>
          <w:szCs w:val="16"/>
          <w:color w:val="auto"/>
        </w:rPr>
        <w:t>order of any governmental agency or body or any court, domestic or foreign, relating to the use, disposal or release of hazardous or toxic substances or relating to the protection or restoration of the environment or human exposure to hazardous or toxic substances or relating to the safety of employees in the workplace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owns or operates any real property contaminated with any substance that is subject to any environmental laws, is liable for any off-site disposal or contamination pursuant to any environmental laws, or is subject to any civil, criminal or administrative action, suit, claim, hearing, notice of violation, investigation or proceeding (“</w:t>
      </w:r>
      <w:r>
        <w:rPr>
          <w:rFonts w:ascii="Arial" w:cs="Arial" w:eastAsia="Arial" w:hAnsi="Arial"/>
          <w:sz w:val="16"/>
          <w:szCs w:val="16"/>
          <w:b w:val="1"/>
          <w:bCs w:val="1"/>
          <w:color w:val="auto"/>
        </w:rPr>
        <w:t>Proceeding</w:t>
      </w:r>
      <w:r>
        <w:rPr>
          <w:rFonts w:ascii="Arial" w:cs="Arial" w:eastAsia="Arial" w:hAnsi="Arial"/>
          <w:sz w:val="16"/>
          <w:szCs w:val="16"/>
          <w:color w:val="auto"/>
        </w:rPr>
        <w:t>”) relating to any environmental laws, which violation, contamination, liability or Proceeding would, individually or in the aggregate, have a Material Adverse Effect; and none of the Company or any of its Subsidiaries is aware of any pending hearing or investigation which would lead to such a claim;</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69" w:right="439" w:bottom="1440" w:gutter="0" w:footer="0" w:header="0"/>
        </w:sectPr>
      </w:pPr>
    </w:p>
    <w:bookmarkStart w:id="474" w:name="page475"/>
    <w:bookmarkEnd w:id="4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62" w:lineRule="exact"/>
        <w:rPr>
          <w:sz w:val="20"/>
          <w:szCs w:val="20"/>
          <w:color w:val="auto"/>
        </w:rPr>
      </w:pPr>
    </w:p>
    <w:p>
      <w:pPr>
        <w:ind w:right="40" w:firstLine="428"/>
        <w:spacing w:after="0" w:line="271" w:lineRule="auto"/>
        <w:tabs>
          <w:tab w:leader="none" w:pos="678" w:val="left"/>
        </w:tabs>
        <w:numPr>
          <w:ilvl w:val="0"/>
          <w:numId w:val="664"/>
        </w:numPr>
        <w:rPr>
          <w:rFonts w:ascii="Arial" w:cs="Arial" w:eastAsia="Arial" w:hAnsi="Arial"/>
          <w:sz w:val="17"/>
          <w:szCs w:val="17"/>
          <w:color w:val="auto"/>
        </w:rPr>
      </w:pPr>
      <w:r>
        <w:rPr>
          <w:rFonts w:ascii="Arial" w:cs="Arial" w:eastAsia="Arial" w:hAnsi="Arial"/>
          <w:sz w:val="17"/>
          <w:szCs w:val="17"/>
          <w:i w:val="1"/>
          <w:iCs w:val="1"/>
          <w:color w:val="auto"/>
        </w:rPr>
        <w:t>Insurance</w:t>
      </w:r>
      <w:r>
        <w:rPr>
          <w:rFonts w:ascii="Arial" w:cs="Arial" w:eastAsia="Arial" w:hAnsi="Arial"/>
          <w:sz w:val="17"/>
          <w:szCs w:val="17"/>
          <w:color w:val="auto"/>
        </w:rPr>
        <w:t>. Except as described in the Registration Statement, the Disclosure Package and the Prospectus,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maintain, or benefit from, insurance in such amounts and covering such risks as the Company and each subsidiary reasonably considers adequate for the conduct of the business of the Company and its Subsidiaries and as is customary for companies engaged in similar businesses in similar industries and in similar locations, all of which insurance is in full force and effect. There are no material claims by the Company or any of its Subsidiaries under any such policy or instrument as to which any insurance company is denying liability or defending under a reservation of rights clause. None of the Company or any of its Subsidiaries has a reason to believe that such existing renewable insurance will not be able to be renewed as and when such coverage expires or replacement insurance adequate for the conduct of the business and the value of its properties at a cost that would not have a Material Adverse Effect will not be able to be obtained;</w:t>
      </w:r>
    </w:p>
    <w:p>
      <w:pPr>
        <w:spacing w:after="0" w:line="70" w:lineRule="exact"/>
        <w:rPr>
          <w:rFonts w:ascii="Arial" w:cs="Arial" w:eastAsia="Arial" w:hAnsi="Arial"/>
          <w:sz w:val="17"/>
          <w:szCs w:val="17"/>
          <w:color w:val="auto"/>
        </w:rPr>
      </w:pPr>
    </w:p>
    <w:p>
      <w:pPr>
        <w:ind w:right="120" w:firstLine="428"/>
        <w:spacing w:after="0" w:line="264" w:lineRule="auto"/>
        <w:tabs>
          <w:tab w:leader="none" w:pos="678" w:val="left"/>
        </w:tabs>
        <w:numPr>
          <w:ilvl w:val="0"/>
          <w:numId w:val="664"/>
        </w:numPr>
        <w:rPr>
          <w:rFonts w:ascii="Arial" w:cs="Arial" w:eastAsia="Arial" w:hAnsi="Arial"/>
          <w:sz w:val="18"/>
          <w:szCs w:val="18"/>
          <w:color w:val="auto"/>
        </w:rPr>
      </w:pPr>
      <w:r>
        <w:rPr>
          <w:rFonts w:ascii="Arial" w:cs="Arial" w:eastAsia="Arial" w:hAnsi="Arial"/>
          <w:sz w:val="18"/>
          <w:szCs w:val="18"/>
          <w:i w:val="1"/>
          <w:iCs w:val="1"/>
          <w:color w:val="auto"/>
        </w:rPr>
        <w:t>Operating and Other Company Data</w:t>
      </w:r>
      <w:r>
        <w:rPr>
          <w:rFonts w:ascii="Arial" w:cs="Arial" w:eastAsia="Arial" w:hAnsi="Arial"/>
          <w:sz w:val="18"/>
          <w:szCs w:val="18"/>
          <w:color w:val="auto"/>
        </w:rPr>
        <w:t>. All operating and other Company data disclosed in the Registration Statement, the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and the Prospectus, including but not limited to those under the heading “Key Operating Data” in the “Summary Consolidated Financial Data” Section, are true and accurate in all material respects.</w:t>
      </w:r>
    </w:p>
    <w:p>
      <w:pPr>
        <w:spacing w:after="0" w:line="73" w:lineRule="exact"/>
        <w:rPr>
          <w:rFonts w:ascii="Arial" w:cs="Arial" w:eastAsia="Arial" w:hAnsi="Arial"/>
          <w:sz w:val="18"/>
          <w:szCs w:val="18"/>
          <w:color w:val="auto"/>
        </w:rPr>
      </w:pPr>
    </w:p>
    <w:p>
      <w:pPr>
        <w:ind w:right="60" w:firstLine="428"/>
        <w:spacing w:after="0" w:line="264" w:lineRule="auto"/>
        <w:tabs>
          <w:tab w:leader="none" w:pos="668" w:val="left"/>
        </w:tabs>
        <w:numPr>
          <w:ilvl w:val="0"/>
          <w:numId w:val="664"/>
        </w:numPr>
        <w:rPr>
          <w:rFonts w:ascii="Arial" w:cs="Arial" w:eastAsia="Arial" w:hAnsi="Arial"/>
          <w:sz w:val="18"/>
          <w:szCs w:val="18"/>
          <w:color w:val="auto"/>
        </w:rPr>
      </w:pPr>
      <w:r>
        <w:rPr>
          <w:rFonts w:ascii="Arial" w:cs="Arial" w:eastAsia="Arial" w:hAnsi="Arial"/>
          <w:sz w:val="18"/>
          <w:szCs w:val="18"/>
          <w:i w:val="1"/>
          <w:iCs w:val="1"/>
          <w:color w:val="auto"/>
        </w:rPr>
        <w:t xml:space="preserve">Third-party Data. </w:t>
      </w:r>
      <w:r>
        <w:rPr>
          <w:rFonts w:ascii="Arial" w:cs="Arial" w:eastAsia="Arial" w:hAnsi="Arial"/>
          <w:sz w:val="18"/>
          <w:szCs w:val="18"/>
          <w:color w:val="auto"/>
        </w:rPr>
        <w:t>Any third-party statistical and market-related data included in the Registration Statement, Disclosure Package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are based on or derived from sources that the Company believes to be reliable and accurate, and the Company has obtained the written consent to the use of such data from such sources to the extent required;</w:t>
      </w:r>
    </w:p>
    <w:p>
      <w:pPr>
        <w:spacing w:after="0" w:line="73" w:lineRule="exact"/>
        <w:rPr>
          <w:sz w:val="20"/>
          <w:szCs w:val="20"/>
          <w:color w:val="auto"/>
        </w:rPr>
      </w:pPr>
    </w:p>
    <w:p>
      <w:pPr>
        <w:ind w:right="100" w:firstLine="428"/>
        <w:spacing w:after="0" w:line="259" w:lineRule="auto"/>
        <w:tabs>
          <w:tab w:leader="none" w:pos="748" w:val="left"/>
        </w:tabs>
        <w:numPr>
          <w:ilvl w:val="0"/>
          <w:numId w:val="665"/>
        </w:numPr>
        <w:rPr>
          <w:rFonts w:ascii="Arial" w:cs="Arial" w:eastAsia="Arial" w:hAnsi="Arial"/>
          <w:sz w:val="18"/>
          <w:szCs w:val="18"/>
          <w:color w:val="auto"/>
        </w:rPr>
      </w:pPr>
      <w:r>
        <w:rPr>
          <w:rFonts w:ascii="Arial" w:cs="Arial" w:eastAsia="Arial" w:hAnsi="Arial"/>
          <w:sz w:val="18"/>
          <w:szCs w:val="18"/>
          <w:i w:val="1"/>
          <w:iCs w:val="1"/>
          <w:color w:val="auto"/>
        </w:rPr>
        <w:t xml:space="preserve">Absence of Accounting Issues. </w:t>
      </w:r>
      <w:r>
        <w:rPr>
          <w:rFonts w:ascii="Arial" w:cs="Arial" w:eastAsia="Arial" w:hAnsi="Arial"/>
          <w:sz w:val="18"/>
          <w:szCs w:val="18"/>
          <w:color w:val="auto"/>
        </w:rPr>
        <w:t>The Company is not aware of any notice, oral or written, from the board of directors stating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or investigating, and neither the Company’s independent auditors nor internal auditors have recommended that the board of directors review or investigate, adding to, deleting, changing the application of, or changing the Company’s disclosure in any material way with respect to, the Company’s material accounting policies;</w:t>
      </w:r>
    </w:p>
    <w:p>
      <w:pPr>
        <w:spacing w:after="0" w:line="78" w:lineRule="exact"/>
        <w:rPr>
          <w:rFonts w:ascii="Arial" w:cs="Arial" w:eastAsia="Arial" w:hAnsi="Arial"/>
          <w:sz w:val="18"/>
          <w:szCs w:val="18"/>
          <w:color w:val="auto"/>
        </w:rPr>
      </w:pPr>
    </w:p>
    <w:p>
      <w:pPr>
        <w:ind w:right="20" w:firstLine="428"/>
        <w:spacing w:after="0" w:line="287" w:lineRule="auto"/>
        <w:tabs>
          <w:tab w:leader="none" w:pos="768" w:val="left"/>
        </w:tabs>
        <w:numPr>
          <w:ilvl w:val="0"/>
          <w:numId w:val="665"/>
        </w:numPr>
        <w:rPr>
          <w:rFonts w:ascii="Arial" w:cs="Arial" w:eastAsia="Arial" w:hAnsi="Arial"/>
          <w:sz w:val="16"/>
          <w:szCs w:val="16"/>
          <w:color w:val="auto"/>
        </w:rPr>
      </w:pPr>
      <w:r>
        <w:rPr>
          <w:rFonts w:ascii="Arial" w:cs="Arial" w:eastAsia="Arial" w:hAnsi="Arial"/>
          <w:sz w:val="16"/>
          <w:szCs w:val="16"/>
          <w:i w:val="1"/>
          <w:iCs w:val="1"/>
          <w:color w:val="auto"/>
        </w:rPr>
        <w:t xml:space="preserve">No Transaction or Other Taxes. </w:t>
      </w:r>
      <w:r>
        <w:rPr>
          <w:rFonts w:ascii="Arial" w:cs="Arial" w:eastAsia="Arial" w:hAnsi="Arial"/>
          <w:sz w:val="16"/>
          <w:szCs w:val="16"/>
          <w:color w:val="auto"/>
        </w:rPr>
        <w:t>Other than taxes, imposts or duties that would not have been imposed but for a present or former</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between such Underwriters and the applicable jurisdiction, other than a connection arising solely from such Underwriter having executed, delivered or performed its obligations, or received a payment, under this Agreement, other than stamp duty levied at the rate of 0.2% over principal and interest recovered through court proceedings in Macau and applicable court fees, no taxes, imposts or duties of any nature (including, without limitation, stamp, issuance, transfer taxes or other similar taxes or duties and capital gains, income, withholding or other taxes) are payable by or on behalf of the Underwriters under the laws of Macau, the Cayman Islands, Hong Kong, or the United States in connection with (A) the execution, delivery, performance and admission in court proceedings of this Agreement and the Deposit Agreement, (B) the creation, allotment and issuance of the Offered ADSs, (C) the deposit with the Depositary of the Shares against the issuance of Offered ADSs and ADRs evidencing the Offered ADSs, (D) the sale and delivery of the Offered ADSs to or for the account of the Underwriters or purchasers procured by the Underwriters, and (E) the purchase, resale and delivery of the Offered ADSs by the Underwriters in the manner contemplated in the Registration Statement, Disclosure Package and the Prospectus; except that Cayman islands stamp duty may be payable in the event that this Agreement or the Deposit Agreement in executed in or brought within the jurisdiction of the Cayman Islands;</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0" w:right="43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271" w:lineRule="auto"/>
        <w:tabs>
          <w:tab w:leader="none" w:pos="748" w:val="left"/>
        </w:tabs>
        <w:numPr>
          <w:ilvl w:val="0"/>
          <w:numId w:val="666"/>
        </w:numPr>
        <w:rPr>
          <w:rFonts w:ascii="Arial" w:cs="Arial" w:eastAsia="Arial" w:hAnsi="Arial"/>
          <w:sz w:val="17"/>
          <w:szCs w:val="17"/>
          <w:color w:val="auto"/>
        </w:rPr>
      </w:pPr>
      <w:r>
        <w:rPr>
          <w:rFonts w:ascii="Arial" w:cs="Arial" w:eastAsia="Arial" w:hAnsi="Arial"/>
          <w:sz w:val="17"/>
          <w:szCs w:val="17"/>
          <w:i w:val="1"/>
          <w:iCs w:val="1"/>
          <w:color w:val="auto"/>
        </w:rPr>
        <w:t xml:space="preserve">Tax Filings. </w:t>
      </w:r>
      <w:r>
        <w:rPr>
          <w:rFonts w:ascii="Arial" w:cs="Arial" w:eastAsia="Arial" w:hAnsi="Arial"/>
          <w:sz w:val="17"/>
          <w:szCs w:val="17"/>
          <w:color w:val="auto"/>
        </w:rPr>
        <w:t>Each of the Company and its Subsidiaries has filed on a timely basis all necessary tax returns, reports and filings (except</w:t>
      </w:r>
      <w:r>
        <w:rPr>
          <w:rFonts w:ascii="Arial" w:cs="Arial" w:eastAsia="Arial" w:hAnsi="Arial"/>
          <w:sz w:val="17"/>
          <w:szCs w:val="17"/>
          <w:i w:val="1"/>
          <w:iCs w:val="1"/>
          <w:color w:val="auto"/>
        </w:rPr>
        <w:t xml:space="preserve"> </w:t>
      </w:r>
      <w:r>
        <w:rPr>
          <w:rFonts w:ascii="Arial" w:cs="Arial" w:eastAsia="Arial" w:hAnsi="Arial"/>
          <w:sz w:val="17"/>
          <w:szCs w:val="17"/>
          <w:color w:val="auto"/>
        </w:rPr>
        <w:t>where the failure to file would not have a Material Adverse Effect), and all such returns, reports or filings are true, correct and complete in all material aspects and are not the subject of any disputes with revenue or other authorities and to the Company’s knowledge there are no circumstances giving rise to, or which could give rise to, such disputes. Except as described in the Registration Statement, the Disclosure Package and the Prospectus, none of the Company or its Subsidiaries is delinquent in the payment of any taxes due thereunder or has any knowledge of any tax deficiency which might be assessed against any of them, which, if so assessed, would have a Material Adverse Effect; the Company and its Subsidiaries are in compliance with all of the requirements necessary to enjoy any material tax benefit, holiday, deduction or credit to which the Company or any Subsidiary is entitled;</w:t>
      </w:r>
    </w:p>
    <w:p>
      <w:pPr>
        <w:spacing w:after="0" w:line="70" w:lineRule="exact"/>
        <w:rPr>
          <w:rFonts w:ascii="Arial" w:cs="Arial" w:eastAsia="Arial" w:hAnsi="Arial"/>
          <w:sz w:val="17"/>
          <w:szCs w:val="17"/>
          <w:color w:val="auto"/>
        </w:rPr>
      </w:pPr>
    </w:p>
    <w:p>
      <w:pPr>
        <w:jc w:val="both"/>
        <w:ind w:right="200" w:firstLine="428"/>
        <w:spacing w:after="0" w:line="264" w:lineRule="auto"/>
        <w:tabs>
          <w:tab w:leader="none" w:pos="768" w:val="left"/>
        </w:tabs>
        <w:numPr>
          <w:ilvl w:val="0"/>
          <w:numId w:val="666"/>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Ernst &amp; Young, whose reports on the consolidated financial statements of the Company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Disclosure Package and the Prospectus, are independent registered public accountants as required by the Act and by the rules of the Public Company Accounting Oversight Board;</w:t>
      </w:r>
    </w:p>
    <w:p>
      <w:pPr>
        <w:spacing w:after="0" w:line="73" w:lineRule="exact"/>
        <w:rPr>
          <w:rFonts w:ascii="Arial" w:cs="Arial" w:eastAsia="Arial" w:hAnsi="Arial"/>
          <w:sz w:val="18"/>
          <w:szCs w:val="18"/>
          <w:color w:val="auto"/>
        </w:rPr>
      </w:pPr>
    </w:p>
    <w:p>
      <w:pPr>
        <w:ind w:firstLine="428"/>
        <w:spacing w:after="0" w:line="269" w:lineRule="auto"/>
        <w:tabs>
          <w:tab w:leader="none" w:pos="748" w:val="left"/>
        </w:tabs>
        <w:numPr>
          <w:ilvl w:val="0"/>
          <w:numId w:val="666"/>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consolidated financial statements of the Company and its consolidated Subsidiaries, together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related notes present fairly, in all material respects, the consolidated financial position of the Company and its consolidated Subsidiaries at the dates indicated and their consolidated statement of operations, shareholders’ equity and cash flows for the periods specified, and comply in all material respects with the applicable requirements of the Act and the Exchange Act. Such consolidated financial statements of the Company and its consolidated Subsidiaries have been prepared in conformity with U.S.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 throughout the periods involved. The selected financial data and the summary financial information included in the Registration Statement, the Disclosure Package and the Prospectus present fairly in all material respects the information shown therein. Such data has been prepared in accordance with the applicable requirements of the Act and the Exchange Act and has been derived from the audited financial statements except where disclosed in the notes to such summary information and the other financial information included in the Registration Statement, the Disclosure Package and the Prospectus has been derived from the accounting records of the Company and its Subsidiaries and presents fairly, in all material respects, the information shown thereby;</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0" w:right="43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62" w:lineRule="exact"/>
        <w:rPr>
          <w:sz w:val="20"/>
          <w:szCs w:val="20"/>
          <w:color w:val="auto"/>
        </w:rPr>
      </w:pPr>
    </w:p>
    <w:p>
      <w:pPr>
        <w:ind w:right="40" w:firstLine="428"/>
        <w:spacing w:after="0" w:line="285" w:lineRule="auto"/>
        <w:tabs>
          <w:tab w:leader="none" w:pos="705" w:val="left"/>
        </w:tabs>
        <w:numPr>
          <w:ilvl w:val="0"/>
          <w:numId w:val="667"/>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in Business. </w:t>
      </w:r>
      <w:r>
        <w:rPr>
          <w:rFonts w:ascii="Arial" w:cs="Arial" w:eastAsia="Arial" w:hAnsi="Arial"/>
          <w:sz w:val="16"/>
          <w:szCs w:val="16"/>
          <w:color w:val="auto"/>
        </w:rPr>
        <w:t>Except as disclosed in the Registration Statement, the Disclosure Package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date of the period covered by the latest financial statements included in the Registration Statement, the Disclosure Package and the Prospectus, (A) there has not occurred any material adverse change, or any development involving a prospective material adverse change, in the condition, financial or otherwise, or in the earnings, business or operations of the Company and its Subsidiaries, taken as a whole and (B) neither the Company nor any of its Subsidiaries has (i) incurred, assumed or acquired any material liability (including contingent liability) or other material obligation except for any obligation incurred in the ordinary course of its business or in relation to any renovation, construction or development of properties owned or leased by the Company or its Subsidiaries, (ii) acquired or disposed of or agreed to acquire or dispose of any business or any other asset material to the Company and its Subsidiaries taken as a whole, (iii) entered into a letter of intent or memorandum of understanding (or announced an intention to do so) relating to any matter identified in clauses (i) and (ii) above, or (iv) sustained any material loss or interference with its business from fire, explosion or other calamity that would not have a Material Adverse Effect, whether or not covered by insurance, or from any labor dispute or court or governmental action, order or decree, and since the respective dates as of which information is given in the Registration Statement, the Disclosure Package and the Prospectus, there has been no change, nor any development or event that would have a Material Adverse Effect; except as disclosed in or contemplated by the Registration Statement, the Disclosure Package and the Prospectus, since the date of the period covered by the latest financial statements included in the Registration Statement, the Disclosure Package and the Prospectus, there has been no dividend or distribution of any kind declared, paid or made by the Company on any class of its authorized shares and there has been no material adverse change in the authorized shares, short-term indebtedness, long-term indebtedness, net current assets or net assets of the Company and its Subsidiaries, taken as a whole;</w:t>
      </w:r>
    </w:p>
    <w:p>
      <w:pPr>
        <w:spacing w:after="0" w:line="67" w:lineRule="exact"/>
        <w:rPr>
          <w:rFonts w:ascii="Arial" w:cs="Arial" w:eastAsia="Arial" w:hAnsi="Arial"/>
          <w:sz w:val="16"/>
          <w:szCs w:val="16"/>
          <w:color w:val="auto"/>
        </w:rPr>
      </w:pPr>
    </w:p>
    <w:p>
      <w:pPr>
        <w:ind w:right="20" w:firstLine="428"/>
        <w:spacing w:after="0" w:line="286" w:lineRule="auto"/>
        <w:tabs>
          <w:tab w:leader="none" w:pos="768" w:val="left"/>
        </w:tabs>
        <w:numPr>
          <w:ilvl w:val="0"/>
          <w:numId w:val="667"/>
        </w:numPr>
        <w:rPr>
          <w:rFonts w:ascii="Arial" w:cs="Arial" w:eastAsia="Arial" w:hAnsi="Arial"/>
          <w:sz w:val="16"/>
          <w:szCs w:val="16"/>
          <w:color w:val="auto"/>
        </w:rPr>
      </w:pPr>
      <w:r>
        <w:rPr>
          <w:rFonts w:ascii="Arial" w:cs="Arial" w:eastAsia="Arial" w:hAnsi="Arial"/>
          <w:sz w:val="16"/>
          <w:szCs w:val="16"/>
          <w:i w:val="1"/>
          <w:iCs w:val="1"/>
          <w:color w:val="auto"/>
        </w:rPr>
        <w:t xml:space="preserve">Critical Accounting Policies. </w:t>
      </w:r>
      <w:r>
        <w:rPr>
          <w:rFonts w:ascii="Arial" w:cs="Arial" w:eastAsia="Arial" w:hAnsi="Arial"/>
          <w:sz w:val="16"/>
          <w:szCs w:val="16"/>
          <w:color w:val="auto"/>
        </w:rPr>
        <w:t>The section entitled “Management’s Discussion and Analysis of Financial Condition and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included in the Registration Statement, the Disclosure Package and the Prospectus accurately and fully describes (i) accounting policies which the Company believes are the most important in the portrayal of the financial condition and results of operations of the Company and its consolidated Subsidiaries and which require management’s most difficult, subjective or complex judgments (“critical accounting policies”); (ii) judgments and uncertainties affecting the application of critical accounting policies; and (iii) explanation of the likelihood that materially different amounts would be reported under different conditions or using different assumptions where appropriate; the Company’s senior management have reviewed and agreed with the selection, application and disclosure of critical accounting policies; the section entitled “Management’s Discussion and Analysis of Financial Condition and Results of Operations” included in the Registration Statement, the Disclosure Package and the Prospectus accurately and fairly describes (1) all material trends, demands, commitments, events, uncertainties and risks that the Company believes would materially affect liquidity and are reasonably likely to occur; and (2) all off-balance sheet arrangements that have or are reasonably likely to have a material current or future effect on the financial condition, changes in financial condition, revenues or expenses, results of operations, liquidity, capital expenditures or capital resources of the Company and its Subsidiaries taken as a whole; except as otherwise disclosed in the Registration Statement, the Disclosure Package and the Prospectus, there are no outstanding guarantees or other contingent obligations of the Company or any Subsidiary that would have a Material Adverse Effect;</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0" w:right="4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40" w:firstLine="428"/>
        <w:spacing w:after="0" w:line="284" w:lineRule="auto"/>
        <w:tabs>
          <w:tab w:leader="none" w:pos="768" w:val="left"/>
        </w:tabs>
        <w:numPr>
          <w:ilvl w:val="1"/>
          <w:numId w:val="668"/>
        </w:numPr>
        <w:rPr>
          <w:rFonts w:ascii="Arial" w:cs="Arial" w:eastAsia="Arial" w:hAnsi="Arial"/>
          <w:sz w:val="16"/>
          <w:szCs w:val="16"/>
          <w:color w:val="auto"/>
        </w:rPr>
      </w:pPr>
      <w:r>
        <w:rPr>
          <w:rFonts w:ascii="Arial" w:cs="Arial" w:eastAsia="Arial" w:hAnsi="Arial"/>
          <w:sz w:val="16"/>
          <w:szCs w:val="16"/>
          <w:i w:val="1"/>
          <w:iCs w:val="1"/>
          <w:color w:val="auto"/>
        </w:rPr>
        <w:t xml:space="preserve">Payments of Dividends; Payments in Foreign Currency. </w:t>
      </w:r>
      <w:r>
        <w:rPr>
          <w:rFonts w:ascii="Arial" w:cs="Arial" w:eastAsia="Arial" w:hAnsi="Arial"/>
          <w:sz w:val="16"/>
          <w:szCs w:val="16"/>
          <w:color w:val="auto"/>
        </w:rPr>
        <w:t>Except as otherwise disclosed in the Registration Statement (including exhibits</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the Disclosure Package and the Prospectus, no subsidiary of the Company is currently prohibited, directly or indirectly, (i) from paying any dividends to the Company, (ii) from making any other distribution on such subsidiary’s authorized shares, (iii) from repaying to the Company any loans or advances to such subsidiary from the Company or (iv) from transferring any of such subsidiary’s property or assets to the Company or any other subsidiary of the Company. Under the current laws of the Cayman Islands, any amounts payable with respect to the ADSs upon liquidation of the Company or upon redemption thereof and dividends and other distributions declared and payable on the share capital of the Company or any of its Subsidiaries (i) may be paid by the Company in United States dollars and freely transferred out of the Cayman Islands, and</w:t>
      </w:r>
    </w:p>
    <w:p>
      <w:pPr>
        <w:spacing w:after="0" w:line="2" w:lineRule="exact"/>
        <w:rPr>
          <w:rFonts w:ascii="Arial" w:cs="Arial" w:eastAsia="Arial" w:hAnsi="Arial"/>
          <w:sz w:val="16"/>
          <w:szCs w:val="16"/>
          <w:color w:val="auto"/>
        </w:rPr>
      </w:pPr>
    </w:p>
    <w:p>
      <w:pPr>
        <w:ind w:right="60" w:firstLine="4"/>
        <w:spacing w:after="0" w:line="254" w:lineRule="auto"/>
        <w:tabs>
          <w:tab w:leader="none" w:pos="265" w:val="left"/>
        </w:tabs>
        <w:numPr>
          <w:ilvl w:val="0"/>
          <w:numId w:val="669"/>
        </w:numPr>
        <w:rPr>
          <w:rFonts w:ascii="Arial" w:cs="Arial" w:eastAsia="Arial" w:hAnsi="Arial"/>
          <w:sz w:val="18"/>
          <w:szCs w:val="18"/>
          <w:color w:val="auto"/>
        </w:rPr>
      </w:pPr>
      <w:r>
        <w:rPr>
          <w:rFonts w:ascii="Arial" w:cs="Arial" w:eastAsia="Arial" w:hAnsi="Arial"/>
          <w:sz w:val="18"/>
          <w:szCs w:val="18"/>
          <w:color w:val="auto"/>
        </w:rPr>
        <w:t>no such payments made to the Depositary or the holders thereof or therein who are non-residents of the Cayman Islands, as applicable, will be subject to income, withholding or other taxes under the laws and regulations of the Cayman Islands and will otherwise be free and clear of any other tax, duty, withholding or deduction in the Cayman Islands and without the necessity of obtaining any governmental authorization in the Cayman Islands.</w:t>
      </w:r>
    </w:p>
    <w:p>
      <w:pPr>
        <w:spacing w:after="0" w:line="81" w:lineRule="exact"/>
        <w:rPr>
          <w:rFonts w:ascii="Arial" w:cs="Arial" w:eastAsia="Arial" w:hAnsi="Arial"/>
          <w:sz w:val="18"/>
          <w:szCs w:val="18"/>
          <w:color w:val="auto"/>
        </w:rPr>
      </w:pPr>
    </w:p>
    <w:p>
      <w:pPr>
        <w:ind w:right="280" w:firstLine="428"/>
        <w:spacing w:after="0" w:line="264" w:lineRule="auto"/>
        <w:tabs>
          <w:tab w:leader="none" w:pos="688" w:val="left"/>
        </w:tabs>
        <w:numPr>
          <w:ilvl w:val="1"/>
          <w:numId w:val="669"/>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The Company is not, and after giving effect to the offering and sale of the ADSs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the Prospectus will not be, required to register as an investment company under the U.S.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00" w:firstLine="428"/>
        <w:spacing w:after="0" w:line="264" w:lineRule="auto"/>
        <w:tabs>
          <w:tab w:leader="none" w:pos="688" w:val="left"/>
        </w:tabs>
        <w:numPr>
          <w:ilvl w:val="1"/>
          <w:numId w:val="669"/>
        </w:numPr>
        <w:rPr>
          <w:rFonts w:ascii="Arial" w:cs="Arial" w:eastAsia="Arial" w:hAnsi="Arial"/>
          <w:sz w:val="18"/>
          <w:szCs w:val="18"/>
          <w:color w:val="auto"/>
        </w:rPr>
      </w:pPr>
      <w:r>
        <w:rPr>
          <w:rFonts w:ascii="Arial" w:cs="Arial" w:eastAsia="Arial" w:hAnsi="Arial"/>
          <w:sz w:val="18"/>
          <w:szCs w:val="18"/>
          <w:i w:val="1"/>
          <w:iCs w:val="1"/>
          <w:color w:val="auto"/>
        </w:rPr>
        <w:t xml:space="preserve">PFIC Status. </w:t>
      </w:r>
      <w:r>
        <w:rPr>
          <w:rFonts w:ascii="Arial" w:cs="Arial" w:eastAsia="Arial" w:hAnsi="Arial"/>
          <w:sz w:val="18"/>
          <w:szCs w:val="18"/>
          <w:color w:val="auto"/>
        </w:rPr>
        <w:t>Subject to the qualifications set forth in the Disclosure Package and the Prospectus, the Company does not expect to be a</w:t>
      </w:r>
      <w:r>
        <w:rPr>
          <w:rFonts w:ascii="Arial" w:cs="Arial" w:eastAsia="Arial" w:hAnsi="Arial"/>
          <w:sz w:val="18"/>
          <w:szCs w:val="18"/>
          <w:i w:val="1"/>
          <w:iCs w:val="1"/>
          <w:color w:val="auto"/>
        </w:rPr>
        <w:t xml:space="preserve"> </w:t>
      </w:r>
      <w:r>
        <w:rPr>
          <w:rFonts w:ascii="Arial" w:cs="Arial" w:eastAsia="Arial" w:hAnsi="Arial"/>
          <w:sz w:val="18"/>
          <w:szCs w:val="18"/>
          <w:color w:val="auto"/>
        </w:rPr>
        <w:t>passive foreign investment company (a “</w:t>
      </w:r>
      <w:r>
        <w:rPr>
          <w:rFonts w:ascii="Arial" w:cs="Arial" w:eastAsia="Arial" w:hAnsi="Arial"/>
          <w:sz w:val="18"/>
          <w:szCs w:val="18"/>
          <w:b w:val="1"/>
          <w:bCs w:val="1"/>
          <w:color w:val="auto"/>
        </w:rPr>
        <w:t>PFIC</w:t>
      </w:r>
      <w:r>
        <w:rPr>
          <w:rFonts w:ascii="Arial" w:cs="Arial" w:eastAsia="Arial" w:hAnsi="Arial"/>
          <w:sz w:val="18"/>
          <w:szCs w:val="18"/>
          <w:color w:val="auto"/>
        </w:rPr>
        <w:t>”), as defined in section 1297 of the Internal Revenue Code of 1986, as amended, for its current taxable year or in the foreseeable future;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69" w:right="439"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302" w:lineRule="auto"/>
        <w:tabs>
          <w:tab w:leader="none" w:pos="768" w:val="left"/>
        </w:tabs>
        <w:numPr>
          <w:ilvl w:val="1"/>
          <w:numId w:val="670"/>
        </w:numPr>
        <w:rPr>
          <w:rFonts w:ascii="Arial" w:cs="Arial" w:eastAsia="Arial" w:hAnsi="Arial"/>
          <w:sz w:val="16"/>
          <w:szCs w:val="16"/>
          <w:color w:val="auto"/>
        </w:rPr>
      </w:pPr>
      <w:r>
        <w:rPr>
          <w:rFonts w:ascii="Arial" w:cs="Arial" w:eastAsia="Arial" w:hAnsi="Arial"/>
          <w:sz w:val="16"/>
          <w:szCs w:val="16"/>
          <w:i w:val="1"/>
          <w:iCs w:val="1"/>
          <w:color w:val="auto"/>
        </w:rPr>
        <w:t xml:space="preserve">Absence of Manipulation. </w:t>
      </w:r>
      <w:r>
        <w:rPr>
          <w:rFonts w:ascii="Arial" w:cs="Arial" w:eastAsia="Arial" w:hAnsi="Arial"/>
          <w:sz w:val="16"/>
          <w:szCs w:val="16"/>
          <w:color w:val="auto"/>
        </w:rPr>
        <w:t>None of the Company or the Subsidiaries, their respective affiliates or any person acting on its or their behalf,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 taken or will take, directly or indirectly, any action for the purpose of stabilizing or manipulating the price of any security to facilitate the sale or resale of the ADSs in violation of any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provision shall not apply to any trading or stabilization activities conducted by the Underwriters, and provided further, however, that no representation is made in respect of Other Information;</w:t>
      </w:r>
    </w:p>
    <w:p>
      <w:pPr>
        <w:spacing w:after="0" w:line="46" w:lineRule="exact"/>
        <w:rPr>
          <w:rFonts w:ascii="Arial" w:cs="Arial" w:eastAsia="Arial" w:hAnsi="Arial"/>
          <w:sz w:val="16"/>
          <w:szCs w:val="16"/>
          <w:color w:val="auto"/>
        </w:rPr>
      </w:pPr>
    </w:p>
    <w:p>
      <w:pPr>
        <w:ind w:left="700" w:hanging="272"/>
        <w:spacing w:after="0"/>
        <w:tabs>
          <w:tab w:leader="none" w:pos="700" w:val="left"/>
        </w:tabs>
        <w:numPr>
          <w:ilvl w:val="1"/>
          <w:numId w:val="670"/>
        </w:numPr>
        <w:rPr>
          <w:rFonts w:ascii="Arial" w:cs="Arial" w:eastAsia="Arial" w:hAnsi="Arial"/>
          <w:sz w:val="17"/>
          <w:szCs w:val="17"/>
          <w:color w:val="auto"/>
        </w:rPr>
      </w:pPr>
      <w:r>
        <w:rPr>
          <w:rFonts w:ascii="Arial" w:cs="Arial" w:eastAsia="Arial" w:hAnsi="Arial"/>
          <w:sz w:val="17"/>
          <w:szCs w:val="17"/>
          <w:i w:val="1"/>
          <w:iCs w:val="1"/>
          <w:color w:val="auto"/>
        </w:rPr>
        <w:t xml:space="preserve">Validity of Choice of Law. </w:t>
      </w:r>
      <w:r>
        <w:rPr>
          <w:rFonts w:ascii="Arial" w:cs="Arial" w:eastAsia="Arial" w:hAnsi="Arial"/>
          <w:sz w:val="17"/>
          <w:szCs w:val="17"/>
          <w:color w:val="auto"/>
        </w:rPr>
        <w:t>The agreement of the Company Parties to the choice of law provisions set forth in Section 13 of this</w:t>
      </w:r>
    </w:p>
    <w:p>
      <w:pPr>
        <w:spacing w:after="0" w:line="34"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6"/>
          <w:szCs w:val="16"/>
          <w:color w:val="auto"/>
        </w:rPr>
        <w:t>Agreement will be recognized by the courts of the Cayman Islands and Hong Kong and are legal, valid and binding; the Company Parties can sue and be sued in their names under the laws of the Cayman Islands and Hong Kong; the irrevocable submission by the Company Parties to the jurisdiction of a New York court and the appointment of Cogency Global Inc., as their authorized agents for the purpose described in Section 14 of this Agreement is legal, valid and binding; service of process effected in the manner set forth in Section 14 of this Agreement will be effective to confer valid personal jurisdiction over the Company Parties; and, except as disclosed in the Registration Statement, the Disclosure Package and the Prospectus, a judgment obtained in a New York court arising out of or in relation to the obligations of the Company Parties under this Agreement would be enforceable against the Company Parties in the courts of the Cayman Islands, without further review of the merits;</w:t>
      </w:r>
    </w:p>
    <w:p>
      <w:pPr>
        <w:spacing w:after="0" w:line="60" w:lineRule="exact"/>
        <w:rPr>
          <w:rFonts w:ascii="Arial" w:cs="Arial" w:eastAsia="Arial" w:hAnsi="Arial"/>
          <w:sz w:val="17"/>
          <w:szCs w:val="17"/>
          <w:color w:val="auto"/>
        </w:rPr>
      </w:pPr>
    </w:p>
    <w:p>
      <w:pPr>
        <w:ind w:right="60" w:firstLine="428"/>
        <w:spacing w:after="0" w:line="283" w:lineRule="auto"/>
        <w:tabs>
          <w:tab w:leader="none" w:pos="868" w:val="left"/>
        </w:tabs>
        <w:numPr>
          <w:ilvl w:val="1"/>
          <w:numId w:val="670"/>
        </w:numPr>
        <w:rPr>
          <w:rFonts w:ascii="Arial" w:cs="Arial" w:eastAsia="Arial" w:hAnsi="Arial"/>
          <w:sz w:val="16"/>
          <w:szCs w:val="16"/>
          <w:color w:val="auto"/>
        </w:rPr>
      </w:pPr>
      <w:r>
        <w:rPr>
          <w:rFonts w:ascii="Arial" w:cs="Arial" w:eastAsia="Arial" w:hAnsi="Arial"/>
          <w:sz w:val="16"/>
          <w:szCs w:val="16"/>
          <w:i w:val="1"/>
          <w:iCs w:val="1"/>
          <w:color w:val="auto"/>
        </w:rPr>
        <w:t>Compliance with Anti-Bribery Laws</w:t>
      </w:r>
      <w:r>
        <w:rPr>
          <w:rFonts w:ascii="Arial" w:cs="Arial" w:eastAsia="Arial" w:hAnsi="Arial"/>
          <w:sz w:val="16"/>
          <w:szCs w:val="16"/>
          <w:color w:val="auto"/>
        </w:rPr>
        <w:t>. None of the Company, any of its Subsidiaries or any of their respective directors or officers, nor,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knowledge of the Company, any of its affiliates, representatives, agents, employees or other person acting on behalf of and at the direction of the Company or any of its Subsidiaries has used or will use any corporate funds for any unlawful contribution, gift, entertainment or other unlawful expense relating to political activity or made or will make any direct or indirect unlawful payment to any government official or employee from corporate funds; none of the Company, its Subsidiaries and any of their respective officers, directors, supervisors or managers, or to the knowledge of the Company, any of its affiliates, agents, employees or other person acting on behalf of and at the direction of the Company or any of its Subsidiaries, has violated any applicable anti-bribery law, rule or regulation of any locality, including but not limited to any law, rule, or regulation promulgated to implement the United States Foreign Corrupt Practices Act or any other applicable law, rule or regulation of similar purpose and scope, or any amendment thereto (collectively, the “</w:t>
      </w:r>
      <w:r>
        <w:rPr>
          <w:rFonts w:ascii="Arial" w:cs="Arial" w:eastAsia="Arial" w:hAnsi="Arial"/>
          <w:sz w:val="16"/>
          <w:szCs w:val="16"/>
          <w:b w:val="1"/>
          <w:bCs w:val="1"/>
          <w:color w:val="auto"/>
        </w:rPr>
        <w:t>Anti-Bribery Laws</w:t>
      </w:r>
      <w:r>
        <w:rPr>
          <w:rFonts w:ascii="Arial" w:cs="Arial" w:eastAsia="Arial" w:hAnsi="Arial"/>
          <w:sz w:val="16"/>
          <w:szCs w:val="16"/>
          <w:color w:val="auto"/>
        </w:rPr>
        <w:t>”); the Company and its Subsidiaries have instituted and maintain and will continue to maintain policies and procedures, or were and will continue to be subject to policies and procedures, designed to</w:t>
      </w:r>
    </w:p>
    <w:p>
      <w:pPr>
        <w:spacing w:after="0" w:line="5" w:lineRule="exact"/>
        <w:rPr>
          <w:rFonts w:ascii="Arial" w:cs="Arial" w:eastAsia="Arial" w:hAnsi="Arial"/>
          <w:sz w:val="16"/>
          <w:szCs w:val="16"/>
          <w:color w:val="auto"/>
        </w:rPr>
      </w:pPr>
    </w:p>
    <w:p>
      <w:pPr>
        <w:ind w:right="60" w:firstLine="4"/>
        <w:spacing w:after="0" w:line="277" w:lineRule="auto"/>
        <w:tabs>
          <w:tab w:leader="none" w:pos="215" w:val="left"/>
        </w:tabs>
        <w:numPr>
          <w:ilvl w:val="0"/>
          <w:numId w:val="671"/>
        </w:numPr>
        <w:rPr>
          <w:rFonts w:ascii="Arial" w:cs="Arial" w:eastAsia="Arial" w:hAnsi="Arial"/>
          <w:sz w:val="17"/>
          <w:szCs w:val="17"/>
          <w:color w:val="auto"/>
        </w:rPr>
      </w:pPr>
      <w:r>
        <w:rPr>
          <w:rFonts w:ascii="Arial" w:cs="Arial" w:eastAsia="Arial" w:hAnsi="Arial"/>
          <w:sz w:val="17"/>
          <w:szCs w:val="17"/>
          <w:color w:val="auto"/>
        </w:rPr>
        <w:t>ensure continued compliance with the Anti-Bribery Laws and (ii) detect the violations of Anti-Bribery Laws; none of the Company or its Subsidiaries will use, directly or indirectly, the proceeds of the offering in furtherance of an offer, payment, promise to pay, or authorization of the payment or giving of money, or anything else of value, to any person in violation of any applicable Anti-Bribery Laws;</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69" w:right="439" w:bottom="1440" w:gutter="0" w:footer="0" w:header="0"/>
        </w:sectPr>
      </w:pPr>
    </w:p>
    <w:bookmarkStart w:id="479" w:name="page480"/>
    <w:bookmarkEnd w:id="4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80" w:firstLine="428"/>
        <w:spacing w:after="0" w:line="287" w:lineRule="auto"/>
        <w:tabs>
          <w:tab w:leader="none" w:pos="768" w:val="left"/>
        </w:tabs>
        <w:numPr>
          <w:ilvl w:val="1"/>
          <w:numId w:val="672"/>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w:t>
      </w:r>
      <w:r>
        <w:rPr>
          <w:rFonts w:ascii="Arial" w:cs="Arial" w:eastAsia="Arial" w:hAnsi="Arial"/>
          <w:sz w:val="16"/>
          <w:szCs w:val="16"/>
          <w:color w:val="auto"/>
        </w:rPr>
        <w:t>s. Each of the Company, its Subsidiaries and their respective officers, directors, supervisors,</w:t>
      </w:r>
      <w:r>
        <w:rPr>
          <w:rFonts w:ascii="Arial" w:cs="Arial" w:eastAsia="Arial" w:hAnsi="Arial"/>
          <w:sz w:val="16"/>
          <w:szCs w:val="16"/>
          <w:i w:val="1"/>
          <w:iCs w:val="1"/>
          <w:color w:val="auto"/>
        </w:rPr>
        <w:t xml:space="preserve"> </w:t>
      </w:r>
      <w:r>
        <w:rPr>
          <w:rFonts w:ascii="Arial" w:cs="Arial" w:eastAsia="Arial" w:hAnsi="Arial"/>
          <w:sz w:val="16"/>
          <w:szCs w:val="16"/>
          <w:color w:val="auto"/>
        </w:rPr>
        <w:t>managers, and to the knowledge of the Company, each of their respective affiliates, agents, employees and other person acting on behalf, at the direction or in the interest of the Company or its Subsidiaries, has not violated, and the Company and its Subsidiaries operate and will continue to operate their businesses in compliance with all applicable anti-money laundering laws, including but not limited to, applicable federal, state, international, foreign or other applicable laws, regulations or government guidance regarding anti-money laundering, including, without limitation, Title 18 U.S. Code sections 1956 and 1957, the U.S. Patriot Act, the U.S. Bank Secrecy Act, and international anti-money laundering principals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as applicable, and any Executive order, directive, or regulation pursuant to the authority of any of the foregoing, or any applicable orders or licenses issued thereunder (collectively,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0" w:lineRule="exact"/>
        <w:rPr>
          <w:rFonts w:ascii="Arial" w:cs="Arial" w:eastAsia="Arial" w:hAnsi="Arial"/>
          <w:sz w:val="16"/>
          <w:szCs w:val="16"/>
          <w:color w:val="auto"/>
        </w:rPr>
      </w:pPr>
    </w:p>
    <w:p>
      <w:pPr>
        <w:ind w:firstLine="428"/>
        <w:spacing w:after="0" w:line="284" w:lineRule="auto"/>
        <w:tabs>
          <w:tab w:leader="none" w:pos="768" w:val="left"/>
        </w:tabs>
        <w:numPr>
          <w:ilvl w:val="1"/>
          <w:numId w:val="672"/>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OFAC. </w:t>
      </w:r>
      <w:r>
        <w:rPr>
          <w:rFonts w:ascii="Arial" w:cs="Arial" w:eastAsia="Arial" w:hAnsi="Arial"/>
          <w:sz w:val="16"/>
          <w:szCs w:val="16"/>
          <w:color w:val="auto"/>
        </w:rPr>
        <w:t>None of the Company, its Subsidiaries, and their respective officers, directors, supervisors, managers, nor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knowledge of the Company, any affiliate, agent, or employee or other person acting on behalf, at the direction or in the interest of the Company or its Subsidiaries is 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that is, or is owned or controlled by one or more Persons that are: (i) the subject of any sanctions administered or enforced by the U.S. Department of Treasury’s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or other relevant sanctions authority (collectively, “S</w:t>
      </w:r>
      <w:r>
        <w:rPr>
          <w:rFonts w:ascii="Arial" w:cs="Arial" w:eastAsia="Arial" w:hAnsi="Arial"/>
          <w:sz w:val="16"/>
          <w:szCs w:val="16"/>
          <w:b w:val="1"/>
          <w:bCs w:val="1"/>
          <w:color w:val="auto"/>
        </w:rPr>
        <w:t>anctions</w:t>
      </w:r>
      <w:r>
        <w:rPr>
          <w:rFonts w:ascii="Arial" w:cs="Arial" w:eastAsia="Arial" w:hAnsi="Arial"/>
          <w:sz w:val="16"/>
          <w:szCs w:val="16"/>
          <w:color w:val="auto"/>
        </w:rPr>
        <w:t>”) (“</w:t>
      </w:r>
      <w:r>
        <w:rPr>
          <w:rFonts w:ascii="Arial" w:cs="Arial" w:eastAsia="Arial" w:hAnsi="Arial"/>
          <w:sz w:val="16"/>
          <w:szCs w:val="16"/>
          <w:b w:val="1"/>
          <w:bCs w:val="1"/>
          <w:color w:val="auto"/>
        </w:rPr>
        <w:t>Sanction Target</w:t>
      </w:r>
      <w:r>
        <w:rPr>
          <w:rFonts w:ascii="Arial" w:cs="Arial" w:eastAsia="Arial" w:hAnsi="Arial"/>
          <w:sz w:val="16"/>
          <w:szCs w:val="16"/>
          <w:color w:val="auto"/>
        </w:rPr>
        <w:t>”), or (ii) located, organized or resident in a country or territory that is the subject of Sanctions (including, without limitation, Crimea, Cuba, Iran, North Korea, Sudan and Syria) (each, a “</w:t>
      </w:r>
      <w:r>
        <w:rPr>
          <w:rFonts w:ascii="Arial" w:cs="Arial" w:eastAsia="Arial" w:hAnsi="Arial"/>
          <w:sz w:val="16"/>
          <w:szCs w:val="16"/>
          <w:b w:val="1"/>
          <w:bCs w:val="1"/>
          <w:color w:val="auto"/>
        </w:rPr>
        <w:t>Sanctioned</w:t>
      </w:r>
      <w:r>
        <w:rPr>
          <w:rFonts w:ascii="Arial" w:cs="Arial" w:eastAsia="Arial" w:hAnsi="Arial"/>
          <w:sz w:val="16"/>
          <w:szCs w:val="16"/>
          <w:color w:val="auto"/>
        </w:rPr>
        <w:t xml:space="preserve"> </w:t>
      </w:r>
      <w:r>
        <w:rPr>
          <w:rFonts w:ascii="Arial" w:cs="Arial" w:eastAsia="Arial" w:hAnsi="Arial"/>
          <w:sz w:val="16"/>
          <w:szCs w:val="16"/>
          <w:b w:val="1"/>
          <w:bCs w:val="1"/>
          <w:color w:val="auto"/>
        </w:rPr>
        <w:t>Country</w:t>
      </w:r>
      <w:r>
        <w:rPr>
          <w:rFonts w:ascii="Arial" w:cs="Arial" w:eastAsia="Arial" w:hAnsi="Arial"/>
          <w:sz w:val="16"/>
          <w:szCs w:val="16"/>
          <w:color w:val="auto"/>
        </w:rPr>
        <w:t>”); none of the Company or any of its Subsidiaries has or intends to have any business operations or other dealings (i) in any Sanctioned</w:t>
      </w:r>
      <w:r>
        <w:rPr>
          <w:rFonts w:ascii="Arial" w:cs="Arial" w:eastAsia="Arial" w:hAnsi="Arial"/>
          <w:sz w:val="16"/>
          <w:szCs w:val="16"/>
          <w:b w:val="1"/>
          <w:bCs w:val="1"/>
          <w:color w:val="auto"/>
        </w:rPr>
        <w:t xml:space="preserve"> </w:t>
      </w:r>
      <w:r>
        <w:rPr>
          <w:rFonts w:ascii="Arial" w:cs="Arial" w:eastAsia="Arial" w:hAnsi="Arial"/>
          <w:sz w:val="16"/>
          <w:szCs w:val="16"/>
          <w:color w:val="auto"/>
        </w:rPr>
        <w:t>Country, (ii) with any Specially Designated National (“</w:t>
      </w:r>
      <w:r>
        <w:rPr>
          <w:rFonts w:ascii="Arial" w:cs="Arial" w:eastAsia="Arial" w:hAnsi="Arial"/>
          <w:sz w:val="16"/>
          <w:szCs w:val="16"/>
          <w:b w:val="1"/>
          <w:bCs w:val="1"/>
          <w:color w:val="auto"/>
        </w:rPr>
        <w:t>SDN</w:t>
      </w:r>
      <w:r>
        <w:rPr>
          <w:rFonts w:ascii="Arial" w:cs="Arial" w:eastAsia="Arial" w:hAnsi="Arial"/>
          <w:sz w:val="16"/>
          <w:szCs w:val="16"/>
          <w:color w:val="auto"/>
        </w:rPr>
        <w:t>”) on OFAC’s SDN list or, to its knowledge, with a Sanction Target, and</w:t>
      </w:r>
    </w:p>
    <w:p>
      <w:pPr>
        <w:spacing w:after="0" w:line="1" w:lineRule="exact"/>
        <w:rPr>
          <w:rFonts w:ascii="Arial" w:cs="Arial" w:eastAsia="Arial" w:hAnsi="Arial"/>
          <w:sz w:val="16"/>
          <w:szCs w:val="16"/>
          <w:color w:val="auto"/>
        </w:rPr>
      </w:pPr>
    </w:p>
    <w:p>
      <w:pPr>
        <w:ind w:right="180" w:firstLine="4"/>
        <w:spacing w:after="0" w:line="287" w:lineRule="auto"/>
        <w:tabs>
          <w:tab w:leader="none" w:pos="315" w:val="left"/>
        </w:tabs>
        <w:numPr>
          <w:ilvl w:val="0"/>
          <w:numId w:val="673"/>
        </w:numPr>
        <w:rPr>
          <w:rFonts w:ascii="Arial" w:cs="Arial" w:eastAsia="Arial" w:hAnsi="Arial"/>
          <w:sz w:val="16"/>
          <w:szCs w:val="16"/>
          <w:color w:val="auto"/>
        </w:rPr>
      </w:pPr>
      <w:r>
        <w:rPr>
          <w:rFonts w:ascii="Arial" w:cs="Arial" w:eastAsia="Arial" w:hAnsi="Arial"/>
          <w:sz w:val="16"/>
          <w:szCs w:val="16"/>
          <w:color w:val="auto"/>
        </w:rPr>
        <w:t>involving commodities or services of a Sanctioned Country origin or shipped to, through, or from a Sanctioned Country, or on Sanctioned Country owned or registered vessels or aircraft, or finance or subsidize any of the foregoing exceeding 5% aggregated in comparison to the Company or any of its Subsidiaries’ total assets or revenues; the Company and its Subsidiaries have instituted and maintain policies and procedures, or were and will continue to be subject to policies and procedures, designed to prevent sanctions violations (by the Company and its Subsidiaries and by persons associated with the Company and its Subsidiaries); none of the Company or its Subsidiaries knows or has reason to believe that any of them are or may become subject of sanctions-related investigations or juridical proceedings; for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80" w:top="270" w:right="439" w:bottom="1440" w:gutter="0" w:footer="0" w:header="0"/>
        </w:sectPr>
      </w:pPr>
    </w:p>
    <w:bookmarkStart w:id="480" w:name="page481"/>
    <w:bookmarkEnd w:id="480"/>
    <w:p>
      <w:pPr>
        <w:ind w:left="8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40" w:firstLine="423"/>
        <w:spacing w:after="0" w:line="302" w:lineRule="auto"/>
        <w:rPr>
          <w:sz w:val="20"/>
          <w:szCs w:val="20"/>
          <w:color w:val="auto"/>
        </w:rPr>
      </w:pPr>
      <w:r>
        <w:rPr>
          <w:rFonts w:ascii="Arial" w:cs="Arial" w:eastAsia="Arial" w:hAnsi="Arial"/>
          <w:sz w:val="16"/>
          <w:szCs w:val="16"/>
          <w:color w:val="auto"/>
        </w:rPr>
        <w:t>The Company will not, directly or indirectly, use the proceeds of the offering, or lend, contribute or otherwise make available such proceeds to any subsidiary, joint venture partner or other Person: (i) to fund or facilitate any activities or business of or with any Person or in any country or territory that, at the time of such funding or facilitation, is the subject of Sanctions; or (ii) any other manner that will result in a violation of Sanctions by any Person (including any Person participating in the offering, whether as underwriter, advisor, investor or otherwise);</w:t>
      </w:r>
    </w:p>
    <w:p>
      <w:pPr>
        <w:spacing w:after="0" w:line="46" w:lineRule="exact"/>
        <w:rPr>
          <w:sz w:val="20"/>
          <w:szCs w:val="20"/>
          <w:color w:val="auto"/>
        </w:rPr>
      </w:pPr>
    </w:p>
    <w:p>
      <w:pPr>
        <w:ind w:right="60" w:firstLine="428"/>
        <w:spacing w:after="0" w:line="264" w:lineRule="auto"/>
        <w:tabs>
          <w:tab w:leader="none" w:pos="768" w:val="left"/>
        </w:tabs>
        <w:numPr>
          <w:ilvl w:val="0"/>
          <w:numId w:val="674"/>
        </w:numPr>
        <w:rPr>
          <w:rFonts w:ascii="Arial" w:cs="Arial" w:eastAsia="Arial" w:hAnsi="Arial"/>
          <w:sz w:val="18"/>
          <w:szCs w:val="18"/>
          <w:color w:val="auto"/>
        </w:rPr>
      </w:pPr>
      <w:r>
        <w:rPr>
          <w:rFonts w:ascii="Arial" w:cs="Arial" w:eastAsia="Arial" w:hAnsi="Arial"/>
          <w:sz w:val="18"/>
          <w:szCs w:val="18"/>
          <w:i w:val="1"/>
          <w:iCs w:val="1"/>
          <w:color w:val="auto"/>
        </w:rPr>
        <w:t>Forward-Looking Statements</w:t>
      </w:r>
      <w:r>
        <w:rPr>
          <w:rFonts w:ascii="Arial" w:cs="Arial" w:eastAsia="Arial" w:hAnsi="Arial"/>
          <w:sz w:val="18"/>
          <w:szCs w:val="18"/>
          <w:color w:val="auto"/>
        </w:rPr>
        <w:t>. Each “forward-looking statement” (within the meaning of Section 27A of the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included in the Registration Statement, the Disclosure Package and the Prospectus has been made or reaffirmed by the Company with a reasonable basis and in good faith;</w:t>
      </w:r>
    </w:p>
    <w:p>
      <w:pPr>
        <w:spacing w:after="0" w:line="73" w:lineRule="exact"/>
        <w:rPr>
          <w:rFonts w:ascii="Arial" w:cs="Arial" w:eastAsia="Arial" w:hAnsi="Arial"/>
          <w:sz w:val="18"/>
          <w:szCs w:val="18"/>
          <w:color w:val="auto"/>
        </w:rPr>
      </w:pPr>
    </w:p>
    <w:p>
      <w:pPr>
        <w:ind w:right="60" w:firstLine="428"/>
        <w:spacing w:after="0" w:line="286" w:lineRule="auto"/>
        <w:tabs>
          <w:tab w:leader="none" w:pos="768" w:val="left"/>
        </w:tabs>
        <w:numPr>
          <w:ilvl w:val="0"/>
          <w:numId w:val="674"/>
        </w:numPr>
        <w:rPr>
          <w:rFonts w:ascii="Arial" w:cs="Arial" w:eastAsia="Arial" w:hAnsi="Arial"/>
          <w:sz w:val="17"/>
          <w:szCs w:val="17"/>
          <w:color w:val="auto"/>
        </w:rPr>
      </w:pPr>
      <w:r>
        <w:rPr>
          <w:rFonts w:ascii="Arial" w:cs="Arial" w:eastAsia="Arial" w:hAnsi="Arial"/>
          <w:sz w:val="17"/>
          <w:szCs w:val="17"/>
          <w:i w:val="1"/>
          <w:iCs w:val="1"/>
          <w:color w:val="auto"/>
        </w:rPr>
        <w:t xml:space="preserve">No Immunity. </w:t>
      </w:r>
      <w:r>
        <w:rPr>
          <w:rFonts w:ascii="Arial" w:cs="Arial" w:eastAsia="Arial" w:hAnsi="Arial"/>
          <w:sz w:val="17"/>
          <w:szCs w:val="17"/>
          <w:color w:val="auto"/>
        </w:rPr>
        <w:t>None of the Company nor any of its respective properties has any right of immunity from jurisdiction or suit of any court</w:t>
      </w:r>
      <w:r>
        <w:rPr>
          <w:rFonts w:ascii="Arial" w:cs="Arial" w:eastAsia="Arial" w:hAnsi="Arial"/>
          <w:sz w:val="17"/>
          <w:szCs w:val="17"/>
          <w:i w:val="1"/>
          <w:iCs w:val="1"/>
          <w:color w:val="auto"/>
        </w:rPr>
        <w:t xml:space="preserve"> </w:t>
      </w:r>
      <w:r>
        <w:rPr>
          <w:rFonts w:ascii="Arial" w:cs="Arial" w:eastAsia="Arial" w:hAnsi="Arial"/>
          <w:sz w:val="17"/>
          <w:szCs w:val="17"/>
          <w:color w:val="auto"/>
        </w:rPr>
        <w:t>or from set-off or from any legal process or remedy (whether through service, notice, attachment prior to judgment, attachment in aid of execution, execution or otherwise) under the laws of the Cayman Islands, Hong Kong, Macau and the State of New York;</w:t>
      </w:r>
    </w:p>
    <w:p>
      <w:pPr>
        <w:spacing w:after="0" w:line="57" w:lineRule="exact"/>
        <w:rPr>
          <w:rFonts w:ascii="Arial" w:cs="Arial" w:eastAsia="Arial" w:hAnsi="Arial"/>
          <w:sz w:val="17"/>
          <w:szCs w:val="17"/>
          <w:color w:val="auto"/>
        </w:rPr>
      </w:pPr>
    </w:p>
    <w:p>
      <w:pPr>
        <w:ind w:right="100" w:firstLine="428"/>
        <w:spacing w:after="0" w:line="255" w:lineRule="auto"/>
        <w:tabs>
          <w:tab w:leader="none" w:pos="708" w:val="left"/>
        </w:tabs>
        <w:numPr>
          <w:ilvl w:val="0"/>
          <w:numId w:val="674"/>
        </w:numPr>
        <w:rPr>
          <w:rFonts w:ascii="Arial" w:cs="Arial" w:eastAsia="Arial" w:hAnsi="Arial"/>
          <w:sz w:val="18"/>
          <w:szCs w:val="18"/>
          <w:color w:val="auto"/>
        </w:rPr>
      </w:pPr>
      <w:r>
        <w:rPr>
          <w:rFonts w:ascii="Arial" w:cs="Arial" w:eastAsia="Arial" w:hAnsi="Arial"/>
          <w:sz w:val="18"/>
          <w:szCs w:val="18"/>
          <w:i w:val="1"/>
          <w:iCs w:val="1"/>
          <w:color w:val="auto"/>
        </w:rPr>
        <w:t xml:space="preserve">No Liabilities. </w:t>
      </w:r>
      <w:r>
        <w:rPr>
          <w:rFonts w:ascii="Arial" w:cs="Arial" w:eastAsia="Arial" w:hAnsi="Arial"/>
          <w:sz w:val="18"/>
          <w:szCs w:val="18"/>
          <w:color w:val="auto"/>
        </w:rPr>
        <w:t>Except for any obligation incurred in the ordinary course of its business or in relation to any renovation, construction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properties owned or leased by the Company or its Subsidiaries, there are (i) no liabilities of the Company or any of its Subsidiaries of any kind whatsoever, whether accrued, contingent, absolute, determined, determinable or otherwise, and (ii) no existing situations or set of circumstances that would reasonably be expected to result in such a liability, other than (x) liabilities set forth in the Registration Statement (excluding the exhibits thereto), the Disclosure Package and the Prospectus, or (y) other undisclosed liabilities which would not, individually or in the aggregate, have a Material Adverse Effect;</w:t>
      </w:r>
    </w:p>
    <w:p>
      <w:pPr>
        <w:spacing w:after="0" w:line="85" w:lineRule="exact"/>
        <w:rPr>
          <w:rFonts w:ascii="Arial" w:cs="Arial" w:eastAsia="Arial" w:hAnsi="Arial"/>
          <w:sz w:val="18"/>
          <w:szCs w:val="18"/>
          <w:color w:val="auto"/>
        </w:rPr>
      </w:pPr>
    </w:p>
    <w:p>
      <w:pPr>
        <w:ind w:left="740" w:hanging="312"/>
        <w:spacing w:after="0"/>
        <w:tabs>
          <w:tab w:leader="none" w:pos="740" w:val="left"/>
        </w:tabs>
        <w:numPr>
          <w:ilvl w:val="0"/>
          <w:numId w:val="674"/>
        </w:numPr>
        <w:rPr>
          <w:rFonts w:ascii="Arial" w:cs="Arial" w:eastAsia="Arial" w:hAnsi="Arial"/>
          <w:sz w:val="18"/>
          <w:szCs w:val="18"/>
          <w:color w:val="auto"/>
        </w:rPr>
      </w:pP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as defined in Rule 405 under the Act;</w:t>
      </w:r>
    </w:p>
    <w:p>
      <w:pPr>
        <w:spacing w:after="0" w:line="117" w:lineRule="exact"/>
        <w:rPr>
          <w:rFonts w:ascii="Arial" w:cs="Arial" w:eastAsia="Arial" w:hAnsi="Arial"/>
          <w:sz w:val="18"/>
          <w:szCs w:val="18"/>
          <w:color w:val="auto"/>
        </w:rPr>
      </w:pPr>
    </w:p>
    <w:p>
      <w:pPr>
        <w:ind w:right="60" w:firstLine="428"/>
        <w:spacing w:after="0" w:line="273" w:lineRule="auto"/>
        <w:tabs>
          <w:tab w:leader="none" w:pos="688" w:val="left"/>
        </w:tabs>
        <w:numPr>
          <w:ilvl w:val="0"/>
          <w:numId w:val="674"/>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Contracts. </w:t>
      </w:r>
      <w:r>
        <w:rPr>
          <w:rFonts w:ascii="Arial" w:cs="Arial" w:eastAsia="Arial" w:hAnsi="Arial"/>
          <w:sz w:val="17"/>
          <w:szCs w:val="17"/>
          <w:color w:val="auto"/>
        </w:rPr>
        <w:t>Except as disclosed in the Registration Statement, the Disclosure Package and the Prospectus, none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any Subsidiary has sent or received any communication regarding termination of, or intent not to renew, any of the material contracts or agreements referred to or described in any Pre-Pricing Prospectus, the Prospectus or any Permitted Free Writing Prospectus, or referred to or described in, or filed as an exhibit to, the Registration Statement except for such termination that would not, individually or in the aggregate, have a Material Adverse Effect, and no such termination or non-renewal has been threatened by the Company or any Subsidiary or, to the Company’s knowledge, any other party to any such contract or agreement;</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0" w:right="4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62" w:lineRule="exact"/>
        <w:rPr>
          <w:sz w:val="20"/>
          <w:szCs w:val="20"/>
          <w:color w:val="auto"/>
        </w:rPr>
      </w:pPr>
    </w:p>
    <w:p>
      <w:pPr>
        <w:ind w:right="40" w:firstLine="428"/>
        <w:spacing w:after="0" w:line="286" w:lineRule="auto"/>
        <w:tabs>
          <w:tab w:leader="none" w:pos="768" w:val="left"/>
        </w:tabs>
        <w:numPr>
          <w:ilvl w:val="0"/>
          <w:numId w:val="675"/>
        </w:numPr>
        <w:rPr>
          <w:rFonts w:ascii="Arial" w:cs="Arial" w:eastAsia="Arial" w:hAnsi="Arial"/>
          <w:sz w:val="16"/>
          <w:szCs w:val="16"/>
          <w:color w:val="auto"/>
        </w:rPr>
      </w:pPr>
      <w:r>
        <w:rPr>
          <w:rFonts w:ascii="Arial" w:cs="Arial" w:eastAsia="Arial" w:hAnsi="Arial"/>
          <w:sz w:val="16"/>
          <w:szCs w:val="16"/>
          <w:i w:val="1"/>
          <w:iCs w:val="1"/>
          <w:color w:val="auto"/>
        </w:rPr>
        <w:t xml:space="preserve">Internal Controls. </w:t>
      </w:r>
      <w:r>
        <w:rPr>
          <w:rFonts w:ascii="Arial" w:cs="Arial" w:eastAsia="Arial" w:hAnsi="Arial"/>
          <w:sz w:val="16"/>
          <w:szCs w:val="16"/>
          <w:color w:val="auto"/>
        </w:rPr>
        <w:t>The Company maintains a system of internal controls over accounting matters that is effective to perform the</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functions for which they were established and provide reasonable assurances that (i) material information relating to the Company is made known to the Property President and the Property Chief Financial Officer by others within those entities; (ii) transactions are executed in accordance with management’s general or specific authorizations; (iii) transactions are recorded as necessary to permit preparation of financial statements in conformity with generally accepted accounting principles in the United States and to maintain asset accountability; (iv) access to assets is permitted only in accordance with management’s general or specific authorization; and (v) the recorded accountability for assets is compared with the existing assets at reasonable intervals and appropriate action is taken with respect to any differences in accordance with management’s general and specific authorization. The Board of Directors of the Company have not identified any: (i) “significant deficiencies” or “material weakness” (as such terms are defined in Rule 1-02(a)(4) of Regulation S-X under the Act) in the design or operation of internal controls which could adversely affect the Company’s ability to record, process, summarize and report financial data or (ii) fraud, whether or not material, that involves management or other employees who have a role in the Company’s internal controls.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w:t>
      </w:r>
    </w:p>
    <w:p>
      <w:pPr>
        <w:spacing w:after="0" w:line="66" w:lineRule="exact"/>
        <w:rPr>
          <w:rFonts w:ascii="Arial" w:cs="Arial" w:eastAsia="Arial" w:hAnsi="Arial"/>
          <w:sz w:val="16"/>
          <w:szCs w:val="16"/>
          <w:color w:val="auto"/>
        </w:rPr>
      </w:pPr>
    </w:p>
    <w:p>
      <w:pPr>
        <w:ind w:right="80" w:firstLine="428"/>
        <w:spacing w:after="0" w:line="264" w:lineRule="auto"/>
        <w:tabs>
          <w:tab w:leader="none" w:pos="768" w:val="left"/>
        </w:tabs>
        <w:numPr>
          <w:ilvl w:val="0"/>
          <w:numId w:val="675"/>
        </w:numPr>
        <w:rPr>
          <w:rFonts w:ascii="Arial" w:cs="Arial" w:eastAsia="Arial" w:hAnsi="Arial"/>
          <w:sz w:val="18"/>
          <w:szCs w:val="18"/>
          <w:color w:val="auto"/>
        </w:rPr>
      </w:pPr>
      <w:r>
        <w:rPr>
          <w:rFonts w:ascii="Arial" w:cs="Arial" w:eastAsia="Arial" w:hAnsi="Arial"/>
          <w:sz w:val="18"/>
          <w:szCs w:val="18"/>
          <w:i w:val="1"/>
          <w:iCs w:val="1"/>
          <w:color w:val="auto"/>
        </w:rPr>
        <w:t>No Finder’s Fee</w:t>
      </w:r>
      <w:r>
        <w:rPr>
          <w:rFonts w:ascii="Arial" w:cs="Arial" w:eastAsia="Arial" w:hAnsi="Arial"/>
          <w:sz w:val="18"/>
          <w:szCs w:val="18"/>
          <w:color w:val="auto"/>
        </w:rPr>
        <w:t>. Except pursuant to this Agreement, neither the Company nor any of the Subsidiaries has incurred any liability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finder’s or broker’s fee or agent’s commission in connection with the execution and delivery of this Agreement or the consummation of the transactions contemplated hereby or by the Registration Statement;</w:t>
      </w:r>
    </w:p>
    <w:p>
      <w:pPr>
        <w:spacing w:after="0" w:line="73" w:lineRule="exact"/>
        <w:rPr>
          <w:rFonts w:ascii="Arial" w:cs="Arial" w:eastAsia="Arial" w:hAnsi="Arial"/>
          <w:sz w:val="18"/>
          <w:szCs w:val="18"/>
          <w:color w:val="auto"/>
        </w:rPr>
      </w:pPr>
    </w:p>
    <w:p>
      <w:pPr>
        <w:ind w:right="40" w:firstLine="428"/>
        <w:spacing w:after="0" w:line="302" w:lineRule="auto"/>
        <w:tabs>
          <w:tab w:leader="none" w:pos="848" w:val="left"/>
        </w:tabs>
        <w:numPr>
          <w:ilvl w:val="0"/>
          <w:numId w:val="675"/>
        </w:numPr>
        <w:rPr>
          <w:rFonts w:ascii="Arial" w:cs="Arial" w:eastAsia="Arial" w:hAnsi="Arial"/>
          <w:sz w:val="16"/>
          <w:szCs w:val="16"/>
          <w:color w:val="auto"/>
        </w:rPr>
      </w:pPr>
      <w:r>
        <w:rPr>
          <w:rFonts w:ascii="Arial" w:cs="Arial" w:eastAsia="Arial" w:hAnsi="Arial"/>
          <w:sz w:val="16"/>
          <w:szCs w:val="16"/>
          <w:i w:val="1"/>
          <w:iCs w:val="1"/>
          <w:color w:val="auto"/>
        </w:rPr>
        <w:t>No Broker-Dealer Affiliation</w:t>
      </w:r>
      <w:r>
        <w:rPr>
          <w:rFonts w:ascii="Arial" w:cs="Arial" w:eastAsia="Arial" w:hAnsi="Arial"/>
          <w:sz w:val="16"/>
          <w:szCs w:val="16"/>
          <w:color w:val="auto"/>
        </w:rPr>
        <w:t>. There are no affiliations or associations between (i) any member of FINRA and (ii) the Company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(excluding the exhibits thereto), the Disclosure Package and the Prospectus;</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880" w:top="270" w:right="4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100" w:firstLine="428"/>
        <w:spacing w:after="0" w:line="270" w:lineRule="auto"/>
        <w:tabs>
          <w:tab w:leader="none" w:pos="768" w:val="left"/>
        </w:tabs>
        <w:numPr>
          <w:ilvl w:val="1"/>
          <w:numId w:val="676"/>
        </w:numPr>
        <w:rPr>
          <w:rFonts w:ascii="Arial" w:cs="Arial" w:eastAsia="Arial" w:hAnsi="Arial"/>
          <w:sz w:val="17"/>
          <w:szCs w:val="17"/>
          <w:color w:val="auto"/>
        </w:rPr>
      </w:pPr>
      <w:r>
        <w:rPr>
          <w:rFonts w:ascii="Arial" w:cs="Arial" w:eastAsia="Arial" w:hAnsi="Arial"/>
          <w:sz w:val="17"/>
          <w:szCs w:val="17"/>
          <w:i w:val="1"/>
          <w:iCs w:val="1"/>
          <w:color w:val="auto"/>
        </w:rPr>
        <w:t xml:space="preserve">Enforceability of Judgment. </w:t>
      </w:r>
      <w:r>
        <w:rPr>
          <w:rFonts w:ascii="Arial" w:cs="Arial" w:eastAsia="Arial" w:hAnsi="Arial"/>
          <w:sz w:val="17"/>
          <w:szCs w:val="17"/>
          <w:color w:val="auto"/>
        </w:rPr>
        <w:t>Except as disclosed in the Registration Statement, the Disclosure Package and the Prospectus, each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the Deposit Agreement is in proper form under the laws of the Cayman Islands for the enforcement thereof against the Company, and to ensure the legality, validity, enforceability or admissibility into evidence in Cayman Islands of this Agreement. The courts of Cayman Islands would recognize as a valid judgment any final monetary judgment obtained against the Company in the courts of the State of New York; provided that (i) such courts of Cayman Islands had proper jurisdiction over the parties subject to such judgment, (ii) such courts did not contravene the rules of natural justice of the Cayman Islands, (iii) such judgment was not obtained by fraud, (iv) the enforcement of the judgment would not be contrary to the public policy of the Cayman Islands, (v) no new admissible evidence relevant to the action is submitted prior to the rendering of the judgment by the courts of the Cayman Islands, and (vi) there is due compliance with the correct procedures under the laws of the Cayman Islands;</w:t>
      </w:r>
    </w:p>
    <w:p>
      <w:pPr>
        <w:spacing w:after="0" w:line="73" w:lineRule="exact"/>
        <w:rPr>
          <w:rFonts w:ascii="Arial" w:cs="Arial" w:eastAsia="Arial" w:hAnsi="Arial"/>
          <w:sz w:val="17"/>
          <w:szCs w:val="17"/>
          <w:color w:val="auto"/>
        </w:rPr>
      </w:pPr>
    </w:p>
    <w:p>
      <w:pPr>
        <w:ind w:right="120" w:firstLine="428"/>
        <w:spacing w:after="0" w:line="312" w:lineRule="auto"/>
        <w:tabs>
          <w:tab w:leader="none" w:pos="768" w:val="left"/>
        </w:tabs>
        <w:numPr>
          <w:ilvl w:val="1"/>
          <w:numId w:val="676"/>
        </w:numPr>
        <w:rPr>
          <w:rFonts w:ascii="Arial" w:cs="Arial" w:eastAsia="Arial" w:hAnsi="Arial"/>
          <w:sz w:val="16"/>
          <w:szCs w:val="16"/>
          <w:color w:val="auto"/>
        </w:rPr>
      </w:pPr>
      <w:r>
        <w:rPr>
          <w:rFonts w:ascii="Arial" w:cs="Arial" w:eastAsia="Arial" w:hAnsi="Arial"/>
          <w:sz w:val="16"/>
          <w:szCs w:val="16"/>
          <w:i w:val="1"/>
          <w:iCs w:val="1"/>
          <w:color w:val="auto"/>
        </w:rPr>
        <w:t xml:space="preserve">Related Party Transactions. </w:t>
      </w:r>
      <w:r>
        <w:rPr>
          <w:rFonts w:ascii="Arial" w:cs="Arial" w:eastAsia="Arial" w:hAnsi="Arial"/>
          <w:sz w:val="16"/>
          <w:szCs w:val="16"/>
          <w:color w:val="auto"/>
        </w:rPr>
        <w:t>No material relationships or material transactions, direct or indirect, exist between any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on the one hand and their respective shareholders, affiliates, officers and directors or any affiliates or family members of such persons on the other hand, except as described in the Registration Statement, the Disclosure Package and the Prospectus</w:t>
      </w:r>
    </w:p>
    <w:p>
      <w:pPr>
        <w:spacing w:after="0" w:line="38" w:lineRule="exact"/>
        <w:rPr>
          <w:rFonts w:ascii="Arial" w:cs="Arial" w:eastAsia="Arial" w:hAnsi="Arial"/>
          <w:sz w:val="16"/>
          <w:szCs w:val="16"/>
          <w:color w:val="auto"/>
        </w:rPr>
      </w:pPr>
    </w:p>
    <w:p>
      <w:pPr>
        <w:ind w:right="40" w:firstLine="428"/>
        <w:spacing w:after="0" w:line="277" w:lineRule="auto"/>
        <w:tabs>
          <w:tab w:leader="none" w:pos="748" w:val="left"/>
        </w:tabs>
        <w:numPr>
          <w:ilvl w:val="1"/>
          <w:numId w:val="676"/>
        </w:numPr>
        <w:rPr>
          <w:rFonts w:ascii="Arial" w:cs="Arial" w:eastAsia="Arial" w:hAnsi="Arial"/>
          <w:sz w:val="18"/>
          <w:szCs w:val="18"/>
          <w:color w:val="auto"/>
        </w:rPr>
      </w:pPr>
      <w:r>
        <w:rPr>
          <w:rFonts w:ascii="Arial" w:cs="Arial" w:eastAsia="Arial" w:hAnsi="Arial"/>
          <w:sz w:val="18"/>
          <w:szCs w:val="18"/>
          <w:i w:val="1"/>
          <w:iCs w:val="1"/>
          <w:color w:val="auto"/>
        </w:rPr>
        <w:t>Tax Residence</w:t>
      </w:r>
      <w:r>
        <w:rPr>
          <w:rFonts w:ascii="Arial" w:cs="Arial" w:eastAsia="Arial" w:hAnsi="Arial"/>
          <w:sz w:val="18"/>
          <w:szCs w:val="18"/>
          <w:color w:val="auto"/>
        </w:rPr>
        <w:t>. Neither Company Party is a resident for tax purposes in Macau and payments of dividends and other distributions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Parties will not be subject to withholding or other taxes under the laws and regulations of Macau.</w:t>
      </w:r>
    </w:p>
    <w:p>
      <w:pPr>
        <w:spacing w:after="0" w:line="62" w:lineRule="exact"/>
        <w:rPr>
          <w:rFonts w:ascii="Arial" w:cs="Arial" w:eastAsia="Arial" w:hAnsi="Arial"/>
          <w:sz w:val="18"/>
          <w:szCs w:val="18"/>
          <w:color w:val="auto"/>
        </w:rPr>
      </w:pPr>
    </w:p>
    <w:p>
      <w:pPr>
        <w:ind w:left="180" w:hanging="176"/>
        <w:spacing w:after="0"/>
        <w:tabs>
          <w:tab w:leader="none" w:pos="180" w:val="left"/>
        </w:tabs>
        <w:numPr>
          <w:ilvl w:val="0"/>
          <w:numId w:val="677"/>
        </w:numPr>
        <w:rPr>
          <w:rFonts w:ascii="Arial" w:cs="Arial" w:eastAsia="Arial" w:hAnsi="Arial"/>
          <w:sz w:val="18"/>
          <w:szCs w:val="18"/>
          <w:color w:val="auto"/>
        </w:rPr>
      </w:pPr>
      <w:r>
        <w:rPr>
          <w:rFonts w:ascii="Arial" w:cs="Arial" w:eastAsia="Arial" w:hAnsi="Arial"/>
          <w:sz w:val="18"/>
          <w:szCs w:val="18"/>
          <w:i w:val="1"/>
          <w:iCs w:val="1"/>
          <w:color w:val="auto"/>
        </w:rPr>
        <w:t>Certain Covenants of the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428"/>
        <w:spacing w:after="0" w:line="257" w:lineRule="auto"/>
        <w:tabs>
          <w:tab w:leader="none" w:pos="668" w:val="left"/>
        </w:tabs>
        <w:numPr>
          <w:ilvl w:val="1"/>
          <w:numId w:val="677"/>
        </w:numPr>
        <w:rPr>
          <w:rFonts w:ascii="Arial" w:cs="Arial" w:eastAsia="Arial" w:hAnsi="Arial"/>
          <w:sz w:val="18"/>
          <w:szCs w:val="18"/>
          <w:color w:val="auto"/>
        </w:rPr>
      </w:pPr>
      <w:r>
        <w:rPr>
          <w:rFonts w:ascii="Arial" w:cs="Arial" w:eastAsia="Arial" w:hAnsi="Arial"/>
          <w:sz w:val="18"/>
          <w:szCs w:val="18"/>
          <w:color w:val="auto"/>
        </w:rPr>
        <w:t>The Company agrees to furnish to you, without charge, six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7(e) or 7(g) below, as many copies of the Disclosure Package, the Prospectus and any supplements and amendments thereto or to the Registration Statement as you may reasonably request;</w:t>
      </w:r>
    </w:p>
    <w:p>
      <w:pPr>
        <w:spacing w:after="0" w:line="80" w:lineRule="exact"/>
        <w:rPr>
          <w:rFonts w:ascii="Arial" w:cs="Arial" w:eastAsia="Arial" w:hAnsi="Arial"/>
          <w:sz w:val="18"/>
          <w:szCs w:val="18"/>
          <w:color w:val="auto"/>
        </w:rPr>
      </w:pPr>
    </w:p>
    <w:p>
      <w:pPr>
        <w:ind w:right="140" w:firstLine="428"/>
        <w:spacing w:after="0" w:line="255" w:lineRule="auto"/>
        <w:tabs>
          <w:tab w:leader="none" w:pos="678" w:val="left"/>
        </w:tabs>
        <w:numPr>
          <w:ilvl w:val="1"/>
          <w:numId w:val="677"/>
        </w:numPr>
        <w:rPr>
          <w:rFonts w:ascii="Arial" w:cs="Arial" w:eastAsia="Arial" w:hAnsi="Arial"/>
          <w:sz w:val="18"/>
          <w:szCs w:val="18"/>
          <w:color w:val="auto"/>
        </w:rPr>
      </w:pPr>
      <w:r>
        <w:rPr>
          <w:rFonts w:ascii="Arial" w:cs="Arial" w:eastAsia="Arial" w:hAnsi="Arial"/>
          <w:sz w:val="18"/>
          <w:szCs w:val="18"/>
          <w:color w:val="auto"/>
        </w:rPr>
        <w:t xml:space="preserve">The Company agrees to furnish such information as may be required and otherwise to cooperate in qualifying the Offered ADSs for offering and sale under the securities or blue sky laws of such states or other jurisdictions as you may designate and to maintain such qualifications in effect so long as you may request for the distribution of the Offered ADSs;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required to qualify as a foreign corporation or to consent to the service of process under the laws of any such jurisdiction (except service of process with respect to the offering and sale of the Offered ADSs); and to promptly advise you of the receipt by the Company of any notification with respect to the suspension of the qualification of the Offered ADSs for offer or sale in any jurisdiction or the initiation or threatening of any proceeding for such purpose;</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69" w:right="439" w:bottom="1440" w:gutter="0" w:footer="0" w:header="0"/>
        </w:sectPr>
      </w:pPr>
    </w:p>
    <w:bookmarkStart w:id="483" w:name="page484"/>
    <w:bookmarkEnd w:id="4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20" w:firstLine="428"/>
        <w:spacing w:after="0" w:line="259" w:lineRule="auto"/>
        <w:tabs>
          <w:tab w:leader="none" w:pos="668"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Company agrees before amending or supplementing the Registration Statement, the Disclosure Package or the Prospectus, to furnish to you a copy of each such proposed amendment or supplement and not to file any such proposed amendment or supplement to which you reasonably object, and to file with the Commission within the applicable period specified in Rule 424(b) under the Act any prospectus required to be filed pursuant to such Rule;</w:t>
      </w:r>
    </w:p>
    <w:p>
      <w:pPr>
        <w:spacing w:after="0" w:line="78" w:lineRule="exact"/>
        <w:rPr>
          <w:rFonts w:ascii="Arial" w:cs="Arial" w:eastAsia="Arial" w:hAnsi="Arial"/>
          <w:sz w:val="18"/>
          <w:szCs w:val="18"/>
          <w:color w:val="auto"/>
        </w:rPr>
      </w:pPr>
    </w:p>
    <w:p>
      <w:pPr>
        <w:ind w:right="340" w:firstLine="428"/>
        <w:spacing w:after="0" w:line="308" w:lineRule="auto"/>
        <w:tabs>
          <w:tab w:leader="none" w:pos="678" w:val="left"/>
        </w:tabs>
        <w:numPr>
          <w:ilvl w:val="0"/>
          <w:numId w:val="678"/>
        </w:numPr>
        <w:rPr>
          <w:rFonts w:ascii="Arial" w:cs="Arial" w:eastAsia="Arial" w:hAnsi="Arial"/>
          <w:sz w:val="17"/>
          <w:szCs w:val="17"/>
          <w:color w:val="auto"/>
        </w:rPr>
      </w:pPr>
      <w:r>
        <w:rPr>
          <w:rFonts w:ascii="Arial" w:cs="Arial" w:eastAsia="Arial" w:hAnsi="Arial"/>
          <w:sz w:val="17"/>
          <w:szCs w:val="17"/>
          <w:color w:val="auto"/>
        </w:rPr>
        <w:t>The Company agrees to furnish to you a copy of each proposed free writing prospectus to be prepared by or on behalf of, used by, or referred to by the Company and not to use or refer to any proposed free writing prospectus to which you reasonably object;</w:t>
      </w:r>
    </w:p>
    <w:p>
      <w:pPr>
        <w:spacing w:after="0" w:line="38" w:lineRule="exact"/>
        <w:rPr>
          <w:rFonts w:ascii="Arial" w:cs="Arial" w:eastAsia="Arial" w:hAnsi="Arial"/>
          <w:sz w:val="17"/>
          <w:szCs w:val="17"/>
          <w:color w:val="auto"/>
        </w:rPr>
      </w:pPr>
    </w:p>
    <w:p>
      <w:pPr>
        <w:ind w:right="340" w:firstLine="428"/>
        <w:spacing w:after="0" w:line="264" w:lineRule="auto"/>
        <w:tabs>
          <w:tab w:leader="none" w:pos="668"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Company agrees not to take any action that would result in an Underwriter or the Company being required to file with the Commission pursuant to Rule 433(d) under the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40" w:firstLine="428"/>
        <w:spacing w:after="0" w:line="291" w:lineRule="auto"/>
        <w:tabs>
          <w:tab w:leader="none" w:pos="648" w:val="left"/>
        </w:tabs>
        <w:numPr>
          <w:ilvl w:val="0"/>
          <w:numId w:val="678"/>
        </w:numPr>
        <w:rPr>
          <w:rFonts w:ascii="Arial" w:cs="Arial" w:eastAsia="Arial" w:hAnsi="Arial"/>
          <w:sz w:val="16"/>
          <w:szCs w:val="16"/>
          <w:color w:val="auto"/>
        </w:rPr>
      </w:pPr>
      <w:r>
        <w:rPr>
          <w:rFonts w:ascii="Arial" w:cs="Arial" w:eastAsia="Arial" w:hAnsi="Arial"/>
          <w:sz w:val="16"/>
          <w:szCs w:val="16"/>
          <w:color w:val="auto"/>
        </w:rPr>
        <w:t>If, at the time this Agreement is executed and delivered, it is necessary or appropriate for a post-effective amendment to the Registration Statement, or a Registration Statement under Rule 462(b) under the Act, to be filed with the Commission and become effective before the Offered ADSs may be sold, the Company will use its commercially reasonable efforts to cause such post-effective amendment or such Registration Statement to be filed and become effective, and the Company will pay any applicable fees in accordance with the Act, as soon as possible; and the Company will advise you promptly and, if requested by you, will confirm such advice in writing, (i) when such post-effective amendment or such Registration Statement has become effective, and (ii) if Rule 430A under the Act is used, when the Prospectus is filed with the Commission pursuant to Rule 424(b) under the Act (which the Company agrees to file in a timely manner in accordance with such Rules);</w:t>
      </w:r>
    </w:p>
    <w:p>
      <w:pPr>
        <w:spacing w:after="0" w:line="59" w:lineRule="exact"/>
        <w:rPr>
          <w:rFonts w:ascii="Arial" w:cs="Arial" w:eastAsia="Arial" w:hAnsi="Arial"/>
          <w:sz w:val="16"/>
          <w:szCs w:val="16"/>
          <w:color w:val="auto"/>
        </w:rPr>
      </w:pPr>
    </w:p>
    <w:p>
      <w:pPr>
        <w:ind w:firstLine="428"/>
        <w:spacing w:after="0" w:line="254" w:lineRule="auto"/>
        <w:tabs>
          <w:tab w:leader="none" w:pos="678"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The Company agrees to advise you promptly, confirming such advice in writing, of any request by the Commission for amendments or supplements to the Registration Statement, any Pre-Pricing Prospectus, the Prospectus or any Permitted Free Writing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any Pre-Pricing Prospectus or the Prospectus, and to provide you and Underwriters’ counsel copies of any such documents for review and comment a reasonable amount of time prior to any proposed filing and to file no such amendment or supplement to which you shall object in writing;</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80" w:top="269" w:right="439"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270" w:lineRule="auto"/>
        <w:tabs>
          <w:tab w:leader="none" w:pos="678" w:val="left"/>
        </w:tabs>
        <w:numPr>
          <w:ilvl w:val="0"/>
          <w:numId w:val="679"/>
        </w:numPr>
        <w:rPr>
          <w:rFonts w:ascii="Arial" w:cs="Arial" w:eastAsia="Arial" w:hAnsi="Arial"/>
          <w:sz w:val="17"/>
          <w:szCs w:val="17"/>
          <w:color w:val="auto"/>
        </w:rPr>
      </w:pPr>
      <w:r>
        <w:rPr>
          <w:rFonts w:ascii="Arial" w:cs="Arial" w:eastAsia="Arial" w:hAnsi="Arial"/>
          <w:sz w:val="17"/>
          <w:szCs w:val="17"/>
          <w:color w:val="auto"/>
        </w:rPr>
        <w:t>If the Disclosure Package is being used to solicit offers to buy the ADSs at a time when the Prospectus is not yet available to prospective purchasers and any event shall occur or condition exist as a result of which it is necessary to amend or supplement the Disclosure Package in order to make the statements therein, in the light of the circumstances, not misleading, or if any event shall occur or condition exist as a result of which the Disclosure Package conflicts with the information contained in the Registration Statement then on file, or if, in the opinion of counsel for the Underwriters, it is necessary to amend or supplement the Disclosure Package to comply with applicable law, forthwith to prepare, the Company agrees to file with the Commission and furnish, at its own expense, to the Underwriters and to any dealer upon request, either amendments or supplements to the Disclosure Package so that the statements in the Disclosure Package as so amended or supplemented will not, in the light of the circumstances when the Disclosure Package is delivered to a prospective purchaser, be misleading or so that the Disclosure Package, as amended or supplemented, will no longer conflict with the Registration Statement, or so that the Disclosure Package, as amended or supplemented, will comply with applicable law;</w:t>
      </w:r>
    </w:p>
    <w:p>
      <w:pPr>
        <w:spacing w:after="0" w:line="69" w:lineRule="exact"/>
        <w:rPr>
          <w:rFonts w:ascii="Arial" w:cs="Arial" w:eastAsia="Arial" w:hAnsi="Arial"/>
          <w:sz w:val="17"/>
          <w:szCs w:val="17"/>
          <w:color w:val="auto"/>
        </w:rPr>
      </w:pPr>
    </w:p>
    <w:p>
      <w:pPr>
        <w:ind w:right="140" w:firstLine="428"/>
        <w:spacing w:after="0" w:line="270" w:lineRule="auto"/>
        <w:tabs>
          <w:tab w:leader="none" w:pos="638" w:val="left"/>
        </w:tabs>
        <w:numPr>
          <w:ilvl w:val="0"/>
          <w:numId w:val="679"/>
        </w:numPr>
        <w:rPr>
          <w:rFonts w:ascii="Arial" w:cs="Arial" w:eastAsia="Arial" w:hAnsi="Arial"/>
          <w:sz w:val="17"/>
          <w:szCs w:val="17"/>
          <w:color w:val="auto"/>
        </w:rPr>
      </w:pPr>
      <w:r>
        <w:rPr>
          <w:rFonts w:ascii="Arial" w:cs="Arial" w:eastAsia="Arial" w:hAnsi="Arial"/>
          <w:sz w:val="17"/>
          <w:szCs w:val="17"/>
          <w:color w:val="auto"/>
        </w:rPr>
        <w:t>The Company agrees to advise the Representatives promptly of the happening of any event within the period during which a prospectus is required by the Act to be delivered (whether physically or through compliance with Rule 172 under the Act or any similar rule) in connection with any sale of ADSs,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Representatives promptly if, during such period, it shall become necessary to amend or supplement the Prospectus to cause the Prospectus to comply with the requirements of the Act, and, in each case, during such time, subject to Section 5(k) and Section 10 hereof, to prepare and furnish, at the Company’s expense, to the Representatives promptly such amendments or supplements that is not Underwriters’ Information to such Prospectus as may be necessary to reflect any such change or to effect such compliance;</w:t>
      </w:r>
    </w:p>
    <w:p>
      <w:pPr>
        <w:spacing w:after="0" w:line="73" w:lineRule="exact"/>
        <w:rPr>
          <w:rFonts w:ascii="Arial" w:cs="Arial" w:eastAsia="Arial" w:hAnsi="Arial"/>
          <w:sz w:val="17"/>
          <w:szCs w:val="17"/>
          <w:color w:val="auto"/>
        </w:rPr>
      </w:pPr>
    </w:p>
    <w:p>
      <w:pPr>
        <w:ind w:right="20" w:firstLine="428"/>
        <w:spacing w:after="0" w:line="279" w:lineRule="auto"/>
        <w:tabs>
          <w:tab w:leader="none" w:pos="638" w:val="left"/>
        </w:tabs>
        <w:numPr>
          <w:ilvl w:val="0"/>
          <w:numId w:val="679"/>
        </w:numPr>
        <w:rPr>
          <w:rFonts w:ascii="Arial" w:cs="Arial" w:eastAsia="Arial" w:hAnsi="Arial"/>
          <w:sz w:val="17"/>
          <w:szCs w:val="17"/>
          <w:color w:val="auto"/>
        </w:rPr>
      </w:pPr>
      <w:r>
        <w:rPr>
          <w:rFonts w:ascii="Arial" w:cs="Arial" w:eastAsia="Arial" w:hAnsi="Arial"/>
          <w:sz w:val="17"/>
          <w:szCs w:val="17"/>
          <w:color w:val="auto"/>
        </w:rPr>
        <w:t>The Company agrees to make generally available to its security holders, and, if not available on the Commission’s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to deliver to you, an earnings statement of the Company (which will satisfy the provisions of Section 11(a) of the Act) covering a period of twelve months beginning after the effective date of the Registration Statement (as defined in Rule 158(c) under the Act) as soon as is reasonably practicable after the termination of twelve-month period;</w:t>
      </w:r>
    </w:p>
    <w:p>
      <w:pPr>
        <w:spacing w:after="0" w:line="63" w:lineRule="exact"/>
        <w:rPr>
          <w:rFonts w:ascii="Arial" w:cs="Arial" w:eastAsia="Arial" w:hAnsi="Arial"/>
          <w:sz w:val="17"/>
          <w:szCs w:val="17"/>
          <w:color w:val="auto"/>
        </w:rPr>
      </w:pPr>
    </w:p>
    <w:p>
      <w:pPr>
        <w:ind w:right="180" w:firstLine="428"/>
        <w:spacing w:after="0" w:line="297" w:lineRule="auto"/>
        <w:tabs>
          <w:tab w:leader="none" w:pos="678" w:val="left"/>
        </w:tabs>
        <w:numPr>
          <w:ilvl w:val="0"/>
          <w:numId w:val="679"/>
        </w:numPr>
        <w:rPr>
          <w:rFonts w:ascii="Arial" w:cs="Arial" w:eastAsia="Arial" w:hAnsi="Arial"/>
          <w:sz w:val="16"/>
          <w:szCs w:val="16"/>
          <w:color w:val="auto"/>
        </w:rPr>
      </w:pPr>
      <w:r>
        <w:rPr>
          <w:rFonts w:ascii="Arial" w:cs="Arial" w:eastAsia="Arial" w:hAnsi="Arial"/>
          <w:sz w:val="16"/>
          <w:szCs w:val="16"/>
          <w:color w:val="auto"/>
        </w:rPr>
        <w:t xml:space="preserve">If requested by you, the Company agrees to furnish to you as early as practicable prior to the time of purchase of the Offered ADSs but not later than two business days prior thereto, a copy of the latest available unaudited interim consolidated financial statements, if any, of the Company and the Subsidiaries which have been read by the Company’s independent registered public accountants, as stated in their letter to be furnished pursuant to Section 7(c) 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required to furnish any materials pursuant to this clause if such materials are available via EDGAR, or (ii) if the Company ceases to be subject to reporting obligation under the Exchange Act;</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270" w:right="43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100" w:firstLine="428"/>
        <w:spacing w:after="0" w:line="279" w:lineRule="auto"/>
        <w:tabs>
          <w:tab w:leader="none" w:pos="638" w:val="left"/>
        </w:tabs>
        <w:numPr>
          <w:ilvl w:val="1"/>
          <w:numId w:val="680"/>
        </w:numPr>
        <w:rPr>
          <w:rFonts w:ascii="Arial" w:cs="Arial" w:eastAsia="Arial" w:hAnsi="Arial"/>
          <w:sz w:val="17"/>
          <w:szCs w:val="17"/>
          <w:color w:val="auto"/>
        </w:rPr>
      </w:pPr>
      <w:r>
        <w:rPr>
          <w:rFonts w:ascii="Arial" w:cs="Arial" w:eastAsia="Arial" w:hAnsi="Arial"/>
          <w:sz w:val="17"/>
          <w:szCs w:val="17"/>
          <w:color w:val="auto"/>
        </w:rPr>
        <w:t>The Company agrees to comply with Rule 433(d) under the Act (without reliance on Rule 164(b) under the Act) and with Rule 433(g) under the Act with respect to the sale of ADSs pursuant hereto; not to take any action that would result in an Underwriter or the Company being required to file with the Commission pursuant to Rule 433(d) under the Act a free writing prospectus prepared by or on behalf of the Underwriter that the Underwriter otherwise would not have been required to file thereunder;</w:t>
      </w:r>
    </w:p>
    <w:p>
      <w:pPr>
        <w:spacing w:after="0" w:line="59" w:lineRule="exact"/>
        <w:rPr>
          <w:rFonts w:ascii="Arial" w:cs="Arial" w:eastAsia="Arial" w:hAnsi="Arial"/>
          <w:sz w:val="17"/>
          <w:szCs w:val="17"/>
          <w:color w:val="auto"/>
        </w:rPr>
      </w:pPr>
    </w:p>
    <w:p>
      <w:pPr>
        <w:ind w:right="140" w:firstLine="428"/>
        <w:spacing w:after="0" w:line="285" w:lineRule="auto"/>
        <w:tabs>
          <w:tab w:leader="none" w:pos="728" w:val="left"/>
        </w:tabs>
        <w:numPr>
          <w:ilvl w:val="1"/>
          <w:numId w:val="680"/>
        </w:numPr>
        <w:rPr>
          <w:rFonts w:ascii="Arial" w:cs="Arial" w:eastAsia="Arial" w:hAnsi="Arial"/>
          <w:sz w:val="16"/>
          <w:szCs w:val="16"/>
          <w:color w:val="auto"/>
        </w:rPr>
      </w:pPr>
      <w:r>
        <w:rPr>
          <w:rFonts w:ascii="Arial" w:cs="Arial" w:eastAsia="Arial" w:hAnsi="Arial"/>
          <w:sz w:val="16"/>
          <w:szCs w:val="16"/>
          <w:color w:val="auto"/>
        </w:rPr>
        <w:t>Beginning on the date hereof and ending on, and including, the date that is 180 days after the date of the Prospectus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without the prior written consent of Deutsche Bank Securities Inc., the designated representative of the Underwriters (the “</w:t>
      </w:r>
      <w:r>
        <w:rPr>
          <w:rFonts w:ascii="Arial" w:cs="Arial" w:eastAsia="Arial" w:hAnsi="Arial"/>
          <w:sz w:val="16"/>
          <w:szCs w:val="16"/>
          <w:b w:val="1"/>
          <w:bCs w:val="1"/>
          <w:color w:val="auto"/>
        </w:rPr>
        <w:t>Designated Representative</w:t>
      </w:r>
      <w:r>
        <w:rPr>
          <w:rFonts w:ascii="Arial" w:cs="Arial" w:eastAsia="Arial" w:hAnsi="Arial"/>
          <w:sz w:val="16"/>
          <w:szCs w:val="16"/>
          <w:color w:val="auto"/>
        </w:rPr>
        <w:t>”), each of the Company Parties agrees not to (i) offer, sell, contract or agree to sell, hypothecate, pledge, grant any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Offered ADSs or any other securities of the Company Parties that are substantially similar to the Offered ADSs, or any securities convertible into or exchangeable or exercisable for, or any warrants or other rights to purchase, the foregoing,</w:t>
      </w:r>
    </w:p>
    <w:p>
      <w:pPr>
        <w:spacing w:after="0" w:line="1" w:lineRule="exact"/>
        <w:rPr>
          <w:rFonts w:ascii="Arial" w:cs="Arial" w:eastAsia="Arial" w:hAnsi="Arial"/>
          <w:sz w:val="16"/>
          <w:szCs w:val="16"/>
          <w:color w:val="auto"/>
        </w:rPr>
      </w:pPr>
    </w:p>
    <w:p>
      <w:pPr>
        <w:ind w:right="40" w:firstLine="4"/>
        <w:spacing w:after="0" w:line="281" w:lineRule="auto"/>
        <w:tabs>
          <w:tab w:leader="none" w:pos="265" w:val="left"/>
        </w:tabs>
        <w:numPr>
          <w:ilvl w:val="0"/>
          <w:numId w:val="681"/>
        </w:numPr>
        <w:rPr>
          <w:rFonts w:ascii="Arial" w:cs="Arial" w:eastAsia="Arial" w:hAnsi="Arial"/>
          <w:sz w:val="16"/>
          <w:szCs w:val="16"/>
          <w:color w:val="auto"/>
        </w:rPr>
      </w:pPr>
      <w:r>
        <w:rPr>
          <w:rFonts w:ascii="Arial" w:cs="Arial" w:eastAsia="Arial" w:hAnsi="Arial"/>
          <w:sz w:val="16"/>
          <w:szCs w:val="16"/>
          <w:color w:val="auto"/>
        </w:rPr>
        <w:t>file or cause to become effective a registration statement under the Act relating to the offer and sale of any Offered ADSs or any other securities of the Company Parties that are substantially similar to the Offered ADSs, or any securities convertible into or exchangeable or exercisable for, or any warrants or other rights to purchase, the foregoing, (iii) enter into any swap or other arrangement that transfers to another, in whole or in part, any of the economic consequences of ownership of the Offered ADSs or any other securities of the Company Parties that are substantially similar to the Offered ADSs, or any securities convertible into or exchangeable or exercisable for, or any warrants or other rights to purchase, the foregoing, whether any such transaction is to be settled by delivery of Offered ADSs or such other securities, in cash or otherwise or</w:t>
      </w:r>
    </w:p>
    <w:p>
      <w:pPr>
        <w:spacing w:after="0" w:line="4" w:lineRule="exact"/>
        <w:rPr>
          <w:rFonts w:ascii="Arial" w:cs="Arial" w:eastAsia="Arial" w:hAnsi="Arial"/>
          <w:sz w:val="16"/>
          <w:szCs w:val="16"/>
          <w:color w:val="auto"/>
        </w:rPr>
      </w:pPr>
    </w:p>
    <w:p>
      <w:pPr>
        <w:ind w:right="40" w:firstLine="4"/>
        <w:spacing w:after="0" w:line="287" w:lineRule="auto"/>
        <w:tabs>
          <w:tab w:leader="none" w:pos="305" w:val="left"/>
        </w:tabs>
        <w:numPr>
          <w:ilvl w:val="0"/>
          <w:numId w:val="682"/>
        </w:numPr>
        <w:rPr>
          <w:rFonts w:ascii="Arial" w:cs="Arial" w:eastAsia="Arial" w:hAnsi="Arial"/>
          <w:sz w:val="16"/>
          <w:szCs w:val="16"/>
          <w:color w:val="auto"/>
        </w:rPr>
      </w:pPr>
      <w:r>
        <w:rPr>
          <w:rFonts w:ascii="Arial" w:cs="Arial" w:eastAsia="Arial" w:hAnsi="Arial"/>
          <w:sz w:val="16"/>
          <w:szCs w:val="16"/>
          <w:color w:val="auto"/>
        </w:rPr>
        <w:t>publicly announce an intention to effect any transaction specified in clause (i), (ii) or (iii), except, in each case, for (A) the registration of the offer and sale and the offer and sale of the Offered ADSs as contemplated by this Agreement, the Registration Statement, the Disclosure Package and the Prospectus, (B) the private placement of any Ordinary Shares in connection with the Assured Entitlement Distribution as contemplated by the Subscription Agreement dated October 17, 2018 by and between the Company and Melco International Development Limited, a Cayman Islands corporation, (C) any transactions described in the Prospectus under the section headed “Corporate History and Organizational Structure,” including amending and restating of the memorandum of association and articles of association to, among other things, authorize the Class A ordinary shares and the Class B ordinary shares and re-classify all of MCE Cotai’s equity interest into Class A ordinary shares, as well as issuance of any Ordinary Shares to New Cotai LLC when it exercises its right to exchange any of its participation interest in MSC Cotai and (D) any other transactions or issuances covered by a registration statement on Form S-8, including amendments thereto;</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0" w:right="43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257" w:lineRule="auto"/>
        <w:tabs>
          <w:tab w:leader="none" w:pos="678" w:val="left"/>
        </w:tabs>
        <w:numPr>
          <w:ilvl w:val="1"/>
          <w:numId w:val="683"/>
        </w:numPr>
        <w:rPr>
          <w:rFonts w:ascii="Arial" w:cs="Arial" w:eastAsia="Arial" w:hAnsi="Arial"/>
          <w:sz w:val="18"/>
          <w:szCs w:val="18"/>
          <w:color w:val="auto"/>
        </w:rPr>
      </w:pPr>
      <w:r>
        <w:rPr>
          <w:rFonts w:ascii="Arial" w:cs="Arial" w:eastAsia="Arial" w:hAnsi="Arial"/>
          <w:sz w:val="18"/>
          <w:szCs w:val="18"/>
          <w:color w:val="auto"/>
        </w:rPr>
        <w:t>The Company agrees, prior to the time of purchase, to provide you with reasonable advance notice of and opportunity to comment on any press release or other communication directly or indirectly and hold no press conferences with respect to the Company or any Subsidiary, the financial condition, results of operations, business, properties, assets, or liabilities of the Company or any Subsidiary, or the offering of the Offered ADSs, and to issue no such press release or communications or hold such press conference without your prior consent, which consent shall not be unreasonably withheld, conditioned or delayed;</w:t>
      </w:r>
    </w:p>
    <w:p>
      <w:pPr>
        <w:spacing w:after="0" w:line="80" w:lineRule="exact"/>
        <w:rPr>
          <w:rFonts w:ascii="Arial" w:cs="Arial" w:eastAsia="Arial" w:hAnsi="Arial"/>
          <w:sz w:val="18"/>
          <w:szCs w:val="18"/>
          <w:color w:val="auto"/>
        </w:rPr>
      </w:pPr>
    </w:p>
    <w:p>
      <w:pPr>
        <w:ind w:right="120" w:firstLine="428"/>
        <w:spacing w:after="0" w:line="264" w:lineRule="auto"/>
        <w:tabs>
          <w:tab w:leader="none" w:pos="678" w:val="left"/>
        </w:tabs>
        <w:numPr>
          <w:ilvl w:val="1"/>
          <w:numId w:val="683"/>
        </w:numPr>
        <w:rPr>
          <w:rFonts w:ascii="Arial" w:cs="Arial" w:eastAsia="Arial" w:hAnsi="Arial"/>
          <w:sz w:val="18"/>
          <w:szCs w:val="18"/>
          <w:color w:val="auto"/>
        </w:rPr>
      </w:pPr>
      <w:r>
        <w:rPr>
          <w:rFonts w:ascii="Arial" w:cs="Arial" w:eastAsia="Arial" w:hAnsi="Arial"/>
          <w:sz w:val="18"/>
          <w:szCs w:val="18"/>
          <w:color w:val="auto"/>
        </w:rPr>
        <w:t>The Company agrees not, at any time at or after the execution of this Agreement, to, directly or indirectly, offer or sell any the Offered ADSs by means of any “prospectus” (within the meaning of the Act), or use any “prospectus” (within the meaning of the Act) in connection with the offer or sale of the Offered ADSs, in each case other than the Prospectus;</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1"/>
          <w:numId w:val="683"/>
        </w:numPr>
        <w:rPr>
          <w:rFonts w:ascii="Arial" w:cs="Arial" w:eastAsia="Arial" w:hAnsi="Arial"/>
          <w:sz w:val="17"/>
          <w:szCs w:val="17"/>
          <w:color w:val="auto"/>
        </w:rPr>
      </w:pPr>
      <w:r>
        <w:rPr>
          <w:rFonts w:ascii="Arial" w:cs="Arial" w:eastAsia="Arial" w:hAnsi="Arial"/>
          <w:sz w:val="17"/>
          <w:szCs w:val="17"/>
          <w:color w:val="auto"/>
        </w:rPr>
        <w:t>The Company agrees not to, and to cause the Subsidiaries not to, take, directly or indirectly, any action designed, or which will</w:t>
      </w:r>
    </w:p>
    <w:p>
      <w:pPr>
        <w:spacing w:after="0" w:line="34" w:lineRule="exact"/>
        <w:rPr>
          <w:rFonts w:ascii="Arial" w:cs="Arial" w:eastAsia="Arial" w:hAnsi="Arial"/>
          <w:sz w:val="17"/>
          <w:szCs w:val="17"/>
          <w:color w:val="auto"/>
        </w:rPr>
      </w:pPr>
    </w:p>
    <w:p>
      <w:pPr>
        <w:ind w:right="80"/>
        <w:spacing w:after="0" w:line="261" w:lineRule="auto"/>
        <w:rPr>
          <w:rFonts w:ascii="Arial" w:cs="Arial" w:eastAsia="Arial" w:hAnsi="Arial"/>
          <w:sz w:val="17"/>
          <w:szCs w:val="17"/>
          <w:color w:val="auto"/>
        </w:rPr>
      </w:pPr>
      <w:r>
        <w:rPr>
          <w:rFonts w:ascii="Arial" w:cs="Arial" w:eastAsia="Arial" w:hAnsi="Arial"/>
          <w:sz w:val="18"/>
          <w:szCs w:val="18"/>
          <w:color w:val="auto"/>
        </w:rPr>
        <w:t>constitute, or has constituted, or might reasonably be expected to cause or result in the stabilization or manipulation of the price of any security of the Company to facilitate the sale or resale of the Offered ADSs;</w:t>
      </w:r>
    </w:p>
    <w:p>
      <w:pPr>
        <w:spacing w:after="0" w:line="75" w:lineRule="exact"/>
        <w:rPr>
          <w:rFonts w:ascii="Arial" w:cs="Arial" w:eastAsia="Arial" w:hAnsi="Arial"/>
          <w:sz w:val="17"/>
          <w:szCs w:val="17"/>
          <w:color w:val="auto"/>
        </w:rPr>
      </w:pPr>
    </w:p>
    <w:p>
      <w:pPr>
        <w:ind w:right="20" w:firstLine="428"/>
        <w:spacing w:after="0" w:line="285" w:lineRule="auto"/>
        <w:tabs>
          <w:tab w:leader="none" w:pos="678" w:val="left"/>
        </w:tabs>
        <w:numPr>
          <w:ilvl w:val="1"/>
          <w:numId w:val="683"/>
        </w:numPr>
        <w:rPr>
          <w:rFonts w:ascii="Arial" w:cs="Arial" w:eastAsia="Arial" w:hAnsi="Arial"/>
          <w:sz w:val="16"/>
          <w:szCs w:val="16"/>
          <w:color w:val="auto"/>
        </w:rPr>
      </w:pPr>
      <w:r>
        <w:rPr>
          <w:rFonts w:ascii="Arial" w:cs="Arial" w:eastAsia="Arial" w:hAnsi="Arial"/>
          <w:sz w:val="16"/>
          <w:szCs w:val="16"/>
          <w:color w:val="auto"/>
        </w:rPr>
        <w:t>The Company agrees to indemnify and hold the Underwriters harmless against, any stamp, issue, registration, documentary, sales, capital, transfer, income, capital gains or other similar taxes or duties (other than any taxes (i) that would not have been imposed but for the failure of the Underwriter to comply with any certification, identification, or other reporting requirement concerning the nationality, residence, identity or connection with a taxing jurisdiction if such compliance is required or imposed by law as a precondition to an exemption from, or reduction in, such taxes, provided that such compliance would not be materially more onerous than completing a U.S. Internal Revenue Service Form W-9 or</w:t>
      </w:r>
    </w:p>
    <w:p>
      <w:pPr>
        <w:spacing w:after="0" w:line="2" w:lineRule="exact"/>
        <w:rPr>
          <w:rFonts w:ascii="Arial" w:cs="Arial" w:eastAsia="Arial" w:hAnsi="Arial"/>
          <w:sz w:val="16"/>
          <w:szCs w:val="16"/>
          <w:color w:val="auto"/>
        </w:rPr>
      </w:pPr>
    </w:p>
    <w:p>
      <w:pPr>
        <w:ind w:right="20" w:firstLine="4"/>
        <w:spacing w:after="0" w:line="252" w:lineRule="auto"/>
        <w:tabs>
          <w:tab w:leader="none" w:pos="265"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that would not have been imposed but for a present or former connection between such Underwriters and the applicable jurisdiction, other than a connection arising solely from such Underwriter having executed, delivered or performed its obligations, or received a payment, under this Agreement), including any interest or penalties, that is payable in connection with (i) the execution, delivery, consummation, performance and enforcement of this Agreement, (ii) the creation, allotment and issuance of the ADSs, (iii) the sale and delivery of the ADSs to or for the account of the Underwriters or purchasers procured by the Underwriters, or (iv) the initial resale and delivery of the ADSs by the Underwriters in the manner contemplated herein;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80" w:top="270" w:right="439"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80" w:firstLine="428"/>
        <w:spacing w:after="0" w:line="277" w:lineRule="auto"/>
        <w:tabs>
          <w:tab w:leader="none" w:pos="64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The Company agrees to maintain a transfer agent and, if necessary under the jurisdiction of incorporation of the Company, a registrar for the Shares;</w:t>
      </w:r>
    </w:p>
    <w:p>
      <w:pPr>
        <w:spacing w:after="0" w:line="62" w:lineRule="exact"/>
        <w:rPr>
          <w:rFonts w:ascii="Arial" w:cs="Arial" w:eastAsia="Arial" w:hAnsi="Arial"/>
          <w:sz w:val="18"/>
          <w:szCs w:val="18"/>
          <w:color w:val="auto"/>
        </w:rPr>
      </w:pPr>
    </w:p>
    <w:p>
      <w:pPr>
        <w:ind w:right="140" w:firstLine="428"/>
        <w:spacing w:after="0" w:line="264" w:lineRule="auto"/>
        <w:tabs>
          <w:tab w:leader="none" w:pos="65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The Company agrees to comply with the terms of the Deposit Agreement so that the ADSs will be issued by the Depositary and delivered to each Underwriter’s participant account in DTC, pursuant to this Agreement on the Closing Date and each applicable Option Closing Date;</w:t>
      </w:r>
    </w:p>
    <w:p>
      <w:pPr>
        <w:spacing w:after="0" w:line="73" w:lineRule="exact"/>
        <w:rPr>
          <w:rFonts w:ascii="Arial" w:cs="Arial" w:eastAsia="Arial" w:hAnsi="Arial"/>
          <w:sz w:val="18"/>
          <w:szCs w:val="18"/>
          <w:color w:val="auto"/>
        </w:rPr>
      </w:pPr>
    </w:p>
    <w:p>
      <w:pPr>
        <w:jc w:val="both"/>
        <w:ind w:right="60" w:firstLine="428"/>
        <w:spacing w:after="0" w:line="259" w:lineRule="auto"/>
        <w:tabs>
          <w:tab w:leader="none" w:pos="63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To the extent that the Company or its Subsidiaries and or any of their respective properties, assets or revenues may have or may hereafter become entitled to any such right of immunity in any such court in which proceedings may at any time be commenced, each of the Company and its Subsidiaries waives or will waive such right to the extent permitted by law and has consented to such relief and enforcement as provided in Section 15 of this Agreement and Section 7.6 of the Deposit Agreement;</w:t>
      </w:r>
    </w:p>
    <w:p>
      <w:pPr>
        <w:spacing w:after="0" w:line="78" w:lineRule="exact"/>
        <w:rPr>
          <w:rFonts w:ascii="Arial" w:cs="Arial" w:eastAsia="Arial" w:hAnsi="Arial"/>
          <w:sz w:val="18"/>
          <w:szCs w:val="18"/>
          <w:color w:val="auto"/>
        </w:rPr>
      </w:pPr>
    </w:p>
    <w:p>
      <w:pPr>
        <w:jc w:val="both"/>
        <w:ind w:right="180" w:firstLine="428"/>
        <w:spacing w:after="0" w:line="259" w:lineRule="auto"/>
        <w:tabs>
          <w:tab w:leader="none" w:pos="67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All sums payable by the Company under this Agreement shall be paid free and clear of and without deductions or withholdings of any present or future taxes, duties, levies, imposts, fees, assessments or other charges whatsoever, unless the deduction or withholding is required by law, in which case the Company shall pay such additional amount as will result in the receipt by each Underwriter of the full amount that would have been received had no deduction or withholding been made;</w:t>
      </w:r>
    </w:p>
    <w:p>
      <w:pPr>
        <w:spacing w:after="0" w:line="78" w:lineRule="exact"/>
        <w:rPr>
          <w:rFonts w:ascii="Arial" w:cs="Arial" w:eastAsia="Arial" w:hAnsi="Arial"/>
          <w:sz w:val="18"/>
          <w:szCs w:val="18"/>
          <w:color w:val="auto"/>
        </w:rPr>
      </w:pPr>
    </w:p>
    <w:p>
      <w:pPr>
        <w:ind w:right="100" w:firstLine="428"/>
        <w:spacing w:after="0" w:line="264" w:lineRule="auto"/>
        <w:tabs>
          <w:tab w:leader="none" w:pos="678"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All sums payable to an Underwriter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 and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880" w:top="269" w:right="439" w:bottom="1440" w:gutter="0" w:footer="0" w:header="0"/>
        </w:sectPr>
      </w:pPr>
    </w:p>
    <w:bookmarkStart w:id="488" w:name="page489"/>
    <w:bookmarkEnd w:id="4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left="440" w:right="20" w:firstLine="428"/>
        <w:spacing w:after="0" w:line="284" w:lineRule="auto"/>
        <w:tabs>
          <w:tab w:leader="none" w:pos="1158" w:val="left"/>
        </w:tabs>
        <w:numPr>
          <w:ilvl w:val="1"/>
          <w:numId w:val="686"/>
        </w:numPr>
        <w:rPr>
          <w:rFonts w:ascii="Arial" w:cs="Arial" w:eastAsia="Arial" w:hAnsi="Arial"/>
          <w:sz w:val="16"/>
          <w:szCs w:val="16"/>
          <w:color w:val="auto"/>
        </w:rPr>
      </w:pPr>
      <w:r>
        <w:rPr>
          <w:rFonts w:ascii="Arial" w:cs="Arial" w:eastAsia="Arial" w:hAnsi="Arial"/>
          <w:sz w:val="16"/>
          <w:szCs w:val="16"/>
          <w:color w:val="auto"/>
        </w:rPr>
        <w:t xml:space="preserve">Whether or not the transactions contemplated in this Agreement are consummated or this Agreement is terminated, the Company shall pay or cause to be paid all expenses incident to the performance of the Company Parties’ obligations under this Agreement, including (i) the fees, disbursements and expenses of the Company’s counsel and the Company’s accountants in connection with the registration and delivery of the Offered ADSs under the Act and all other fees or expenses in connection with the preparation and filing of the Registration Statement, the F-6 Registration Statement, each Pre-Pricing Prospectus, the Prospectus, each Permitted Free Writing Prospectus and any amendments or supplements thereto, and the printing and furnishing of copies of each thereof to the Company, the Underwriters and any dealers (including costs of mailing and shipment), (ii) all costs and expenses related to the registration, issue, sale, transfer and delivery of the Offered ADSs, including any stock, transfer and stamp taxes or duties payable thereon, (iii) all costs and expenses related to the producing, word processing and/or printing of this Agreement and any closing documents (including compilations thereof) and the reproduction and/or printing and furnishing of copies of each thereof to the Company and the Underwriters and (except closing documents) any dealers (including costs of mailing and shipment), (iv) up to US$1.5 million in legal fees of counsel for the Underwriters, (v) all costs and expenses related to the qualification of the Offered ADSs for offering and sale under state or foreign laws and the determination of their eligibility for investment under state or foreign law (including the legal fees and filing fees and other disbursements of counsel for the Company but excluding, for the avoidance of doubts, any legal fees, filing fees or other disbursements of counsel of the Underwriters) and the printing and furnishing of copies of any blue sky surveys or legal investment surveys to the Underwriters and to the dealers, (vi) all costs and expenses related to any listing of the Offered ADSs on any securities exchange or qualification of the Offered ADSs for quotation on the NYSE and any registration thereof under the Exchange Act, (vii) all fees and expenses in connection with the preparation and filing of the registration statement on Form 8-A relating to the Offered ADSs and all costs and expenses incident to listing the Offered ADSs on the NYSE, (viii) the cost of printing certificates representing the Offered ADSs, (ix) the costs and charges of any transfer agent, registrar or depositary, the fees and disbursements of any transfer agent, depositary or registrar for the Offered ADSs, (x) the costs and expenses of the Company relating to presentations or meetings undertaken in connection with the marketing of the offering and sale of the Offered ADSs to prospective investors and the Underwriters’ sales forces,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travel, lodging and other expenses incurred by the officers of the Company and any such consultants, and the cost of any aircraft chartered in connection with the road show; and (xi) the performance of the Company’s other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(A) the Underwriters will pay all of their costs and expenses, including fees and disbursements of their counsel and (B) the Company shall not be required to compensate the Underwriters for any taxes levied solely in respect of profits earned by them resulting from the transactions contemplated hereby;</w:t>
      </w:r>
    </w:p>
    <w:p>
      <w:pPr>
        <w:spacing w:after="0" w:line="63" w:lineRule="exact"/>
        <w:rPr>
          <w:rFonts w:ascii="Arial" w:cs="Arial" w:eastAsia="Arial" w:hAnsi="Arial"/>
          <w:sz w:val="16"/>
          <w:szCs w:val="16"/>
          <w:color w:val="auto"/>
        </w:rPr>
      </w:pPr>
    </w:p>
    <w:p>
      <w:pPr>
        <w:ind w:right="20" w:firstLine="444"/>
        <w:spacing w:after="0" w:line="271" w:lineRule="auto"/>
        <w:tabs>
          <w:tab w:leader="none" w:pos="621" w:val="left"/>
        </w:tabs>
        <w:numPr>
          <w:ilvl w:val="0"/>
          <w:numId w:val="687"/>
        </w:numPr>
        <w:rPr>
          <w:rFonts w:ascii="Arial" w:cs="Arial" w:eastAsia="Arial" w:hAnsi="Arial"/>
          <w:sz w:val="17"/>
          <w:szCs w:val="17"/>
          <w:color w:val="auto"/>
        </w:rPr>
      </w:pPr>
      <w:r>
        <w:rPr>
          <w:rFonts w:ascii="Arial" w:cs="Arial" w:eastAsia="Arial" w:hAnsi="Arial"/>
          <w:sz w:val="17"/>
          <w:szCs w:val="17"/>
          <w:i w:val="1"/>
          <w:iCs w:val="1"/>
          <w:color w:val="auto"/>
        </w:rPr>
        <w:t xml:space="preserve">Reimbursement of Underwriters’ Expenses. </w:t>
      </w:r>
      <w:r>
        <w:rPr>
          <w:rFonts w:ascii="Arial" w:cs="Arial" w:eastAsia="Arial" w:hAnsi="Arial"/>
          <w:sz w:val="17"/>
          <w:szCs w:val="17"/>
          <w:color w:val="auto"/>
        </w:rPr>
        <w:t>If this Agreement shall be terminated by the Underwriters, or any of them, because of any failure or</w:t>
      </w:r>
      <w:r>
        <w:rPr>
          <w:rFonts w:ascii="Arial" w:cs="Arial" w:eastAsia="Arial" w:hAnsi="Arial"/>
          <w:sz w:val="17"/>
          <w:szCs w:val="17"/>
          <w:i w:val="1"/>
          <w:iCs w:val="1"/>
          <w:color w:val="auto"/>
        </w:rPr>
        <w:t xml:space="preserve"> </w:t>
      </w:r>
      <w:r>
        <w:rPr>
          <w:rFonts w:ascii="Arial" w:cs="Arial" w:eastAsia="Arial" w:hAnsi="Arial"/>
          <w:sz w:val="17"/>
          <w:szCs w:val="17"/>
          <w:color w:val="auto"/>
        </w:rPr>
        <w:t>refusal on the part of the Company Parties to comply with the terms of this Agreement, or if for any reason the Company Parties shall be unable to perform their respective obligations under this Agreement (provided that the occurrence of any event under Section 8 or the failure to satisfy the conditions under Sections 7(a) through (g) inclusive, Section 7(j)(i) and Sections 7(l) and 7(n) inclusive, shall not be deemed as any refusal, inability or failure on the part of the Company; provided, further, that in the case of Section 8(1) and Section 7(j)(i), the occurrence of any such event is not attributable to any fault on the part of the Company), the Company will reimburse the Underwriters or such Underwriters as have so terminated this Agreement with respect to themselves, severally, for all out of pocket expenses (including the fees and disbursements of their counsel) reasonably incurred by such Underwriters in connection with this Agreement or the offering contemplated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44"/>
        <w:spacing w:after="0" w:line="264" w:lineRule="auto"/>
        <w:tabs>
          <w:tab w:leader="none" w:pos="621" w:val="left"/>
        </w:tabs>
        <w:numPr>
          <w:ilvl w:val="0"/>
          <w:numId w:val="688"/>
        </w:numPr>
        <w:rPr>
          <w:rFonts w:ascii="Arial" w:cs="Arial" w:eastAsia="Arial" w:hAnsi="Arial"/>
          <w:sz w:val="18"/>
          <w:szCs w:val="18"/>
          <w:color w:val="auto"/>
        </w:rPr>
      </w:pPr>
      <w:r>
        <w:rPr>
          <w:rFonts w:ascii="Arial" w:cs="Arial" w:eastAsia="Arial" w:hAnsi="Arial"/>
          <w:sz w:val="18"/>
          <w:szCs w:val="18"/>
          <w:i w:val="1"/>
          <w:iCs w:val="1"/>
          <w:color w:val="auto"/>
        </w:rPr>
        <w:t xml:space="preserve">Conditions of the Underwriters’ Obligations. </w:t>
      </w:r>
      <w:r>
        <w:rPr>
          <w:rFonts w:ascii="Arial" w:cs="Arial" w:eastAsia="Arial" w:hAnsi="Arial"/>
          <w:sz w:val="18"/>
          <w:szCs w:val="18"/>
          <w:color w:val="auto"/>
        </w:rPr>
        <w:t>The several obligations of the Underwriters hereunder are subject to the accuracy of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on the part of the Company Parties and on the date hereof, at the time of purchase, the performance by the Company Parties of their respective obligations hereunder and to the following additional conditions precedent:</w:t>
      </w:r>
    </w:p>
    <w:p>
      <w:pPr>
        <w:spacing w:after="0" w:line="73" w:lineRule="exact"/>
        <w:rPr>
          <w:rFonts w:ascii="Arial" w:cs="Arial" w:eastAsia="Arial" w:hAnsi="Arial"/>
          <w:sz w:val="18"/>
          <w:szCs w:val="18"/>
          <w:color w:val="auto"/>
        </w:rPr>
      </w:pPr>
    </w:p>
    <w:p>
      <w:pPr>
        <w:ind w:left="440" w:right="20" w:firstLine="428"/>
        <w:spacing w:after="0" w:line="264" w:lineRule="auto"/>
        <w:tabs>
          <w:tab w:leader="none" w:pos="1108" w:val="left"/>
        </w:tabs>
        <w:numPr>
          <w:ilvl w:val="1"/>
          <w:numId w:val="688"/>
        </w:numPr>
        <w:rPr>
          <w:rFonts w:ascii="Arial" w:cs="Arial" w:eastAsia="Arial" w:hAnsi="Arial"/>
          <w:sz w:val="18"/>
          <w:szCs w:val="18"/>
          <w:color w:val="auto"/>
        </w:rPr>
      </w:pPr>
      <w:r>
        <w:rPr>
          <w:rFonts w:ascii="Arial" w:cs="Arial" w:eastAsia="Arial" w:hAnsi="Arial"/>
          <w:sz w:val="18"/>
          <w:szCs w:val="18"/>
          <w:color w:val="auto"/>
        </w:rPr>
        <w:t>You shall have received on the Closing Date or the Option Closing Date, as the case may be, an opinion and negative assurance letter of Kirkland &amp; Ellis LLP, U.S. counsel for the Company, dated the Closing Date or the Option Closing Date, as the case may be, with executed copies for each Underwriter, and in form and substance satisfactory to the Representatives.</w:t>
      </w:r>
    </w:p>
    <w:p>
      <w:pPr>
        <w:spacing w:after="0" w:line="73" w:lineRule="exact"/>
        <w:rPr>
          <w:rFonts w:ascii="Arial" w:cs="Arial" w:eastAsia="Arial" w:hAnsi="Arial"/>
          <w:sz w:val="18"/>
          <w:szCs w:val="18"/>
          <w:color w:val="auto"/>
        </w:rPr>
      </w:pPr>
    </w:p>
    <w:p>
      <w:pPr>
        <w:ind w:left="440" w:firstLine="428"/>
        <w:spacing w:after="0" w:line="259" w:lineRule="auto"/>
        <w:tabs>
          <w:tab w:leader="none" w:pos="1118" w:val="left"/>
        </w:tabs>
        <w:numPr>
          <w:ilvl w:val="1"/>
          <w:numId w:val="688"/>
        </w:numPr>
        <w:rPr>
          <w:rFonts w:ascii="Arial" w:cs="Arial" w:eastAsia="Arial" w:hAnsi="Arial"/>
          <w:sz w:val="18"/>
          <w:szCs w:val="18"/>
          <w:color w:val="auto"/>
        </w:rPr>
      </w:pPr>
      <w:r>
        <w:rPr>
          <w:rFonts w:ascii="Arial" w:cs="Arial" w:eastAsia="Arial" w:hAnsi="Arial"/>
          <w:sz w:val="18"/>
          <w:szCs w:val="18"/>
          <w:color w:val="auto"/>
        </w:rPr>
        <w:t>You shall have received on the Closing Date or the Option Closing Date, as the case may be, an opinion of Walkers, Cayman Islands counsel for the Company, and an opinion of Walkers, British Virgin Islands counsel for MSC Cotai addressed to the Representatives, and dated the Closing Date or the Option Closing Date, as the case may be, with executed copies for each Underwriter, and in form and substance satisfactory to the Representatives.</w:t>
      </w:r>
    </w:p>
    <w:p>
      <w:pPr>
        <w:spacing w:after="0" w:line="78" w:lineRule="exact"/>
        <w:rPr>
          <w:rFonts w:ascii="Arial" w:cs="Arial" w:eastAsia="Arial" w:hAnsi="Arial"/>
          <w:sz w:val="18"/>
          <w:szCs w:val="18"/>
          <w:color w:val="auto"/>
        </w:rPr>
      </w:pPr>
    </w:p>
    <w:p>
      <w:pPr>
        <w:jc w:val="both"/>
        <w:ind w:left="440" w:right="260" w:firstLine="428"/>
        <w:spacing w:after="0" w:line="312" w:lineRule="auto"/>
        <w:tabs>
          <w:tab w:leader="none" w:pos="1108" w:val="left"/>
        </w:tabs>
        <w:numPr>
          <w:ilvl w:val="1"/>
          <w:numId w:val="688"/>
        </w:numPr>
        <w:rPr>
          <w:rFonts w:ascii="Arial" w:cs="Arial" w:eastAsia="Arial" w:hAnsi="Arial"/>
          <w:sz w:val="16"/>
          <w:szCs w:val="16"/>
          <w:color w:val="auto"/>
        </w:rPr>
      </w:pPr>
      <w:r>
        <w:rPr>
          <w:rFonts w:ascii="Arial" w:cs="Arial" w:eastAsia="Arial" w:hAnsi="Arial"/>
          <w:sz w:val="16"/>
          <w:szCs w:val="16"/>
          <w:color w:val="auto"/>
        </w:rPr>
        <w:t>You shall have received on the Closing Date or the Option Closing Date, as the case may be, an opinion of Manuela António Lawyers and Notaries, Macau counsel for the Company, addressed to the Representatives, and dated the Closing Date or the Option Closing Date, as the case may be, with executed copies for each Underwriter, and in form and substance satisfactory to the Representatives.</w:t>
      </w:r>
    </w:p>
    <w:p>
      <w:pPr>
        <w:spacing w:after="0" w:line="38" w:lineRule="exact"/>
        <w:rPr>
          <w:rFonts w:ascii="Arial" w:cs="Arial" w:eastAsia="Arial" w:hAnsi="Arial"/>
          <w:sz w:val="16"/>
          <w:szCs w:val="16"/>
          <w:color w:val="auto"/>
        </w:rPr>
      </w:pPr>
    </w:p>
    <w:p>
      <w:pPr>
        <w:ind w:left="440" w:right="20" w:firstLine="428"/>
        <w:spacing w:after="0" w:line="255" w:lineRule="auto"/>
        <w:tabs>
          <w:tab w:leader="none" w:pos="1118" w:val="left"/>
        </w:tabs>
        <w:numPr>
          <w:ilvl w:val="1"/>
          <w:numId w:val="688"/>
        </w:numPr>
        <w:rPr>
          <w:rFonts w:ascii="Arial" w:cs="Arial" w:eastAsia="Arial" w:hAnsi="Arial"/>
          <w:sz w:val="18"/>
          <w:szCs w:val="18"/>
          <w:color w:val="auto"/>
        </w:rPr>
      </w:pPr>
      <w:r>
        <w:rPr>
          <w:rFonts w:ascii="Arial" w:cs="Arial" w:eastAsia="Arial" w:hAnsi="Arial"/>
          <w:sz w:val="18"/>
          <w:szCs w:val="18"/>
          <w:color w:val="auto"/>
        </w:rPr>
        <w:t xml:space="preserve">You shall have received from Ernst &amp; Young, independent registered public accountants, letters dated, respectively, the date of the Prospectus, the Closing Date and the Option Closing Date, as the case may be, and addressed to the Representatives (with executed copies for each Representatives) in the forms satisfactory to the Representatives, containing statements and information of the type ordinarily included in accountants’ “comfort letters” to underwriters with respect to the financial statements and certain financial information contained in the Registration Statement, the Disclosure Package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three business days preceding the date hereof.</w:t>
      </w:r>
    </w:p>
    <w:p>
      <w:pPr>
        <w:spacing w:after="0" w:line="85" w:lineRule="exact"/>
        <w:rPr>
          <w:rFonts w:ascii="Arial" w:cs="Arial" w:eastAsia="Arial" w:hAnsi="Arial"/>
          <w:sz w:val="18"/>
          <w:szCs w:val="18"/>
          <w:color w:val="auto"/>
        </w:rPr>
      </w:pPr>
    </w:p>
    <w:p>
      <w:pPr>
        <w:ind w:left="440" w:right="120" w:firstLine="428"/>
        <w:spacing w:after="0" w:line="264" w:lineRule="auto"/>
        <w:tabs>
          <w:tab w:leader="none" w:pos="1108" w:val="left"/>
        </w:tabs>
        <w:numPr>
          <w:ilvl w:val="1"/>
          <w:numId w:val="688"/>
        </w:numPr>
        <w:rPr>
          <w:rFonts w:ascii="Arial" w:cs="Arial" w:eastAsia="Arial" w:hAnsi="Arial"/>
          <w:sz w:val="18"/>
          <w:szCs w:val="18"/>
          <w:color w:val="auto"/>
        </w:rPr>
      </w:pPr>
      <w:r>
        <w:rPr>
          <w:rFonts w:ascii="Arial" w:cs="Arial" w:eastAsia="Arial" w:hAnsi="Arial"/>
          <w:sz w:val="18"/>
          <w:szCs w:val="18"/>
          <w:color w:val="auto"/>
        </w:rPr>
        <w:t>You shall have received on the Closing Date or the Option Closing Date, as the case may be, an opinion and negative assurance letter of Davis Polk &amp; Wardwell LLP, U.S. counsel for the Underwriters, dated the Closing Date or the Option Closing Date, as the case may be, in form and substance reasonably satisfactory to the Representatives;</w:t>
      </w:r>
    </w:p>
    <w:p>
      <w:pPr>
        <w:spacing w:after="0" w:line="73" w:lineRule="exact"/>
        <w:rPr>
          <w:rFonts w:ascii="Arial" w:cs="Arial" w:eastAsia="Arial" w:hAnsi="Arial"/>
          <w:sz w:val="18"/>
          <w:szCs w:val="18"/>
          <w:color w:val="auto"/>
        </w:rPr>
      </w:pPr>
    </w:p>
    <w:p>
      <w:pPr>
        <w:ind w:left="440" w:right="120" w:firstLine="428"/>
        <w:spacing w:after="0" w:line="264" w:lineRule="auto"/>
        <w:tabs>
          <w:tab w:leader="none" w:pos="1088" w:val="left"/>
        </w:tabs>
        <w:numPr>
          <w:ilvl w:val="1"/>
          <w:numId w:val="688"/>
        </w:numPr>
        <w:rPr>
          <w:rFonts w:ascii="Arial" w:cs="Arial" w:eastAsia="Arial" w:hAnsi="Arial"/>
          <w:sz w:val="18"/>
          <w:szCs w:val="18"/>
          <w:color w:val="auto"/>
        </w:rPr>
      </w:pPr>
      <w:r>
        <w:rPr>
          <w:rFonts w:ascii="Arial" w:cs="Arial" w:eastAsia="Arial" w:hAnsi="Arial"/>
          <w:sz w:val="18"/>
          <w:szCs w:val="18"/>
          <w:color w:val="auto"/>
        </w:rPr>
        <w:t>You shall have received on the Closing Date or the Option Closing Date, as the case may be an opinion of Henrique Saldanha, Advogados &amp; Notários, Macau counsel for the Underwriters, dated the Closing Date or the Option Closing Date, as the case may be, in form and substance reasonably satisfactory to the Representatives;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0" w:right="43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jc w:val="both"/>
        <w:ind w:right="80" w:firstLine="428"/>
        <w:spacing w:after="0" w:line="286" w:lineRule="auto"/>
        <w:tabs>
          <w:tab w:leader="none" w:pos="678" w:val="left"/>
        </w:tabs>
        <w:numPr>
          <w:ilvl w:val="0"/>
          <w:numId w:val="689"/>
        </w:numPr>
        <w:rPr>
          <w:rFonts w:ascii="Arial" w:cs="Arial" w:eastAsia="Arial" w:hAnsi="Arial"/>
          <w:sz w:val="17"/>
          <w:szCs w:val="17"/>
          <w:color w:val="auto"/>
        </w:rPr>
      </w:pPr>
      <w:r>
        <w:rPr>
          <w:rFonts w:ascii="Arial" w:cs="Arial" w:eastAsia="Arial" w:hAnsi="Arial"/>
          <w:sz w:val="17"/>
          <w:szCs w:val="17"/>
          <w:color w:val="auto"/>
        </w:rPr>
        <w:t>You shall have received on and as of the Closing Date or the Option Closing Date, as the case may be, an opinion of White &amp; Case LLP, counsel for the Depositary, with respect to such matters as the Representatives may reasonably request, and such counsel shall have received such documents and information as they may reasonably request to enable them to pass upon such matters.</w:t>
      </w:r>
    </w:p>
    <w:p>
      <w:pPr>
        <w:spacing w:after="0" w:line="57" w:lineRule="exact"/>
        <w:rPr>
          <w:rFonts w:ascii="Arial" w:cs="Arial" w:eastAsia="Arial" w:hAnsi="Arial"/>
          <w:sz w:val="17"/>
          <w:szCs w:val="17"/>
          <w:color w:val="auto"/>
        </w:rPr>
      </w:pPr>
    </w:p>
    <w:p>
      <w:pPr>
        <w:ind w:right="380" w:firstLine="428"/>
        <w:spacing w:after="0" w:line="277" w:lineRule="auto"/>
        <w:tabs>
          <w:tab w:leader="none" w:pos="678" w:val="left"/>
        </w:tabs>
        <w:numPr>
          <w:ilvl w:val="0"/>
          <w:numId w:val="689"/>
        </w:numPr>
        <w:rPr>
          <w:rFonts w:ascii="Arial" w:cs="Arial" w:eastAsia="Arial" w:hAnsi="Arial"/>
          <w:sz w:val="18"/>
          <w:szCs w:val="18"/>
          <w:color w:val="auto"/>
        </w:rPr>
      </w:pPr>
      <w:r>
        <w:rPr>
          <w:rFonts w:ascii="Arial" w:cs="Arial" w:eastAsia="Arial" w:hAnsi="Arial"/>
          <w:sz w:val="18"/>
          <w:szCs w:val="18"/>
          <w:color w:val="auto"/>
        </w:rPr>
        <w:t>No Prospectus or amendment or supplement to the Registration Statement or the Prospectus shall have been filed to which you shall have objected in writing.</w:t>
      </w:r>
    </w:p>
    <w:p>
      <w:pPr>
        <w:spacing w:after="0" w:line="62" w:lineRule="exact"/>
        <w:rPr>
          <w:rFonts w:ascii="Arial" w:cs="Arial" w:eastAsia="Arial" w:hAnsi="Arial"/>
          <w:sz w:val="18"/>
          <w:szCs w:val="18"/>
          <w:color w:val="auto"/>
        </w:rPr>
      </w:pPr>
    </w:p>
    <w:p>
      <w:pPr>
        <w:ind w:right="200" w:firstLine="428"/>
        <w:spacing w:after="0" w:line="259" w:lineRule="auto"/>
        <w:tabs>
          <w:tab w:leader="none" w:pos="638" w:val="left"/>
        </w:tabs>
        <w:numPr>
          <w:ilvl w:val="0"/>
          <w:numId w:val="689"/>
        </w:numPr>
        <w:rPr>
          <w:rFonts w:ascii="Arial" w:cs="Arial" w:eastAsia="Arial" w:hAnsi="Arial"/>
          <w:sz w:val="18"/>
          <w:szCs w:val="18"/>
          <w:color w:val="auto"/>
        </w:rPr>
      </w:pPr>
      <w:r>
        <w:rPr>
          <w:rFonts w:ascii="Arial" w:cs="Arial" w:eastAsia="Arial" w:hAnsi="Arial"/>
          <w:sz w:val="18"/>
          <w:szCs w:val="18"/>
          <w:color w:val="auto"/>
        </w:rPr>
        <w:t>The Registration Statement and any registration statement required to be filed, prior to the sale of the Offered ADSs, under the Act pursuant to Rule 462(b) shall have been filed and shall have become effective under the Act. The Prospectus shall have been filed with the Commission pursuant to Rule 424(b) under the Act at or before 5:30 P.M., New York City time, on the second full business day after the date of this Agreement (or such earlier time as may be required under the Act).</w:t>
      </w:r>
    </w:p>
    <w:p>
      <w:pPr>
        <w:spacing w:after="0" w:line="78" w:lineRule="exact"/>
        <w:rPr>
          <w:rFonts w:ascii="Arial" w:cs="Arial" w:eastAsia="Arial" w:hAnsi="Arial"/>
          <w:sz w:val="18"/>
          <w:szCs w:val="18"/>
          <w:color w:val="auto"/>
        </w:rPr>
      </w:pPr>
    </w:p>
    <w:p>
      <w:pPr>
        <w:ind w:firstLine="428"/>
        <w:spacing w:after="0" w:line="288" w:lineRule="auto"/>
        <w:tabs>
          <w:tab w:leader="none" w:pos="638" w:val="left"/>
        </w:tabs>
        <w:numPr>
          <w:ilvl w:val="0"/>
          <w:numId w:val="689"/>
        </w:numPr>
        <w:rPr>
          <w:rFonts w:ascii="Arial" w:cs="Arial" w:eastAsia="Arial" w:hAnsi="Arial"/>
          <w:sz w:val="16"/>
          <w:szCs w:val="16"/>
          <w:color w:val="auto"/>
        </w:rPr>
      </w:pPr>
      <w:r>
        <w:rPr>
          <w:rFonts w:ascii="Arial" w:cs="Arial" w:eastAsia="Arial" w:hAnsi="Arial"/>
          <w:sz w:val="16"/>
          <w:szCs w:val="16"/>
          <w:color w:val="auto"/>
        </w:rPr>
        <w:t>Prior to and at the time of purchase (i) no stop order with respect to the effectiveness of the Registration Statement shall have been issued under the Act or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(iii) none of the Pre-Pricing Prospectuses or the Prospectus, and no amendment or supplement thereto, shall include an untrue statement of a material fact or omit to state a material fact necessary in order to make the statements therein, in the light of the circumstances under which they are made, not misleading; (iv) no Disclosure Package, and no amendment or supplement thereto, shall include an untrue statement of a material fact or omit to state a material fact necessary in order to make the statements therein, in the light of the circumstances under which they are made, not misleading; and (v) none of the Permitted Free Writing Prospectuses, if any, shall include an untrue statement of a material fact or, together with the Disclosure Package including the then most recent Pre-Pricing Prospectus, omit to state a material fact necessary in order to make the statements therein, in the light of the circumstances under which they are made, not misleading.</w:t>
      </w:r>
    </w:p>
    <w:p>
      <w:pPr>
        <w:spacing w:after="0" w:line="61" w:lineRule="exact"/>
        <w:rPr>
          <w:rFonts w:ascii="Arial" w:cs="Arial" w:eastAsia="Arial" w:hAnsi="Arial"/>
          <w:sz w:val="16"/>
          <w:szCs w:val="16"/>
          <w:color w:val="auto"/>
        </w:rPr>
      </w:pPr>
    </w:p>
    <w:p>
      <w:pPr>
        <w:ind w:right="400" w:firstLine="428"/>
        <w:spacing w:after="0" w:line="277" w:lineRule="auto"/>
        <w:tabs>
          <w:tab w:leader="none" w:pos="678" w:val="left"/>
        </w:tabs>
        <w:numPr>
          <w:ilvl w:val="0"/>
          <w:numId w:val="689"/>
        </w:numPr>
        <w:rPr>
          <w:rFonts w:ascii="Arial" w:cs="Arial" w:eastAsia="Arial" w:hAnsi="Arial"/>
          <w:sz w:val="18"/>
          <w:szCs w:val="18"/>
          <w:color w:val="auto"/>
        </w:rPr>
      </w:pPr>
      <w:r>
        <w:rPr>
          <w:rFonts w:ascii="Arial" w:cs="Arial" w:eastAsia="Arial" w:hAnsi="Arial"/>
          <w:sz w:val="18"/>
          <w:szCs w:val="18"/>
          <w:color w:val="auto"/>
        </w:rPr>
        <w:t>The Company shall have furnished to you, on the Closing Date and each Option Closing date, as the case may be, a certificate of its Property President or its Property Chief Financial Officer in the form attached as Exhibit B hereto.</w:t>
      </w:r>
    </w:p>
    <w:p>
      <w:pPr>
        <w:spacing w:after="0" w:line="62" w:lineRule="exact"/>
        <w:rPr>
          <w:rFonts w:ascii="Arial" w:cs="Arial" w:eastAsia="Arial" w:hAnsi="Arial"/>
          <w:sz w:val="18"/>
          <w:szCs w:val="18"/>
          <w:color w:val="auto"/>
        </w:rPr>
      </w:pPr>
    </w:p>
    <w:p>
      <w:pPr>
        <w:ind w:right="40" w:firstLine="428"/>
        <w:spacing w:after="0" w:line="255" w:lineRule="auto"/>
        <w:tabs>
          <w:tab w:leader="none" w:pos="638" w:val="left"/>
        </w:tabs>
        <w:numPr>
          <w:ilvl w:val="0"/>
          <w:numId w:val="689"/>
        </w:numPr>
        <w:rPr>
          <w:rFonts w:ascii="Arial" w:cs="Arial" w:eastAsia="Arial" w:hAnsi="Arial"/>
          <w:sz w:val="18"/>
          <w:szCs w:val="18"/>
          <w:color w:val="auto"/>
        </w:rPr>
      </w:pPr>
      <w:r>
        <w:rPr>
          <w:rFonts w:ascii="Arial" w:cs="Arial" w:eastAsia="Arial" w:hAnsi="Arial"/>
          <w:sz w:val="18"/>
          <w:szCs w:val="18"/>
          <w:color w:val="auto"/>
        </w:rPr>
        <w:t>You shall have received the signed Lock-Up Agreements in the form attached as Exhibit A hereto from each of the parties listed in Schedule D attached hereto, and the Lock-Up Agreements shall be in full force and effect at the time of purchase. If any additional persons shall become directors or executive officers of the Company and acquire or are granted ADSs or any other securities of the Company Parties that are substantially similar to the ADSs, or any securities convertible into or exchangeable or exercisable for, or any warrants or other rights to purchase such securities prior to the end of the Company Lock-up Period (as defined below), the Company shall cause each such person, prior to or contemporaneously with their appointment or election as a director or executive director of the Company, to execute and deliver to the Designated Representative a Lock-up Agreement.</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80"/>
          </w:cols>
          <w:pgMar w:left="880" w:top="269" w:right="43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jc w:val="both"/>
        <w:ind w:left="440" w:firstLine="428"/>
        <w:spacing w:after="0" w:line="264" w:lineRule="auto"/>
        <w:tabs>
          <w:tab w:leader="none" w:pos="1168" w:val="left"/>
        </w:tabs>
        <w:numPr>
          <w:ilvl w:val="1"/>
          <w:numId w:val="690"/>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any Pre-Pricing Prospectus, the Prospectus or any Permitted Free Writing Prospectus as of the time of purchase, as you may reasonably request.</w:t>
      </w:r>
    </w:p>
    <w:p>
      <w:pPr>
        <w:spacing w:after="0" w:line="73"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1"/>
          <w:numId w:val="690"/>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62" w:lineRule="exact"/>
        <w:rPr>
          <w:rFonts w:ascii="Arial" w:cs="Arial" w:eastAsia="Arial" w:hAnsi="Arial"/>
          <w:sz w:val="18"/>
          <w:szCs w:val="18"/>
          <w:color w:val="auto"/>
        </w:rPr>
      </w:pPr>
    </w:p>
    <w:p>
      <w:pPr>
        <w:ind w:left="440" w:right="220" w:firstLine="428"/>
        <w:spacing w:after="0" w:line="342" w:lineRule="auto"/>
        <w:tabs>
          <w:tab w:leader="none" w:pos="1118" w:val="left"/>
        </w:tabs>
        <w:numPr>
          <w:ilvl w:val="1"/>
          <w:numId w:val="690"/>
        </w:numPr>
        <w:rPr>
          <w:rFonts w:ascii="Arial" w:cs="Arial" w:eastAsia="Arial" w:hAnsi="Arial"/>
          <w:sz w:val="16"/>
          <w:szCs w:val="16"/>
          <w:color w:val="auto"/>
        </w:rPr>
      </w:pPr>
      <w:r>
        <w:rPr>
          <w:rFonts w:ascii="Arial" w:cs="Arial" w:eastAsia="Arial" w:hAnsi="Arial"/>
          <w:sz w:val="16"/>
          <w:szCs w:val="16"/>
          <w:color w:val="auto"/>
        </w:rPr>
        <w:t>The Company’s Property Chief Financial Officer shall have furnished to you, on the date of the Prospectus, the Closing Date and each Option Closing date, as the case may be, a certificate dated the date of the time of purchase, substantially as set forth in Exhibit C hereto.</w:t>
      </w:r>
    </w:p>
    <w:p>
      <w:pPr>
        <w:spacing w:after="0" w:line="15" w:lineRule="exact"/>
        <w:rPr>
          <w:rFonts w:ascii="Arial" w:cs="Arial" w:eastAsia="Arial" w:hAnsi="Arial"/>
          <w:sz w:val="16"/>
          <w:szCs w:val="16"/>
          <w:color w:val="auto"/>
        </w:rPr>
      </w:pPr>
    </w:p>
    <w:p>
      <w:pPr>
        <w:ind w:left="440" w:firstLine="428"/>
        <w:spacing w:after="0" w:line="264" w:lineRule="auto"/>
        <w:tabs>
          <w:tab w:leader="none" w:pos="1118" w:val="left"/>
        </w:tabs>
        <w:numPr>
          <w:ilvl w:val="1"/>
          <w:numId w:val="690"/>
        </w:numPr>
        <w:rPr>
          <w:rFonts w:ascii="Arial" w:cs="Arial" w:eastAsia="Arial" w:hAnsi="Arial"/>
          <w:sz w:val="18"/>
          <w:szCs w:val="18"/>
          <w:color w:val="auto"/>
        </w:rPr>
      </w:pPr>
      <w:r>
        <w:rPr>
          <w:rFonts w:ascii="Arial" w:cs="Arial" w:eastAsia="Arial" w:hAnsi="Arial"/>
          <w:sz w:val="18"/>
          <w:szCs w:val="18"/>
          <w:color w:val="auto"/>
        </w:rPr>
        <w:t>At least one business day prior to the applicable time of purchase, all instruction letters required to be delivered to the transfer agent, Registrar and the Depositary by the Company to effect closing of the transaction contemplated hereunder, in form and substance satisfactory to the Representatives.</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690"/>
        </w:numPr>
        <w:rPr>
          <w:rFonts w:ascii="Arial" w:cs="Arial" w:eastAsia="Arial" w:hAnsi="Arial"/>
          <w:sz w:val="17"/>
          <w:szCs w:val="17"/>
          <w:color w:val="auto"/>
        </w:rPr>
      </w:pPr>
      <w:r>
        <w:rPr>
          <w:rFonts w:ascii="Arial" w:cs="Arial" w:eastAsia="Arial" w:hAnsi="Arial"/>
          <w:sz w:val="17"/>
          <w:szCs w:val="17"/>
          <w:color w:val="auto"/>
        </w:rPr>
        <w:t>At the Closing Date, the Offered ADSs shall have been approved for listing on the NYSE, subject only to official notice of issuance.</w:t>
      </w:r>
    </w:p>
    <w:p>
      <w:pPr>
        <w:spacing w:after="0" w:line="128" w:lineRule="exact"/>
        <w:rPr>
          <w:rFonts w:ascii="Arial" w:cs="Arial" w:eastAsia="Arial" w:hAnsi="Arial"/>
          <w:sz w:val="17"/>
          <w:szCs w:val="17"/>
          <w:color w:val="auto"/>
        </w:rPr>
      </w:pPr>
    </w:p>
    <w:p>
      <w:pPr>
        <w:ind w:right="360" w:firstLine="444"/>
        <w:spacing w:after="0" w:line="277" w:lineRule="auto"/>
        <w:tabs>
          <w:tab w:leader="none" w:pos="621" w:val="left"/>
        </w:tabs>
        <w:numPr>
          <w:ilvl w:val="0"/>
          <w:numId w:val="691"/>
        </w:numPr>
        <w:rPr>
          <w:rFonts w:ascii="Arial" w:cs="Arial" w:eastAsia="Arial" w:hAnsi="Arial"/>
          <w:sz w:val="18"/>
          <w:szCs w:val="18"/>
          <w:color w:val="auto"/>
        </w:rPr>
      </w:pPr>
      <w:r>
        <w:rPr>
          <w:rFonts w:ascii="Arial" w:cs="Arial" w:eastAsia="Arial" w:hAnsi="Arial"/>
          <w:sz w:val="18"/>
          <w:szCs w:val="18"/>
          <w:i w:val="1"/>
          <w:iCs w:val="1"/>
          <w:color w:val="auto"/>
        </w:rPr>
        <w:t>Effective Date of Agreement; Termination</w:t>
      </w:r>
      <w:r>
        <w:rPr>
          <w:rFonts w:ascii="Arial" w:cs="Arial" w:eastAsia="Arial" w:hAnsi="Arial"/>
          <w:sz w:val="18"/>
          <w:szCs w:val="18"/>
          <w:color w:val="auto"/>
        </w:rPr>
        <w:t>. This Agreement shall become effective when the parties hereto have executed and delivered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obligations of the several Underwriters hereunder shall be subject to termination in the absolute discretion of the Underwriters, if (1) since the time of execution of this Agreement, there has been any change or any development involving a prospective change in the business, properties, management, financial condition or results of operations of the Company and the Subsidiaries taken as a whole, the effect of which change or development is, in the sole judgment of the Underwriters, so material and adverse as to make it impractical or inadvisable to proceed with the public offering or the delivery of the Offered ADSs on the terms and in the manner contemplated in the Registration Statement, the Disclosure Package and the Prospectus or (2) since the time of execution of this Agreement, there shall have occurred: (A) a suspension or material limitation in trading in securities generally on the NYSE or NASDAQ; (B) a suspension or material limitation in trading in the Company’s securities on the NYSE; (C) a material disruption in securities settlement, payment or clearance services in the United States shall have occurred; (D) a general moratorium on commercial banking activities declared by either federal or New York State authorities or a material disruption in commercial banking or securities settlement or clearance services in the United States; (E) an outbreak or escalation of hostilities or acts of terrorism involving the United States or a declaration by the United States of a national emergency or war; or (F) any other calamity or crisis or any change in financial, political or economic conditions in the United States or elsewhere, if the effect of any such event specified in clause (E) or (F), in the sole judgment of the Representatives, makes it impractical or inadvisable to proceed with the public offering or the delivery of the Offered ADSs on the terms and in the manner contemplated in the Registration Statement, the Disclosure Package and the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0" w:right="439" w:bottom="1440" w:gutter="0" w:footer="0" w:header="0"/>
        </w:sectPr>
      </w:pPr>
    </w:p>
    <w:bookmarkStart w:id="492" w:name="page493"/>
    <w:bookmarkEnd w:id="492"/>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Representatives elect to terminate this Agreement as provided in this Section 7(q), the Company shall be notified promptly in writing.</w:t>
      </w:r>
    </w:p>
    <w:p>
      <w:pPr>
        <w:spacing w:after="0" w:line="1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If the sale to the Underwriters of the Offered ADSs,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Sections 5(v) and 10 hereof), and the Underwriters shall be under no obligation or liability to the Company under this Agreement (except to the extent provided in Section 10 hereof) or to one another hereunder.</w:t>
      </w:r>
    </w:p>
    <w:p>
      <w:pPr>
        <w:spacing w:after="0" w:line="80" w:lineRule="exact"/>
        <w:rPr>
          <w:sz w:val="20"/>
          <w:szCs w:val="20"/>
          <w:color w:val="auto"/>
        </w:rPr>
      </w:pPr>
    </w:p>
    <w:p>
      <w:pPr>
        <w:ind w:right="20" w:firstLine="444"/>
        <w:spacing w:after="0" w:line="285" w:lineRule="auto"/>
        <w:tabs>
          <w:tab w:leader="none" w:pos="621" w:val="left"/>
        </w:tabs>
        <w:numPr>
          <w:ilvl w:val="0"/>
          <w:numId w:val="692"/>
        </w:numPr>
        <w:rPr>
          <w:rFonts w:ascii="Arial" w:cs="Arial" w:eastAsia="Arial" w:hAnsi="Arial"/>
          <w:sz w:val="16"/>
          <w:szCs w:val="16"/>
          <w:color w:val="auto"/>
        </w:rPr>
      </w:pPr>
      <w:r>
        <w:rPr>
          <w:rFonts w:ascii="Arial" w:cs="Arial" w:eastAsia="Arial" w:hAnsi="Arial"/>
          <w:sz w:val="16"/>
          <w:szCs w:val="16"/>
          <w:i w:val="1"/>
          <w:iCs w:val="1"/>
          <w:color w:val="auto"/>
        </w:rPr>
        <w:t>Defaulting Underwriters</w:t>
      </w:r>
      <w:r>
        <w:rPr>
          <w:rFonts w:ascii="Arial" w:cs="Arial" w:eastAsia="Arial" w:hAnsi="Arial"/>
          <w:sz w:val="16"/>
          <w:szCs w:val="16"/>
          <w:color w:val="auto"/>
        </w:rPr>
        <w:t>. If, on the Closing Date or an Option Closing Date, as the case may be, any one or more of the Underwriters shall fail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refuse to purchase Offered ADSs that it has or they have agreed to purchase hereunder on such date, and the aggregate number of Offered ADSs which such defaulting Underwriter or Underwriters agreed but failed or refused to purchase is not more than one tenth of the aggregate number of the Offered ADSs to be purchased on such date, the other Underwriters shall be obligated severally in the proportions that the number of Firm ADSs set forth opposite their respective names in Schedule A bears to the aggregate number of Firm ADSs set forth opposite the names of all such non defaulting Underwriters, or in such other proportions as you may specify, to purchase the Offered ADSs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Offered ADSs that any Underwriter has agreed to purchase pursuant to this Agreement be increased pursuant to this Section 9 by an amount in excess of one ninth of such number of Offered ADSs without the written consent of such Underwriter. If, on the Closing Date, any Underwriter or Underwriters shall fail or refuse to purchase Firm ADSs and the aggregate number of Firm ADSs with respect to which such default occurs is more than one tenth of the aggregate number of Firm ADSs to be purchased on such date, and arrangements satisfactory to you (excluding any defaulting Underwriter) and the Company for the purchase of such Firm ADSs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Pre-Pricing Prospectus, in the Prospectus or in any other documents or arrangements may be effected. If, on an Option Closing Date, any Underwriter or Underwriters shall fail or refuse to purchase Optional ADSs and the aggregate number of Optional ADSs with respect to which such default occurs is more than one tenth of the aggregate number of Optional ADSs to be purchased on such Option Closing Date, the non-defaulting Underwriters shall have the option to (i) terminate their obligation hereunder to purchase the Optional ADSs to be sold on such Option Closing Date or (ii) purchase not less than the number of Optional ADSs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69" w:right="439" w:bottom="1440" w:gutter="0" w:footer="0" w:header="0"/>
        </w:sectPr>
      </w:pPr>
    </w:p>
    <w:bookmarkStart w:id="493" w:name="page494"/>
    <w:bookmarkEnd w:id="4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left="280" w:hanging="276"/>
        <w:spacing w:after="0"/>
        <w:tabs>
          <w:tab w:leader="none" w:pos="280" w:val="left"/>
        </w:tabs>
        <w:numPr>
          <w:ilvl w:val="0"/>
          <w:numId w:val="693"/>
        </w:numPr>
        <w:rPr>
          <w:rFonts w:ascii="Arial" w:cs="Arial" w:eastAsia="Arial" w:hAnsi="Arial"/>
          <w:sz w:val="18"/>
          <w:szCs w:val="18"/>
          <w:color w:val="auto"/>
        </w:rPr>
      </w:pPr>
      <w:r>
        <w:rPr>
          <w:rFonts w:ascii="Arial" w:cs="Arial" w:eastAsia="Arial" w:hAnsi="Arial"/>
          <w:sz w:val="18"/>
          <w:szCs w:val="18"/>
          <w:i w:val="1"/>
          <w:iCs w:val="1"/>
          <w:color w:val="auto"/>
        </w:rPr>
        <w:t>Indemnity and Contribution.</w:t>
      </w:r>
    </w:p>
    <w:p>
      <w:pPr>
        <w:spacing w:after="0" w:line="117" w:lineRule="exact"/>
        <w:rPr>
          <w:rFonts w:ascii="Arial" w:cs="Arial" w:eastAsia="Arial" w:hAnsi="Arial"/>
          <w:sz w:val="18"/>
          <w:szCs w:val="18"/>
          <w:color w:val="auto"/>
        </w:rPr>
      </w:pPr>
    </w:p>
    <w:p>
      <w:pPr>
        <w:ind w:firstLine="428"/>
        <w:spacing w:after="0" w:line="284" w:lineRule="auto"/>
        <w:tabs>
          <w:tab w:leader="none" w:pos="668" w:val="left"/>
        </w:tabs>
        <w:numPr>
          <w:ilvl w:val="1"/>
          <w:numId w:val="693"/>
        </w:numPr>
        <w:rPr>
          <w:rFonts w:ascii="Arial" w:cs="Arial" w:eastAsia="Arial" w:hAnsi="Arial"/>
          <w:sz w:val="16"/>
          <w:szCs w:val="16"/>
          <w:color w:val="auto"/>
        </w:rPr>
      </w:pPr>
      <w:r>
        <w:rPr>
          <w:rFonts w:ascii="Arial" w:cs="Arial" w:eastAsia="Arial" w:hAnsi="Arial"/>
          <w:sz w:val="16"/>
          <w:szCs w:val="16"/>
          <w:color w:val="auto"/>
        </w:rPr>
        <w:t>The Company Parties jointly and severally agree to indemnify, defend and hold harmless (on an after-tax basis) each Underwriter and any “affiliates” (within the meaning of Rule 405 under the Act) of any such Underwriter, their respective partners, directors, officers, employees and members and any person who controls any Underwriter within the meaning of Section 15 of the Act or Section 20 of the Exchange Act, and the successors and assigns of all of the foregoing persons, from and against any loss, damage, expense, liability or claim (including the reasonable cost of investigation) which, jointly or severally, any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the F-6 Registration Statement or arises out of or is based upon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contained in Other Information or arises out of or is based upon any omission or alleged omission to state a material fact in the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included in any Prospectus (the term Prospectus for the purpose of this Section 10 being deemed to include the Pre-Pricing Prospectus, the Prospectus and any amendments or supplements to the foregoing), in any Covered Free Writing Prospectus, in any “issuer information” (as defined in Rule 433 under the Act) of the Company, which “issuer information” is required to be, or is, filed with the Commission, or in any Prospectus together with any combination of one or more of the Covered Free Writing Prospectuses, if any, or arises out of or is based upon any omission or alleged omission to state a material fact necessary in order to make the statements therein, in the light of the circumstances under which they were made, not misleading, except, with respect to any such document, insofar as any such loss, damage, expense, liability or claim arises out of or is based upon any untrue statement or alleged untrue statement of a material fact contained in Other Information or arises out of or is based upon any omission or alleged omission to state a material fact in any such document in connection with such information, which material fact was not contained in such information and which material fact was necessary in order to make the statements in such information, in the light of the circumstances under which they were made, not misleading, and will reimburse each “indemnified party” (defined below) for any legal or other fees or expenses reasonably incurred by such indemnified party in connection with investigating or defending against any loss, damage, expense, liability, claim, action, litigation, investigation or proceeding whatsoever (whether or not such indemnified party is a party thereto), whether threatened or commenced, and in connection with the enforcement of this provision with respect to the above as such fees and expenses are incurred.</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880" w:top="270" w:right="439"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286" w:lineRule="auto"/>
        <w:tabs>
          <w:tab w:leader="none" w:pos="678" w:val="left"/>
        </w:tabs>
        <w:numPr>
          <w:ilvl w:val="0"/>
          <w:numId w:val="694"/>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Parties, their respective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contained in, and in conformity with information concerning such Underwriter, furnished in writing by or on behalf of such Underwriter to the Company expressly for use in, the Registration Statement (or in the Registration Statement as amended by any post-effective amendment thereof by the Company), or arises out of or is based upon any omission or alleged omission to state a material fact in such Registration Statement in connection with such information, which material fact was not contained in such information and which material fact was required to be stated in such Registration Statement or was necessary to make such information not misleading or (ii) any untrue statement or alleged untrue statement of a material fact contained in, and in conformity with information concerning such Underwriter furnished in writing by or on behalf of such Underwriter to the Company expressly for use in, any Prospectus or any Permitted Free Writing Prospectus, or arises out of or is based upon any omission or alleged omission to state a material fact in any such document in connection with such information, which material fact was not contained in such information and which material fact was necessary in order to make the statements in such information, in the light of the circumstances under which they were made, not misleading.</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80"/>
          </w:cols>
          <w:pgMar w:left="880" w:top="270" w:right="439" w:bottom="1440" w:gutter="0" w:footer="0" w:header="0"/>
        </w:sectPr>
      </w:pPr>
    </w:p>
    <w:bookmarkStart w:id="495" w:name="page496"/>
    <w:bookmarkEnd w:id="4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ind w:firstLine="428"/>
        <w:spacing w:after="0" w:line="266" w:lineRule="auto"/>
        <w:tabs>
          <w:tab w:leader="none" w:pos="668" w:val="left"/>
        </w:tabs>
        <w:numPr>
          <w:ilvl w:val="0"/>
          <w:numId w:val="695"/>
        </w:numPr>
        <w:rPr>
          <w:rFonts w:ascii="Arial" w:cs="Arial" w:eastAsia="Arial" w:hAnsi="Arial"/>
          <w:sz w:val="17"/>
          <w:szCs w:val="17"/>
          <w:color w:val="auto"/>
        </w:rPr>
      </w:pPr>
      <w:r>
        <w:rPr>
          <w:rFonts w:ascii="Arial" w:cs="Arial" w:eastAsia="Arial" w:hAnsi="Arial"/>
          <w:sz w:val="17"/>
          <w:szCs w:val="17"/>
          <w:color w:val="auto"/>
        </w:rPr>
        <w:t>If any action, suit or proceeding (including any governmental investigation) (each, a “</w:t>
      </w:r>
      <w:r>
        <w:rPr>
          <w:rFonts w:ascii="Arial" w:cs="Arial" w:eastAsia="Arial" w:hAnsi="Arial"/>
          <w:sz w:val="17"/>
          <w:szCs w:val="17"/>
          <w:b w:val="1"/>
          <w:bCs w:val="1"/>
          <w:color w:val="auto"/>
        </w:rPr>
        <w:t>Proceeding</w:t>
      </w:r>
      <w:r>
        <w:rPr>
          <w:rFonts w:ascii="Arial" w:cs="Arial" w:eastAsia="Arial" w:hAnsi="Arial"/>
          <w:sz w:val="17"/>
          <w:szCs w:val="17"/>
          <w:color w:val="auto"/>
        </w:rPr>
        <w:t>”) is brought against a person (an “</w:t>
      </w:r>
      <w:r>
        <w:rPr>
          <w:rFonts w:ascii="Arial" w:cs="Arial" w:eastAsia="Arial" w:hAnsi="Arial"/>
          <w:sz w:val="17"/>
          <w:szCs w:val="17"/>
          <w:b w:val="1"/>
          <w:bCs w:val="1"/>
          <w:color w:val="auto"/>
        </w:rPr>
        <w:t>indemnified party</w:t>
      </w:r>
      <w:r>
        <w:rPr>
          <w:rFonts w:ascii="Arial" w:cs="Arial" w:eastAsia="Arial" w:hAnsi="Arial"/>
          <w:sz w:val="17"/>
          <w:szCs w:val="17"/>
          <w:color w:val="auto"/>
        </w:rPr>
        <w:t>”) in respect of which indemnity may be sought against the Company Parties or an Underwriter (as applicable, the “</w:t>
      </w:r>
      <w:r>
        <w:rPr>
          <w:rFonts w:ascii="Arial" w:cs="Arial" w:eastAsia="Arial" w:hAnsi="Arial"/>
          <w:sz w:val="17"/>
          <w:szCs w:val="17"/>
          <w:b w:val="1"/>
          <w:bCs w:val="1"/>
          <w:color w:val="auto"/>
        </w:rPr>
        <w:t>indemnifying party</w:t>
      </w:r>
      <w:r>
        <w:rPr>
          <w:rFonts w:ascii="Arial" w:cs="Arial" w:eastAsia="Arial" w:hAnsi="Arial"/>
          <w:sz w:val="17"/>
          <w:szCs w:val="17"/>
          <w:color w:val="auto"/>
        </w:rPr>
        <w:t xml:space="preserve">”) pursuant to subsection (a) or (b), respectively, of this Section 10, such indemnified party shall promptly notify such indemnifying party in writing of the institution of such Proceeding and such indemnifying party shall assume the defense of such Proceeding, including the retention of counsel reasonably satisfactory to such indemnified party, and pay all legal or other fees and expenses reasonably incurred related to such Proceeding or reasonably incurred in connection with such indemnified party’s enforcement of subsection of (a) or (b), respectively, of this Section 10;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omission to so notify such indemnifying party shall not relieve such indemnifying party from any liability that such indemnifying party may have to any indemnified party unless such omission results in the forfeiture by the indemnifying party of substantial rights and defenses. The indemnified party or parties shall have the right to retain its or their own counsel in any such case, but the fees and expenses of such counsel shall be at the expense of such indemnified party or parties unless (i) the retention of such counsel shall have been authorized in writing by the indemnifying party in connection with the defense of such Proceeding, (ii) the indemnifying party shall not have, within a reasonable period of time in light of the circumstances, retained counsel to defend such Proceeding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(in which case such indemnifying party shall not have the right to direct the defense of such Proceeding on behalf of the indemnified party or parties), in any of which events such fees and expenses of counsel reasonably incurred by the indemnified parties shall be borne by such indemnifying party and paid as incurred (it being understood, however, that such indemnifying party shall not be liable for the fees or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but, if settled with its written consent, such indemnifying party agrees to indemnify and hold harmless the indemnified party or parties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Section 10(c),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spacing w:after="0" w:line="1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80"/>
          </w:cols>
          <w:pgMar w:left="880" w:top="270" w:right="439" w:bottom="1440" w:gutter="0" w:footer="0" w:header="0"/>
        </w:sectPr>
      </w:pPr>
    </w:p>
    <w:bookmarkStart w:id="496" w:name="page497"/>
    <w:bookmarkEnd w:id="4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firstLine="428"/>
        <w:spacing w:after="0" w:line="267" w:lineRule="auto"/>
        <w:tabs>
          <w:tab w:leader="none" w:pos="678" w:val="left"/>
        </w:tabs>
        <w:numPr>
          <w:ilvl w:val="0"/>
          <w:numId w:val="696"/>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10 is unavailable to an indemnified party under subsections (a) and (b) of this Section 10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and the Underwriters from the sale of the Offered ADSs, or (ii) if the allocation provided by clause (i) above is not permitted by applicable law, in such proportion as is appropriate to reflect not only the relative benefits referred to in clause (i) above but also the relative fault of the Company Parties and the Underwriters in connection with the statements or omissions which resulted in such losses, damages, expenses, liabilities or claims, as well as any other relevant equitable considerations. The relative benefits received by the Company Parties and the Underwriters shall be deemed to be in the same respective proportions as the net proceeds from the offering of the Offered ADSs (before deducting expenses) received by the Company, and the total underwriting discounts and commissions received by the Underwriters, bear to the aggregate public offering price of the Offered ADSs issued in respect of the ADSs. The relative fault of the Company Parties and the Underwriters shall be determined by reference to, among other things, whether the untrue statement or alleged untrue statement of a material fact or omission or alleged omission relates to information supplied by the Company Parties or by the Underwriters and the parties’ relative intent, knowledge, access to information and opportunity to correct or prevent such statement or omission. The Underwriters’ respective obligations to contribute pursuant to this Section 10(d) are several in proportion to the respective number of Shares they have purchased hereunder, and not joint.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83" w:lineRule="exact"/>
        <w:rPr>
          <w:rFonts w:ascii="Arial" w:cs="Arial" w:eastAsia="Arial" w:hAnsi="Arial"/>
          <w:sz w:val="17"/>
          <w:szCs w:val="17"/>
          <w:color w:val="auto"/>
        </w:rPr>
      </w:pPr>
    </w:p>
    <w:p>
      <w:pPr>
        <w:ind w:right="20" w:firstLine="428"/>
        <w:spacing w:after="0" w:line="268" w:lineRule="auto"/>
        <w:tabs>
          <w:tab w:leader="none" w:pos="668" w:val="left"/>
        </w:tabs>
        <w:numPr>
          <w:ilvl w:val="0"/>
          <w:numId w:val="696"/>
        </w:numPr>
        <w:rPr>
          <w:rFonts w:ascii="Arial" w:cs="Arial" w:eastAsia="Arial" w:hAnsi="Arial"/>
          <w:sz w:val="17"/>
          <w:szCs w:val="17"/>
          <w:color w:val="auto"/>
        </w:rPr>
      </w:pPr>
      <w:r>
        <w:rPr>
          <w:rFonts w:ascii="Arial" w:cs="Arial" w:eastAsia="Arial" w:hAnsi="Arial"/>
          <w:sz w:val="17"/>
          <w:szCs w:val="17"/>
          <w:color w:val="auto"/>
        </w:rPr>
        <w:t>The Company Parties and the Underwriters agree that it would not be just and equitable if contribution pursuant to this Section 10 were determined by pro rata allocation (even if the Underwriters were treated as one entity for such purpose) or by any other method of allocation that does not take account of the equitable considerations referred to in subsection (d) above. The amount paid or payable by an indemnified party as a result of the losses, claims, damages and liabilities referred to in Section 10(d)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purchase price at which the Offered ADSs underwritten by such Underwriter and distributed to the public were purchased by such Underwriter pursuant to Section 1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remedies provided for in this Section 10 are not exclusive and shall not limit any rights or remedies which may otherwise be available to any indemnified party at law or in equity. The Underwriters’ obligations to contribute pursuant to this Section 10 are several in proportion to their respective underwriting commitments and not joint.</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80"/>
          </w:cols>
          <w:pgMar w:left="880" w:top="269" w:right="439" w:bottom="1440" w:gutter="0" w:footer="0" w:header="0"/>
        </w:sectPr>
      </w:pPr>
    </w:p>
    <w:bookmarkStart w:id="497" w:name="page498"/>
    <w:bookmarkEnd w:id="4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left="440" w:right="20" w:firstLine="428"/>
        <w:spacing w:after="0" w:line="289" w:lineRule="auto"/>
        <w:tabs>
          <w:tab w:leader="none" w:pos="1088" w:val="left"/>
        </w:tabs>
        <w:numPr>
          <w:ilvl w:val="1"/>
          <w:numId w:val="697"/>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10 and the covenants, warranties and representations of the Company Parties contained in this Agreement shall remain in full force and effect regardless of any investigation made by or on behalf of any Underwriter or their respective partners, agents, directors, officers or members or any person (including each partner, officer, director or member of such person) who controls any Underwriter within the meaning of Section 15 of the Act or Section 20 of the Exchange Act, or by or on behalf of the Company, its directors or officers or any person who controls the Company within the meaning of Section 15 of the Act or Section 20 of the Exchange Act, and shall survive any termination of this Agreement or the delivery of the Offered ADSs to be sold pursuant hereto. The Company Parties and each Underwriter agree promptly to notify each other of the commencement of any Proceeding against it and, in the case of the Company Parties, against any of their respective officers or directors in connection with the issuance and sale of the Offered ADSs, or in connection with the Registration Statement, any Pre-Pricing Prospectus, the Prospectus or any Permitted Free Writing Prospectus.</w:t>
      </w:r>
    </w:p>
    <w:p>
      <w:pPr>
        <w:spacing w:after="0" w:line="58" w:lineRule="exact"/>
        <w:rPr>
          <w:rFonts w:ascii="Arial" w:cs="Arial" w:eastAsia="Arial" w:hAnsi="Arial"/>
          <w:sz w:val="16"/>
          <w:szCs w:val="16"/>
          <w:color w:val="auto"/>
        </w:rPr>
      </w:pPr>
    </w:p>
    <w:p>
      <w:pPr>
        <w:ind w:right="120" w:firstLine="444"/>
        <w:spacing w:after="0" w:line="259" w:lineRule="auto"/>
        <w:tabs>
          <w:tab w:leader="none" w:pos="704" w:val="left"/>
        </w:tabs>
        <w:numPr>
          <w:ilvl w:val="0"/>
          <w:numId w:val="698"/>
        </w:numPr>
        <w:rPr>
          <w:rFonts w:ascii="Arial" w:cs="Arial" w:eastAsia="Arial" w:hAnsi="Arial"/>
          <w:sz w:val="18"/>
          <w:szCs w:val="18"/>
          <w:color w:val="auto"/>
        </w:rPr>
      </w:pPr>
      <w:r>
        <w:rPr>
          <w:rFonts w:ascii="Arial" w:cs="Arial" w:eastAsia="Arial" w:hAnsi="Arial"/>
          <w:sz w:val="18"/>
          <w:szCs w:val="18"/>
          <w:i w:val="1"/>
          <w:iCs w:val="1"/>
          <w:color w:val="auto"/>
        </w:rPr>
        <w:t>Information Furnished by the Underwriters</w:t>
      </w:r>
      <w:r>
        <w:rPr>
          <w:rFonts w:ascii="Arial" w:cs="Arial" w:eastAsia="Arial" w:hAnsi="Arial"/>
          <w:sz w:val="18"/>
          <w:szCs w:val="18"/>
          <w:color w:val="auto"/>
        </w:rPr>
        <w:t>. The names of the Underwriters set forth on the cover page and the “Underwriting” section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the concession and reallowance figures or to stabilization activities appearing in the fifth and twelfth paragraphs in the “Underwriting” section of the Prospectus, constitute the only information furnished by or on behalf of the Underwriters, as such information is referred to in Sections 4 and 10 hereof.</w:t>
      </w:r>
    </w:p>
    <w:p>
      <w:pPr>
        <w:spacing w:after="0" w:line="78" w:lineRule="exact"/>
        <w:rPr>
          <w:rFonts w:ascii="Arial" w:cs="Arial" w:eastAsia="Arial" w:hAnsi="Arial"/>
          <w:sz w:val="18"/>
          <w:szCs w:val="18"/>
          <w:color w:val="auto"/>
        </w:rPr>
      </w:pPr>
    </w:p>
    <w:p>
      <w:pPr>
        <w:ind w:right="180" w:firstLine="444"/>
        <w:spacing w:after="0" w:line="277" w:lineRule="auto"/>
        <w:tabs>
          <w:tab w:leader="none" w:pos="711" w:val="left"/>
        </w:tabs>
        <w:numPr>
          <w:ilvl w:val="0"/>
          <w:numId w:val="698"/>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Except as otherwise herein provided, all statements, requests, notices and agreements shall be in writing or by telegram or facsimile</w:t>
      </w:r>
      <w:r>
        <w:rPr>
          <w:rFonts w:ascii="Arial" w:cs="Arial" w:eastAsia="Arial" w:hAnsi="Arial"/>
          <w:sz w:val="18"/>
          <w:szCs w:val="18"/>
          <w:i w:val="1"/>
          <w:iCs w:val="1"/>
          <w:color w:val="auto"/>
        </w:rPr>
        <w:t xml:space="preserve"> </w:t>
      </w:r>
      <w:r>
        <w:rPr>
          <w:rFonts w:ascii="Arial" w:cs="Arial" w:eastAsia="Arial" w:hAnsi="Arial"/>
          <w:sz w:val="18"/>
          <w:szCs w:val="18"/>
          <w:color w:val="auto"/>
        </w:rPr>
        <w:t>and, if to the Representatives, shall be sufficient in all respects if delivered or sent to:</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Equity Capital Markets – Syndicate Desk</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10005, United States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10010, United States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69" w:right="439" w:bottom="1440" w:gutter="0" w:footer="0" w:header="0"/>
        </w:sectPr>
      </w:pPr>
    </w:p>
    <w:bookmarkStart w:id="498" w:name="page499"/>
    <w:bookmarkEnd w:id="4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25 Cabot Square, Canary Wharf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London E14 4QA England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Parties shall be sufficient in all respects if delivered or sent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 Company Secretary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Studio City International Holdings Limited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36 Floor, The Centrium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Central, Hong Kong</w:t>
      </w:r>
    </w:p>
    <w:p>
      <w:pPr>
        <w:spacing w:after="0" w:line="103" w:lineRule="exact"/>
        <w:rPr>
          <w:sz w:val="20"/>
          <w:szCs w:val="20"/>
          <w:color w:val="auto"/>
        </w:rPr>
      </w:pPr>
    </w:p>
    <w:p>
      <w:pPr>
        <w:ind w:right="120" w:firstLine="444"/>
        <w:spacing w:after="0" w:line="259" w:lineRule="auto"/>
        <w:tabs>
          <w:tab w:leader="none" w:pos="711" w:val="left"/>
        </w:tabs>
        <w:numPr>
          <w:ilvl w:val="0"/>
          <w:numId w:val="699"/>
        </w:numPr>
        <w:rPr>
          <w:rFonts w:ascii="Arial" w:cs="Arial" w:eastAsia="Arial" w:hAnsi="Arial"/>
          <w:sz w:val="18"/>
          <w:szCs w:val="18"/>
          <w:color w:val="auto"/>
        </w:rPr>
      </w:pPr>
      <w:r>
        <w:rPr>
          <w:rFonts w:ascii="Arial" w:cs="Arial" w:eastAsia="Arial" w:hAnsi="Arial"/>
          <w:sz w:val="18"/>
          <w:szCs w:val="18"/>
          <w:color w:val="auto"/>
        </w:rPr>
        <w:t>Notwithstanding and to the exclusion of any other term of this Agreement or any other agreements, arrangements, or understanding between Morgan Stanley &amp; Co. International plc (“</w:t>
      </w:r>
      <w:r>
        <w:rPr>
          <w:rFonts w:ascii="Arial" w:cs="Arial" w:eastAsia="Arial" w:hAnsi="Arial"/>
          <w:sz w:val="18"/>
          <w:szCs w:val="18"/>
          <w:b w:val="1"/>
          <w:bCs w:val="1"/>
          <w:color w:val="auto"/>
        </w:rPr>
        <w:t>MSIP</w:t>
      </w:r>
      <w:r>
        <w:rPr>
          <w:rFonts w:ascii="Arial" w:cs="Arial" w:eastAsia="Arial" w:hAnsi="Arial"/>
          <w:sz w:val="18"/>
          <w:szCs w:val="18"/>
          <w:color w:val="auto"/>
        </w:rPr>
        <w:t>”) and other parties hereto, each of such other parties acknowledges and accepts that a BRRD Liability arising under this Agreement may be subject to the exercise of Bail-in Powers by the Relevant Resolution Authority, and acknowledges, accepts, and agrees to be bound by:</w:t>
      </w:r>
    </w:p>
    <w:p>
      <w:pPr>
        <w:spacing w:after="0" w:line="79"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(A). the effect of the exercise of Bail-in Powers by the Relevant Resolution Authority in relation to any BRRD Liability of MSIP to the other parties hereto under this agreement, that (without limitation) may include and result in any of the following, or some combination thereof:</w:t>
      </w:r>
    </w:p>
    <w:p>
      <w:pPr>
        <w:spacing w:after="0" w:line="16" w:lineRule="exact"/>
        <w:rPr>
          <w:sz w:val="20"/>
          <w:szCs w:val="20"/>
          <w:color w:val="auto"/>
        </w:rPr>
      </w:pPr>
    </w:p>
    <w:p>
      <w:pPr>
        <w:ind w:left="1140" w:hanging="255"/>
        <w:spacing w:after="0"/>
        <w:tabs>
          <w:tab w:leader="none" w:pos="114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reduction of all, or a portion, of the BRRD Liability or outstanding amounts due thereon;</w:t>
      </w:r>
    </w:p>
    <w:p>
      <w:pPr>
        <w:spacing w:after="0" w:line="117" w:lineRule="exact"/>
        <w:rPr>
          <w:rFonts w:ascii="Arial" w:cs="Arial" w:eastAsia="Arial" w:hAnsi="Arial"/>
          <w:sz w:val="18"/>
          <w:szCs w:val="18"/>
          <w:color w:val="auto"/>
        </w:rPr>
      </w:pPr>
    </w:p>
    <w:p>
      <w:pPr>
        <w:ind w:firstLine="885"/>
        <w:spacing w:after="0" w:line="277" w:lineRule="auto"/>
        <w:tabs>
          <w:tab w:leader="none" w:pos="113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conversion of all, or a portion, of the BRRD Liability into shares, other securities or other obligations of MSIP or another person, and the issue to or conferral on such other parties hereto of such shares, securities or obligations;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cancellation of the BRRD Liability;</w:t>
      </w:r>
    </w:p>
    <w:p>
      <w:pPr>
        <w:spacing w:after="0" w:line="117" w:lineRule="exact"/>
        <w:rPr>
          <w:rFonts w:ascii="Arial" w:cs="Arial" w:eastAsia="Arial" w:hAnsi="Arial"/>
          <w:sz w:val="18"/>
          <w:szCs w:val="18"/>
          <w:color w:val="auto"/>
        </w:rPr>
      </w:pPr>
    </w:p>
    <w:p>
      <w:pPr>
        <w:ind w:right="20" w:firstLine="885"/>
        <w:spacing w:after="0" w:line="277" w:lineRule="auto"/>
        <w:tabs>
          <w:tab w:leader="none" w:pos="113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amendment or alteration of any interest, if applicable, thereon, the maturity or the dates on which any payments are due, including by suspending payment for a temporary period;</w:t>
      </w:r>
    </w:p>
    <w:p>
      <w:pPr>
        <w:spacing w:after="0" w:line="62"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(B). the variation of the terms of this Agreement, as deemed necessary by the Relevant Resolution Authority, to give effect to the exercise of Bail-in Powers by the Relevant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Section 13:</w:t>
      </w:r>
    </w:p>
    <w:p>
      <w:pPr>
        <w:spacing w:after="0" w:line="113"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499" w:name="page500"/>
    <w:bookmarkEnd w:id="499"/>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ind w:right="10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Powers</w:t>
      </w:r>
      <w:r>
        <w:rPr>
          <w:rFonts w:ascii="Arial" w:cs="Arial" w:eastAsia="Arial" w:hAnsi="Arial"/>
          <w:sz w:val="18"/>
          <w:szCs w:val="18"/>
          <w:color w:val="auto"/>
        </w:rPr>
        <w:t>” means the powers under the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BRRD Liability</w:t>
      </w:r>
      <w:r>
        <w:rPr>
          <w:rFonts w:ascii="Arial" w:cs="Arial" w:eastAsia="Arial" w:hAnsi="Arial"/>
          <w:sz w:val="18"/>
          <w:szCs w:val="18"/>
          <w:color w:val="auto"/>
        </w:rPr>
        <w:t>” means a liability in respect of which the relevant Bail-in Powers may be exercised.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Resolution Authority</w:t>
      </w:r>
      <w:r>
        <w:rPr>
          <w:rFonts w:ascii="Arial" w:cs="Arial" w:eastAsia="Arial" w:hAnsi="Arial"/>
          <w:sz w:val="18"/>
          <w:szCs w:val="18"/>
          <w:color w:val="auto"/>
        </w:rPr>
        <w:t>” means the resolution authority with the ability to exercise any Bail-in Powers in relation to MSIP.</w:t>
      </w:r>
    </w:p>
    <w:p>
      <w:pPr>
        <w:spacing w:after="0" w:line="121" w:lineRule="exact"/>
        <w:rPr>
          <w:sz w:val="20"/>
          <w:szCs w:val="20"/>
          <w:color w:val="auto"/>
        </w:rPr>
      </w:pPr>
    </w:p>
    <w:p>
      <w:pPr>
        <w:ind w:right="240" w:firstLine="444"/>
        <w:spacing w:after="0" w:line="259" w:lineRule="auto"/>
        <w:tabs>
          <w:tab w:leader="none" w:pos="711" w:val="left"/>
        </w:tabs>
        <w:numPr>
          <w:ilvl w:val="0"/>
          <w:numId w:val="701"/>
        </w:numPr>
        <w:rPr>
          <w:rFonts w:ascii="Arial" w:cs="Arial" w:eastAsia="Arial" w:hAnsi="Arial"/>
          <w:sz w:val="18"/>
          <w:szCs w:val="18"/>
          <w:color w:val="auto"/>
        </w:rPr>
      </w:pPr>
      <w:r>
        <w:rPr>
          <w:rFonts w:ascii="Arial" w:cs="Arial" w:eastAsia="Arial" w:hAnsi="Arial"/>
          <w:sz w:val="18"/>
          <w:szCs w:val="18"/>
          <w:i w:val="1"/>
          <w:iCs w:val="1"/>
          <w:color w:val="auto"/>
        </w:rPr>
        <w:t>Governing Law; Construction</w:t>
      </w:r>
      <w:r>
        <w:rPr>
          <w:rFonts w:ascii="Arial" w:cs="Arial" w:eastAsia="Arial" w:hAnsi="Arial"/>
          <w:sz w:val="18"/>
          <w:szCs w:val="18"/>
          <w:color w:val="auto"/>
        </w:rPr>
        <w:t>. This Agreement and any claim, counterclaim or dispute of any kind or nature whatsoever arising out of or in</w:t>
      </w:r>
      <w:r>
        <w:rPr>
          <w:rFonts w:ascii="Arial" w:cs="Arial" w:eastAsia="Arial" w:hAnsi="Arial"/>
          <w:sz w:val="18"/>
          <w:szCs w:val="18"/>
          <w:i w:val="1"/>
          <w:iCs w:val="1"/>
          <w:color w:val="auto"/>
        </w:rPr>
        <w:t xml:space="preserve"> </w:t>
      </w:r>
      <w:r>
        <w:rPr>
          <w:rFonts w:ascii="Arial" w:cs="Arial" w:eastAsia="Arial" w:hAnsi="Arial"/>
          <w:sz w:val="18"/>
          <w:szCs w:val="18"/>
          <w:color w:val="auto"/>
        </w:rPr>
        <w:t>any way relating to this Agreement (“</w:t>
      </w:r>
      <w:r>
        <w:rPr>
          <w:rFonts w:ascii="Arial" w:cs="Arial" w:eastAsia="Arial" w:hAnsi="Arial"/>
          <w:sz w:val="18"/>
          <w:szCs w:val="18"/>
          <w:b w:val="1"/>
          <w:bCs w:val="1"/>
          <w:color w:val="auto"/>
        </w:rPr>
        <w:t>Claim</w:t>
      </w:r>
      <w:r>
        <w:rPr>
          <w:rFonts w:ascii="Arial" w:cs="Arial" w:eastAsia="Arial" w:hAnsi="Arial"/>
          <w:sz w:val="18"/>
          <w:szCs w:val="18"/>
          <w:color w:val="auto"/>
        </w:rPr>
        <w:t>”), directly or indirectly, shall be governed by, and construed in accordance with, the laws of the State of New York without regard to the conflicts of law principles thereof. The section headings in this Agreement have been inserted as a matter of convenience of reference and are not a part of this Agreement.</w:t>
      </w:r>
    </w:p>
    <w:p>
      <w:pPr>
        <w:spacing w:after="0" w:line="78" w:lineRule="exact"/>
        <w:rPr>
          <w:rFonts w:ascii="Arial" w:cs="Arial" w:eastAsia="Arial" w:hAnsi="Arial"/>
          <w:sz w:val="18"/>
          <w:szCs w:val="18"/>
          <w:color w:val="auto"/>
        </w:rPr>
      </w:pPr>
    </w:p>
    <w:p>
      <w:pPr>
        <w:ind w:firstLine="444"/>
        <w:spacing w:after="0" w:line="270" w:lineRule="auto"/>
        <w:tabs>
          <w:tab w:leader="none" w:pos="711" w:val="left"/>
        </w:tabs>
        <w:numPr>
          <w:ilvl w:val="0"/>
          <w:numId w:val="701"/>
        </w:numPr>
        <w:rPr>
          <w:rFonts w:ascii="Arial" w:cs="Arial" w:eastAsia="Arial" w:hAnsi="Arial"/>
          <w:sz w:val="17"/>
          <w:szCs w:val="17"/>
          <w:color w:val="auto"/>
        </w:rPr>
      </w:pPr>
      <w:r>
        <w:rPr>
          <w:rFonts w:ascii="Arial" w:cs="Arial" w:eastAsia="Arial" w:hAnsi="Arial"/>
          <w:sz w:val="17"/>
          <w:szCs w:val="17"/>
          <w:i w:val="1"/>
          <w:iCs w:val="1"/>
          <w:color w:val="auto"/>
        </w:rPr>
        <w:t>Submission to Jurisdiction</w:t>
      </w:r>
      <w:r>
        <w:rPr>
          <w:rFonts w:ascii="Arial" w:cs="Arial" w:eastAsia="Arial" w:hAnsi="Arial"/>
          <w:sz w:val="17"/>
          <w:szCs w:val="17"/>
          <w:color w:val="auto"/>
        </w:rPr>
        <w:t>. The Company Parties hereby irrevocably designate Cogency Global Inc., as agent upon whom process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Parties may be served.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exclusive jurisdiction over the adjudication of such matters, and the Company Parties consent to the personal jurisdiction of such courts. Each Underwriter and the Company Parties (on its behalf and, to the extent permitted by applicable law, on behalf of its stockholders and affiliates) is not an individual, to the extent permitted by applicable law, on behalf of its stockholders and affiliates) each waive all right to trial by jury in any action, proceeding or counterclaim (whether based upon contract, tort or otherwise) in any way arising out of or relating to this Agreement. The Company Parties agree that a final judgment in any such action, proceeding or counterclaim brought in any such court shall be conclusive and binding upon the Company Parties and may be enforced in any other courts to the jurisdiction of which each of the Company Parties is or may be subject, by suit upon such judgment.</w:t>
      </w:r>
    </w:p>
    <w:p>
      <w:pPr>
        <w:spacing w:after="0" w:line="69" w:lineRule="exact"/>
        <w:rPr>
          <w:rFonts w:ascii="Arial" w:cs="Arial" w:eastAsia="Arial" w:hAnsi="Arial"/>
          <w:sz w:val="17"/>
          <w:szCs w:val="17"/>
          <w:color w:val="auto"/>
        </w:rPr>
      </w:pPr>
    </w:p>
    <w:p>
      <w:pPr>
        <w:ind w:right="40" w:firstLine="444"/>
        <w:spacing w:after="0" w:line="270" w:lineRule="auto"/>
        <w:tabs>
          <w:tab w:leader="none" w:pos="711" w:val="left"/>
        </w:tabs>
        <w:numPr>
          <w:ilvl w:val="0"/>
          <w:numId w:val="701"/>
        </w:numPr>
        <w:rPr>
          <w:rFonts w:ascii="Arial" w:cs="Arial" w:eastAsia="Arial" w:hAnsi="Arial"/>
          <w:sz w:val="17"/>
          <w:szCs w:val="17"/>
          <w:color w:val="auto"/>
        </w:rPr>
      </w:pPr>
      <w:r>
        <w:rPr>
          <w:rFonts w:ascii="Arial" w:cs="Arial" w:eastAsia="Arial" w:hAnsi="Arial"/>
          <w:sz w:val="17"/>
          <w:szCs w:val="17"/>
          <w:i w:val="1"/>
          <w:iCs w:val="1"/>
          <w:color w:val="auto"/>
        </w:rPr>
        <w:t xml:space="preserve">Judgment Currency. </w:t>
      </w:r>
      <w:r>
        <w:rPr>
          <w:rFonts w:ascii="Arial" w:cs="Arial" w:eastAsia="Arial" w:hAnsi="Arial"/>
          <w:sz w:val="17"/>
          <w:szCs w:val="17"/>
          <w:color w:val="auto"/>
        </w:rPr>
        <w:t>The obligations of Company Parties in respect of any sum due by each of it to any Underwriter under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notwithstanding any judgment in a currency other than U.S. dollars or any other applicable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Parties agree, each as separate obligations and notwithstanding any such judgment, to indemnify such Underwriter against such loss. If the U.S. dollars or other applicable currency so purchased are greater than the sum originally due to such Underwriter hereunder, such Underwriter agrees to pay to the Company Parties, as the case may be, an amount equal to the excess of the U.S. dollars or other applicable currency so purchased over the sum originally due to such Underwriter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500" w:name="page501"/>
    <w:bookmarkEnd w:id="5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jc w:val="both"/>
        <w:ind w:right="20" w:firstLine="444"/>
        <w:spacing w:after="0" w:line="302" w:lineRule="auto"/>
        <w:tabs>
          <w:tab w:leader="none" w:pos="711" w:val="left"/>
        </w:tabs>
        <w:numPr>
          <w:ilvl w:val="0"/>
          <w:numId w:val="702"/>
        </w:numPr>
        <w:rPr>
          <w:rFonts w:ascii="Arial" w:cs="Arial" w:eastAsia="Arial" w:hAnsi="Arial"/>
          <w:sz w:val="16"/>
          <w:szCs w:val="16"/>
          <w:color w:val="auto"/>
        </w:rPr>
      </w:pPr>
      <w:r>
        <w:rPr>
          <w:rFonts w:ascii="Arial" w:cs="Arial" w:eastAsia="Arial" w:hAnsi="Arial"/>
          <w:sz w:val="16"/>
          <w:szCs w:val="16"/>
          <w:i w:val="1"/>
          <w:iCs w:val="1"/>
          <w:color w:val="auto"/>
        </w:rPr>
        <w:t>Parties at Interest</w:t>
      </w:r>
      <w:r>
        <w:rPr>
          <w:rFonts w:ascii="Arial" w:cs="Arial" w:eastAsia="Arial" w:hAnsi="Arial"/>
          <w:sz w:val="16"/>
          <w:szCs w:val="16"/>
          <w:color w:val="auto"/>
        </w:rPr>
        <w:t>. The Agreement herein set forth has been and is made solely for the benefit of the Underwriters, the Company Parties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provided in Section 10 hereof the controlling persons, partners, directors, officers, members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46" w:lineRule="exact"/>
        <w:rPr>
          <w:rFonts w:ascii="Arial" w:cs="Arial" w:eastAsia="Arial" w:hAnsi="Arial"/>
          <w:sz w:val="16"/>
          <w:szCs w:val="16"/>
          <w:color w:val="auto"/>
        </w:rPr>
      </w:pPr>
    </w:p>
    <w:p>
      <w:pPr>
        <w:ind w:right="60" w:firstLine="444"/>
        <w:spacing w:after="0" w:line="285" w:lineRule="auto"/>
        <w:tabs>
          <w:tab w:leader="none" w:pos="711" w:val="left"/>
        </w:tabs>
        <w:numPr>
          <w:ilvl w:val="0"/>
          <w:numId w:val="702"/>
        </w:numPr>
        <w:rPr>
          <w:rFonts w:ascii="Arial" w:cs="Arial" w:eastAsia="Arial" w:hAnsi="Arial"/>
          <w:sz w:val="16"/>
          <w:szCs w:val="16"/>
          <w:color w:val="auto"/>
        </w:rPr>
      </w:pPr>
      <w:r>
        <w:rPr>
          <w:rFonts w:ascii="Arial" w:cs="Arial" w:eastAsia="Arial" w:hAnsi="Arial"/>
          <w:sz w:val="16"/>
          <w:szCs w:val="16"/>
          <w:i w:val="1"/>
          <w:iCs w:val="1"/>
          <w:color w:val="auto"/>
        </w:rPr>
        <w:t>No Fiduciary Relationship</w:t>
      </w:r>
      <w:r>
        <w:rPr>
          <w:rFonts w:ascii="Arial" w:cs="Arial" w:eastAsia="Arial" w:hAnsi="Arial"/>
          <w:sz w:val="16"/>
          <w:szCs w:val="16"/>
          <w:color w:val="auto"/>
        </w:rPr>
        <w:t>. The Company Parties hereby acknowledge that the Underwriters are acting solely as underwriters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purchase and sale of the Company’s securities. The Company Parties further acknowledge that the Underwriters are acting pursuant to a contractual relationship created solely by this Agreement entered into on an arm’s length basis, and in no event do the parties intend that the Underwriters act or be responsible as a fiduciary to the Company Parties, their respective management, shareholders or creditors or any other person in connection with any activity that the Underwriters may undertake or have undertaken in furtherance of the purchase and sale of the Company’s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Parties hereby confirm their understanding and agreement to that effect. The Company Parties and the Underwriters agree that they are each responsible for making their own independent judgments with respect to any such transactions and that any opinions or views expressed by the Underwriters to the Company Parties regarding such transactions, including, but not limited to, any opinions or views with respect to the price or market for the Company’s securities, do not constitute advice or recommendations to the Company Parties. The Company Parties and the Underwriters agree that the Underwriters are acting as principal and not the agent or fiduciary of the Company Parties, and no Underwriter has assumed, and none of them will assume, any advisory responsibility in favor of the Company with respect to the transactions contemplated hereby or the process leading thereto (irrespective of whether any Underwriter has advised or is currently advising the Company on other matters). The Company Parties hereby waive and release, to the fullest extent permitted by law, any claims that the Company Parties may have against the Underwriters with respect to any breach or alleged breach of any fiduciary, advisory or similar duty to the Company Parties in connection with the transactions contemplated by this Agreement or any matters leading up to such transactions.</w:t>
      </w:r>
    </w:p>
    <w:p>
      <w:pPr>
        <w:spacing w:after="0" w:line="285" w:lineRule="exact"/>
        <w:rPr>
          <w:rFonts w:ascii="Arial" w:cs="Arial" w:eastAsia="Arial" w:hAnsi="Arial"/>
          <w:sz w:val="16"/>
          <w:szCs w:val="16"/>
          <w:color w:val="auto"/>
        </w:rPr>
      </w:pPr>
    </w:p>
    <w:p>
      <w:pPr>
        <w:ind w:right="420" w:firstLine="444"/>
        <w:spacing w:after="0" w:line="277" w:lineRule="auto"/>
        <w:tabs>
          <w:tab w:leader="none" w:pos="711" w:val="left"/>
        </w:tabs>
        <w:numPr>
          <w:ilvl w:val="0"/>
          <w:numId w:val="702"/>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by the parties in one or more counterparts which together shall constitute one and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among the parties.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69" w:right="43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280" w:firstLine="444"/>
        <w:spacing w:after="0" w:line="342" w:lineRule="auto"/>
        <w:tabs>
          <w:tab w:leader="none" w:pos="711" w:val="left"/>
        </w:tabs>
        <w:numPr>
          <w:ilvl w:val="0"/>
          <w:numId w:val="703"/>
        </w:numPr>
        <w:rPr>
          <w:rFonts w:ascii="Arial" w:cs="Arial" w:eastAsia="Arial" w:hAnsi="Arial"/>
          <w:sz w:val="16"/>
          <w:szCs w:val="16"/>
          <w:color w:val="auto"/>
        </w:rPr>
      </w:pPr>
      <w:r>
        <w:rPr>
          <w:rFonts w:ascii="Arial" w:cs="Arial" w:eastAsia="Arial" w:hAnsi="Arial"/>
          <w:sz w:val="16"/>
          <w:szCs w:val="16"/>
          <w:i w:val="1"/>
          <w:iCs w:val="1"/>
          <w:color w:val="auto"/>
        </w:rPr>
        <w:t>Successors and Assigns</w:t>
      </w:r>
      <w:r>
        <w:rPr>
          <w:rFonts w:ascii="Arial" w:cs="Arial" w:eastAsia="Arial" w:hAnsi="Arial"/>
          <w:sz w:val="16"/>
          <w:szCs w:val="16"/>
          <w:color w:val="auto"/>
        </w:rPr>
        <w:t>. This Agreement shall be binding upon the Underwriters and the Company Parties and their successors and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successor or assign of any substantial portion of the Company Parties’ and any of the Underwriters’ respective businesses and/or assets.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69" w:right="439" w:bottom="1440" w:gutter="0" w:footer="0" w:header="0"/>
        </w:sectPr>
      </w:pPr>
    </w:p>
    <w:bookmarkStart w:id="502" w:name="page503"/>
    <w:bookmarkEnd w:id="502"/>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the understanding among the Company Parties and the several Underwriters, please so indicate in the space provided below for that purpose, whereupon this Agreement and your acceptance shall constitute a binding agreement among the Company Parties and the Underwriters, severally.</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Agreed and accepted, as of the date first written above,</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INTERNATIONAL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HOLDINGS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WINKLER, Evan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WINKLER, Evan Andrew</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900"/>
          </w:cols>
          <w:pgMar w:left="440" w:top="274" w:right="559" w:bottom="1440" w:gutter="0" w:footer="0" w:header="0"/>
        </w:sectPr>
      </w:pPr>
    </w:p>
    <w:bookmarkStart w:id="503" w:name="page504"/>
    <w:bookmarkEnd w:id="50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MSC COTAI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CHEUNG, Stephanie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jc w:val="right"/>
        <w:ind w:right="959"/>
        <w:spacing w:after="0"/>
        <w:rPr>
          <w:sz w:val="20"/>
          <w:szCs w:val="20"/>
          <w:color w:val="auto"/>
        </w:rPr>
      </w:pPr>
      <w:r>
        <w:rPr>
          <w:rFonts w:ascii="Arial" w:cs="Arial" w:eastAsia="Arial" w:hAnsi="Arial"/>
          <w:sz w:val="18"/>
          <w:szCs w:val="18"/>
          <w:color w:val="auto"/>
        </w:rPr>
        <w:t>Name: CHEUNG, Stephanie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Frank Windels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Frank Windels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Mark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Schwartz</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Teddy Swigert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Teddy Swigert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ind w:right="285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019"/>
          </w:cols>
          <w:pgMar w:left="440" w:top="273" w:right="1440"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MORGAN STANLEY &amp; CO. INTERNATIONAL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Robin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Robin Zhao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right"/>
        <w:ind w:right="285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019"/>
          </w:cols>
          <w:pgMar w:left="440" w:top="274" w:right="1440" w:bottom="1440" w:gutter="0" w:footer="0" w:header="0"/>
        </w:sectPr>
      </w:pPr>
    </w:p>
    <w:bookmarkStart w:id="507" w:name="page508"/>
    <w:bookmarkEnd w:id="5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EXECUTION VERSION</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60" w:type="dxa"/>
            <w:vAlign w:val="bottom"/>
            <w:gridSpan w:val="4"/>
          </w:tcPr>
          <w:p>
            <w:pPr>
              <w:ind w:left="20"/>
              <w:spacing w:after="0"/>
              <w:rPr>
                <w:sz w:val="20"/>
                <w:szCs w:val="20"/>
                <w:color w:val="auto"/>
              </w:rPr>
            </w:pPr>
            <w:r>
              <w:rPr>
                <w:rFonts w:ascii="Arial" w:cs="Arial" w:eastAsia="Arial" w:hAnsi="Arial"/>
                <w:sz w:val="18"/>
                <w:szCs w:val="18"/>
                <w:b w:val="1"/>
                <w:bCs w:val="1"/>
                <w:color w:val="auto"/>
              </w:rPr>
              <w:t>SCHEDULE A</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60" w:type="dxa"/>
            <w:vAlign w:val="bottom"/>
          </w:tcPr>
          <w:p>
            <w:pPr>
              <w:spacing w:after="0"/>
              <w:rPr>
                <w:sz w:val="24"/>
                <w:szCs w:val="24"/>
                <w:color w:val="auto"/>
              </w:rPr>
            </w:pPr>
          </w:p>
        </w:tc>
        <w:tc>
          <w:tcPr>
            <w:tcW w:w="18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Number of</w:t>
            </w:r>
          </w:p>
        </w:tc>
        <w:tc>
          <w:tcPr>
            <w:tcW w:w="16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Number of</w:t>
            </w:r>
          </w:p>
        </w:tc>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58"/>
        </w:trPr>
        <w:tc>
          <w:tcPr>
            <w:tcW w:w="404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800" w:type="dxa"/>
            <w:vAlign w:val="bottom"/>
            <w:gridSpan w:val="3"/>
          </w:tcPr>
          <w:p>
            <w:pPr>
              <w:jc w:val="center"/>
              <w:ind w:right="580"/>
              <w:spacing w:after="0" w:line="158" w:lineRule="exact"/>
              <w:rPr>
                <w:sz w:val="20"/>
                <w:szCs w:val="20"/>
                <w:color w:val="auto"/>
              </w:rPr>
            </w:pPr>
            <w:r>
              <w:rPr>
                <w:rFonts w:ascii="Arial" w:cs="Arial" w:eastAsia="Arial" w:hAnsi="Arial"/>
                <w:sz w:val="14"/>
                <w:szCs w:val="14"/>
                <w:b w:val="1"/>
                <w:bCs w:val="1"/>
                <w:color w:val="auto"/>
                <w:w w:val="92"/>
              </w:rPr>
              <w:t>Sponsor Firm ADSs</w:t>
            </w:r>
          </w:p>
        </w:tc>
        <w:tc>
          <w:tcPr>
            <w:tcW w:w="16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Public Firm ADSs</w:t>
            </w:r>
          </w:p>
        </w:tc>
        <w:tc>
          <w:tcPr>
            <w:tcW w:w="196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Firm 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SECURITIES INC.</w:t>
            </w: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14,163,944</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1,773,958</w:t>
            </w: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15,937,902</w:t>
            </w:r>
          </w:p>
        </w:tc>
        <w:tc>
          <w:tcPr>
            <w:tcW w:w="9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900" w:type="dxa"/>
            <w:vAlign w:val="bottom"/>
            <w:gridSpan w:val="3"/>
          </w:tcPr>
          <w:p>
            <w:pPr>
              <w:jc w:val="right"/>
              <w:ind w:right="20"/>
              <w:spacing w:after="0"/>
              <w:rPr>
                <w:sz w:val="20"/>
                <w:szCs w:val="20"/>
                <w:color w:val="auto"/>
              </w:rPr>
            </w:pPr>
            <w:r>
              <w:rPr>
                <w:rFonts w:ascii="Arial" w:cs="Arial" w:eastAsia="Arial" w:hAnsi="Arial"/>
                <w:sz w:val="18"/>
                <w:szCs w:val="18"/>
                <w:color w:val="auto"/>
              </w:rPr>
              <w:t>6,387,500</w:t>
            </w:r>
          </w:p>
        </w:tc>
        <w:tc>
          <w:tcPr>
            <w:tcW w:w="5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800,000</w:t>
            </w:r>
          </w:p>
        </w:tc>
        <w:tc>
          <w:tcPr>
            <w:tcW w:w="1020" w:type="dxa"/>
            <w:vAlign w:val="bottom"/>
          </w:tcPr>
          <w:p>
            <w:pPr>
              <w:jc w:val="right"/>
              <w:spacing w:after="0"/>
              <w:rPr>
                <w:sz w:val="20"/>
                <w:szCs w:val="20"/>
                <w:color w:val="auto"/>
              </w:rPr>
            </w:pPr>
            <w:r>
              <w:rPr>
                <w:rFonts w:ascii="Arial" w:cs="Arial" w:eastAsia="Arial" w:hAnsi="Arial"/>
                <w:sz w:val="18"/>
                <w:szCs w:val="18"/>
                <w:color w:val="auto"/>
              </w:rPr>
              <w:t>7,187,500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MORGAN STANLEY &amp; CO. INTERNATIONAL PLC</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3,832,500</w:t>
            </w:r>
          </w:p>
        </w:tc>
        <w:tc>
          <w:tcPr>
            <w:tcW w:w="5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4,312,500</w:t>
            </w:r>
          </w:p>
        </w:tc>
        <w:tc>
          <w:tcPr>
            <w:tcW w:w="9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gridSpan w:val="3"/>
          </w:tcPr>
          <w:p>
            <w:pPr>
              <w:spacing w:after="0"/>
              <w:rPr>
                <w:sz w:val="20"/>
                <w:szCs w:val="20"/>
                <w:color w:val="auto"/>
              </w:rPr>
            </w:pPr>
            <w:r>
              <w:rPr>
                <w:rFonts w:ascii="Arial" w:cs="Arial" w:eastAsia="Arial" w:hAnsi="Arial"/>
                <w:sz w:val="18"/>
                <w:szCs w:val="18"/>
                <w:color w:val="auto"/>
                <w:w w:val="98"/>
              </w:rPr>
              <w:t>BANK OF COMMUNICATIONS CO., LTD. MACAU</w:t>
            </w:r>
          </w:p>
        </w:tc>
        <w:tc>
          <w:tcPr>
            <w:tcW w:w="6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tcPr>
          <w:p>
            <w:pPr>
              <w:jc w:val="center"/>
              <w:ind w:right="2940"/>
              <w:spacing w:after="0"/>
              <w:rPr>
                <w:sz w:val="20"/>
                <w:szCs w:val="20"/>
                <w:color w:val="auto"/>
              </w:rPr>
            </w:pPr>
            <w:r>
              <w:rPr>
                <w:rFonts w:ascii="Arial" w:cs="Arial" w:eastAsia="Arial" w:hAnsi="Arial"/>
                <w:sz w:val="18"/>
                <w:szCs w:val="18"/>
                <w:color w:val="auto"/>
                <w:w w:val="99"/>
              </w:rPr>
              <w:t>BRANCH</w:t>
            </w:r>
          </w:p>
        </w:tc>
        <w:tc>
          <w:tcPr>
            <w:tcW w:w="6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583,028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73,021</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656,049</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(MACAU) CAPITAL LIMITED</w:t>
            </w: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583,028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73,021</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656,049</w:t>
            </w:r>
          </w:p>
        </w:tc>
        <w:tc>
          <w:tcPr>
            <w:tcW w:w="9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jc w:val="center"/>
              <w:ind w:right="2960"/>
              <w:spacing w:after="0"/>
              <w:rPr>
                <w:sz w:val="20"/>
                <w:szCs w:val="20"/>
                <w:color w:val="auto"/>
              </w:rPr>
            </w:pPr>
            <w:r>
              <w:rPr>
                <w:rFonts w:ascii="Arial" w:cs="Arial" w:eastAsia="Arial" w:hAnsi="Arial"/>
                <w:sz w:val="18"/>
                <w:szCs w:val="18"/>
                <w:color w:val="auto"/>
                <w:w w:val="94"/>
              </w:rPr>
              <w:t>Total</w:t>
            </w:r>
          </w:p>
        </w:tc>
        <w:tc>
          <w:tcPr>
            <w:tcW w:w="6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25,550,000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3,200,000</w:t>
            </w:r>
          </w:p>
        </w:tc>
        <w:tc>
          <w:tcPr>
            <w:tcW w:w="5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28,750,000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Sched. A-1</w:t>
      </w:r>
    </w:p>
    <w:p>
      <w:pPr>
        <w:sectPr>
          <w:pgSz w:w="11900" w:h="16838" w:orient="portrait"/>
          <w:cols w:equalWidth="0" w:num="1">
            <w:col w:w="10140"/>
          </w:cols>
          <w:pgMar w:left="1320" w:top="269" w:right="439" w:bottom="1440" w:gutter="0" w:footer="0" w:header="0"/>
        </w:sectPr>
      </w:pPr>
    </w:p>
    <w:bookmarkStart w:id="508" w:name="page509"/>
    <w:bookmarkEnd w:id="5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Free Writing Prospectuses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issuer free writing prospectus filed by the Company with the Commission on October 16, 2018 (File No. 333-227232)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Exempt Written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Sponsor Firm ADSs: $12.5 per ADS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Public Firm ADSs: $11.625 per ADS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Optional ADSs: $12.5 per ADS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 Provided Orally by Underwriters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$12.5 per ADS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 B-1</w:t>
      </w:r>
    </w:p>
    <w:p>
      <w:pPr>
        <w:sectPr>
          <w:pgSz w:w="11900" w:h="16838" w:orient="portrait"/>
          <w:cols w:equalWidth="0" w:num="1">
            <w:col w:w="11020"/>
          </w:cols>
          <w:pgMar w:left="440" w:top="270" w:right="439"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20" w:type="dxa"/>
            <w:vAlign w:val="bottom"/>
          </w:tcPr>
          <w:p>
            <w:pPr>
              <w:ind w:left="440"/>
              <w:spacing w:after="0"/>
              <w:rPr>
                <w:sz w:val="20"/>
                <w:szCs w:val="20"/>
                <w:color w:val="auto"/>
              </w:rPr>
            </w:pPr>
            <w:r>
              <w:rPr>
                <w:rFonts w:ascii="Arial" w:cs="Arial" w:eastAsia="Arial" w:hAnsi="Arial"/>
                <w:sz w:val="18"/>
                <w:szCs w:val="18"/>
                <w:b w:val="1"/>
                <w:bCs w:val="1"/>
                <w:color w:val="auto"/>
              </w:rPr>
              <w:t>EXECUTION VERSION</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000" w:type="dxa"/>
            <w:vAlign w:val="bottom"/>
            <w:gridSpan w:val="2"/>
          </w:tcPr>
          <w:p>
            <w:pPr>
              <w:ind w:left="900"/>
              <w:spacing w:after="0"/>
              <w:rPr>
                <w:sz w:val="20"/>
                <w:szCs w:val="20"/>
                <w:color w:val="auto"/>
              </w:rPr>
            </w:pPr>
            <w:r>
              <w:rPr>
                <w:rFonts w:ascii="Arial" w:cs="Arial" w:eastAsia="Arial" w:hAnsi="Arial"/>
                <w:sz w:val="18"/>
                <w:szCs w:val="18"/>
                <w:b w:val="1"/>
                <w:bCs w:val="1"/>
                <w:color w:val="auto"/>
              </w:rPr>
              <w:t>SCHEDULE C</w:t>
            </w: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COMPANY</w:t>
            </w:r>
          </w:p>
        </w:tc>
      </w:tr>
      <w:tr>
        <w:trPr>
          <w:trHeight w:val="412"/>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4"/>
              </w:rPr>
              <w:t>Name</w:t>
            </w:r>
          </w:p>
        </w:tc>
        <w:tc>
          <w:tcPr>
            <w:tcW w:w="3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20" w:type="dxa"/>
            <w:vAlign w:val="bottom"/>
          </w:tcPr>
          <w:p>
            <w:pPr>
              <w:ind w:left="500"/>
              <w:spacing w:after="0"/>
              <w:rPr>
                <w:sz w:val="20"/>
                <w:szCs w:val="20"/>
                <w:color w:val="auto"/>
              </w:rPr>
            </w:pPr>
            <w:r>
              <w:rPr>
                <w:rFonts w:ascii="Arial" w:cs="Arial" w:eastAsia="Arial" w:hAnsi="Arial"/>
                <w:sz w:val="14"/>
                <w:szCs w:val="14"/>
                <w:b w:val="1"/>
                <w:bCs w:val="1"/>
                <w:color w:val="auto"/>
              </w:rPr>
              <w:t>Place of Incorporation</w:t>
            </w:r>
          </w:p>
        </w:tc>
      </w:tr>
      <w:tr>
        <w:trPr>
          <w:trHeight w:val="203"/>
        </w:trPr>
        <w:tc>
          <w:tcPr>
            <w:tcW w:w="20" w:type="dxa"/>
            <w:vAlign w:val="bottom"/>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3660" w:type="dxa"/>
            <w:vAlign w:val="bottom"/>
            <w:tcBorders>
              <w:top w:val="single" w:sz="8" w:color="CCEEFF"/>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MSC Cotai Limited</w:t>
            </w:r>
          </w:p>
        </w:tc>
        <w:tc>
          <w:tcPr>
            <w:tcW w:w="45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Holdings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Finance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4.</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Investments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Company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6.</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Holdings Two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Holdings Three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8.</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Holdings Four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Holdings Five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10.</w:t>
            </w:r>
          </w:p>
        </w:tc>
        <w:tc>
          <w:tcPr>
            <w:tcW w:w="3660" w:type="dxa"/>
            <w:vAlign w:val="bottom"/>
          </w:tcPr>
          <w:p>
            <w:pPr>
              <w:ind w:left="400"/>
              <w:spacing w:after="0"/>
              <w:rPr>
                <w:sz w:val="20"/>
                <w:szCs w:val="20"/>
                <w:color w:val="auto"/>
              </w:rPr>
            </w:pPr>
            <w:r>
              <w:rPr>
                <w:rFonts w:ascii="Arial" w:cs="Arial" w:eastAsia="Arial" w:hAnsi="Arial"/>
                <w:sz w:val="18"/>
                <w:szCs w:val="18"/>
                <w:color w:val="auto"/>
              </w:rPr>
              <w:t>SCP Holdings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SCIP Holdings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12.</w:t>
            </w:r>
          </w:p>
        </w:tc>
        <w:tc>
          <w:tcPr>
            <w:tcW w:w="3660" w:type="dxa"/>
            <w:vAlign w:val="bottom"/>
          </w:tcPr>
          <w:p>
            <w:pPr>
              <w:ind w:left="400"/>
              <w:spacing w:after="0"/>
              <w:rPr>
                <w:sz w:val="20"/>
                <w:szCs w:val="20"/>
                <w:color w:val="auto"/>
              </w:rPr>
            </w:pPr>
            <w:r>
              <w:rPr>
                <w:rFonts w:ascii="Arial" w:cs="Arial" w:eastAsia="Arial" w:hAnsi="Arial"/>
                <w:sz w:val="18"/>
                <w:szCs w:val="18"/>
                <w:color w:val="auto"/>
              </w:rPr>
              <w:t>SCP One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SCP Two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BVI</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14.</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(HK)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HK</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(HK) Two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HK</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16.</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(HK) Three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HK</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Services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Macau</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18.</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Ventures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Macau</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Entertainment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Macau</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20.</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Hotels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Macau</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Studio City Hospitality and Services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Macau</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22.</w:t>
            </w:r>
          </w:p>
        </w:tc>
        <w:tc>
          <w:tcPr>
            <w:tcW w:w="3660" w:type="dxa"/>
            <w:vAlign w:val="bottom"/>
          </w:tcPr>
          <w:p>
            <w:pPr>
              <w:ind w:left="400"/>
              <w:spacing w:after="0"/>
              <w:rPr>
                <w:sz w:val="20"/>
                <w:szCs w:val="20"/>
                <w:color w:val="auto"/>
              </w:rPr>
            </w:pPr>
            <w:r>
              <w:rPr>
                <w:rFonts w:ascii="Arial" w:cs="Arial" w:eastAsia="Arial" w:hAnsi="Arial"/>
                <w:sz w:val="18"/>
                <w:szCs w:val="18"/>
                <w:color w:val="auto"/>
              </w:rPr>
              <w:t>Studio City Retail Services Limited</w:t>
            </w:r>
          </w:p>
        </w:tc>
        <w:tc>
          <w:tcPr>
            <w:tcW w:w="7000" w:type="dxa"/>
            <w:vAlign w:val="bottom"/>
            <w:gridSpan w:val="2"/>
          </w:tcPr>
          <w:p>
            <w:pPr>
              <w:ind w:left="4560"/>
              <w:spacing w:after="0"/>
              <w:rPr>
                <w:sz w:val="20"/>
                <w:szCs w:val="20"/>
                <w:color w:val="auto"/>
              </w:rPr>
            </w:pPr>
            <w:r>
              <w:rPr>
                <w:rFonts w:ascii="Arial" w:cs="Arial" w:eastAsia="Arial" w:hAnsi="Arial"/>
                <w:sz w:val="18"/>
                <w:szCs w:val="18"/>
                <w:color w:val="auto"/>
              </w:rPr>
              <w:t>Macau</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3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Studio City Developments Limited</w:t>
            </w:r>
          </w:p>
        </w:tc>
        <w:tc>
          <w:tcPr>
            <w:tcW w:w="700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Macau</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Sched. C-1</w:t>
      </w:r>
    </w:p>
    <w:p>
      <w:pPr>
        <w:sectPr>
          <w:pgSz w:w="11900" w:h="16838" w:orient="portrait"/>
          <w:cols w:equalWidth="0" w:num="1">
            <w:col w:w="11040"/>
          </w:cols>
          <w:pgMar w:left="440" w:top="270" w:right="419" w:bottom="1440"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220" w:type="dxa"/>
            <w:vAlign w:val="bottom"/>
          </w:tcPr>
          <w:p>
            <w:pPr>
              <w:ind w:left="5240"/>
              <w:spacing w:after="0"/>
              <w:rPr>
                <w:sz w:val="20"/>
                <w:szCs w:val="20"/>
                <w:color w:val="auto"/>
              </w:rPr>
            </w:pPr>
            <w:r>
              <w:rPr>
                <w:rFonts w:ascii="Arial" w:cs="Arial" w:eastAsia="Arial" w:hAnsi="Arial"/>
                <w:sz w:val="18"/>
                <w:szCs w:val="18"/>
                <w:b w:val="1"/>
                <w:bCs w:val="1"/>
                <w:color w:val="auto"/>
              </w:rPr>
              <w:t>EXECUTION VERSION</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20" w:type="dxa"/>
            <w:vAlign w:val="bottom"/>
          </w:tcPr>
          <w:p>
            <w:pPr>
              <w:jc w:val="center"/>
              <w:ind w:right="3730"/>
              <w:spacing w:after="0"/>
              <w:rPr>
                <w:sz w:val="20"/>
                <w:szCs w:val="20"/>
                <w:color w:val="auto"/>
              </w:rPr>
            </w:pPr>
            <w:r>
              <w:rPr>
                <w:rFonts w:ascii="Arial" w:cs="Arial" w:eastAsia="Arial" w:hAnsi="Arial"/>
                <w:sz w:val="18"/>
                <w:szCs w:val="18"/>
                <w:b w:val="1"/>
                <w:bCs w:val="1"/>
                <w:color w:val="auto"/>
                <w:w w:val="99"/>
              </w:rPr>
              <w:t>SCHEDULE 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20" w:type="dxa"/>
            <w:vAlign w:val="bottom"/>
          </w:tcPr>
          <w:p>
            <w:pPr>
              <w:jc w:val="center"/>
              <w:ind w:right="3750"/>
              <w:spacing w:after="0"/>
              <w:rPr>
                <w:sz w:val="20"/>
                <w:szCs w:val="20"/>
                <w:color w:val="auto"/>
              </w:rPr>
            </w:pPr>
            <w:r>
              <w:rPr>
                <w:rFonts w:ascii="Arial" w:cs="Arial" w:eastAsia="Arial" w:hAnsi="Arial"/>
                <w:sz w:val="18"/>
                <w:szCs w:val="18"/>
                <w:b w:val="1"/>
                <w:bCs w:val="1"/>
                <w:color w:val="auto"/>
                <w:w w:val="91"/>
              </w:rPr>
              <w:t>List of Locked-Up Parties</w:t>
            </w:r>
          </w:p>
        </w:tc>
        <w:tc>
          <w:tcPr>
            <w:tcW w:w="0" w:type="dxa"/>
            <w:vAlign w:val="bottom"/>
          </w:tcPr>
          <w:p>
            <w:pPr>
              <w:spacing w:after="0"/>
              <w:rPr>
                <w:sz w:val="1"/>
                <w:szCs w:val="1"/>
                <w:color w:val="auto"/>
              </w:rPr>
            </w:pPr>
          </w:p>
        </w:tc>
      </w:tr>
      <w:tr>
        <w:trPr>
          <w:trHeight w:val="432"/>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Ordinary Shareholders of the Company:</w:t>
            </w:r>
          </w:p>
        </w:tc>
        <w:tc>
          <w:tcPr>
            <w:tcW w:w="7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MCE Cotai Investments Limited</w:t>
            </w:r>
          </w:p>
        </w:tc>
        <w:tc>
          <w:tcPr>
            <w:tcW w:w="7220" w:type="dxa"/>
            <w:vAlign w:val="bottom"/>
            <w:shd w:val="clear" w:color="auto" w:fill="CCEEFF"/>
          </w:tcPr>
          <w:p>
            <w:pPr>
              <w:ind w:left="54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w:t>
            </w:r>
          </w:p>
        </w:tc>
        <w:tc>
          <w:tcPr>
            <w:tcW w:w="3420" w:type="dxa"/>
            <w:vAlign w:val="bottom"/>
          </w:tcPr>
          <w:p>
            <w:pPr>
              <w:ind w:left="280"/>
              <w:spacing w:after="0"/>
              <w:rPr>
                <w:sz w:val="20"/>
                <w:szCs w:val="20"/>
                <w:color w:val="auto"/>
              </w:rPr>
            </w:pPr>
            <w:r>
              <w:rPr>
                <w:rFonts w:ascii="Arial" w:cs="Arial" w:eastAsia="Arial" w:hAnsi="Arial"/>
                <w:sz w:val="18"/>
                <w:szCs w:val="18"/>
                <w:color w:val="auto"/>
              </w:rPr>
              <w:t>New Cotai, LLC</w:t>
            </w:r>
          </w:p>
        </w:tc>
        <w:tc>
          <w:tcPr>
            <w:tcW w:w="7220" w:type="dxa"/>
            <w:vAlign w:val="bottom"/>
          </w:tcPr>
          <w:p>
            <w:pPr>
              <w:ind w:left="544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Sched. D-1</w:t>
      </w:r>
    </w:p>
    <w:p>
      <w:pPr>
        <w:sectPr>
          <w:pgSz w:w="11900" w:h="16838" w:orient="portrait"/>
          <w:cols w:equalWidth="0" w:num="1">
            <w:col w:w="11040"/>
          </w:cols>
          <w:pgMar w:left="440" w:top="269" w:right="419" w:bottom="1440" w:gutter="0" w:footer="0" w:header="0"/>
        </w:sectPr>
      </w:pPr>
    </w:p>
    <w:bookmarkStart w:id="511" w:name="page512"/>
    <w:bookmarkEnd w:id="511"/>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Cabot Square,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4QA England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other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This Lock-Up Agreement is being delivered to you in connection with the proposed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to be entered into by Studio City International Holdings Limited, a Cayman Islands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MSC Cotai Limited (together with the Company, the “</w:t>
      </w:r>
      <w:r>
        <w:rPr>
          <w:rFonts w:ascii="Arial" w:cs="Arial" w:eastAsia="Arial" w:hAnsi="Arial"/>
          <w:sz w:val="16"/>
          <w:szCs w:val="16"/>
          <w:b w:val="1"/>
          <w:bCs w:val="1"/>
          <w:color w:val="auto"/>
        </w:rPr>
        <w:t>Company Parties</w:t>
      </w:r>
      <w:r>
        <w:rPr>
          <w:rFonts w:ascii="Arial" w:cs="Arial" w:eastAsia="Arial" w:hAnsi="Arial"/>
          <w:sz w:val="16"/>
          <w:szCs w:val="16"/>
          <w:color w:val="auto"/>
        </w:rPr>
        <w:t>”) and you and the other underwriters named in Schedule A to the Underwriting Agreement, with respect to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Company to the Underwriters of an aggregate of 28,750,000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each representing four Class A ordinary shares, par value US$.0001 per share, of the Company (each an “</w:t>
      </w:r>
      <w:r>
        <w:rPr>
          <w:rFonts w:ascii="Arial" w:cs="Arial" w:eastAsia="Arial" w:hAnsi="Arial"/>
          <w:sz w:val="16"/>
          <w:szCs w:val="16"/>
          <w:b w:val="1"/>
          <w:bCs w:val="1"/>
          <w:color w:val="auto"/>
        </w:rPr>
        <w:t>Ordinary Share</w:t>
      </w:r>
      <w:r>
        <w:rPr>
          <w:rFonts w:ascii="Arial" w:cs="Arial" w:eastAsia="Arial" w:hAnsi="Arial"/>
          <w:sz w:val="16"/>
          <w:szCs w:val="16"/>
          <w:color w:val="auto"/>
        </w:rPr>
        <w:t>”). The 28,750,000 ADSs to be sold by the Company are collectively called the “</w:t>
      </w:r>
      <w:r>
        <w:rPr>
          <w:rFonts w:ascii="Arial" w:cs="Arial" w:eastAsia="Arial" w:hAnsi="Arial"/>
          <w:sz w:val="16"/>
          <w:szCs w:val="16"/>
          <w:b w:val="1"/>
          <w:bCs w:val="1"/>
          <w:color w:val="auto"/>
        </w:rPr>
        <w:t>Firm ADSs</w:t>
      </w:r>
      <w:r>
        <w:rPr>
          <w:rFonts w:ascii="Arial" w:cs="Arial" w:eastAsia="Arial" w:hAnsi="Arial"/>
          <w:sz w:val="16"/>
          <w:szCs w:val="16"/>
          <w:color w:val="auto"/>
        </w:rPr>
        <w:t>”. In addition, the Company has granted to the Underwriters an option to purchase up to an additional 4,312,500 ADSs. The additional 4,312,500 ADSs to be sold by the Company pursuant to such option are collectively called the “</w:t>
      </w:r>
      <w:r>
        <w:rPr>
          <w:rFonts w:ascii="Arial" w:cs="Arial" w:eastAsia="Arial" w:hAnsi="Arial"/>
          <w:sz w:val="16"/>
          <w:szCs w:val="16"/>
          <w:b w:val="1"/>
          <w:bCs w:val="1"/>
          <w:color w:val="auto"/>
        </w:rPr>
        <w:t>Optional</w:t>
      </w:r>
      <w:r>
        <w:rPr>
          <w:rFonts w:ascii="Arial" w:cs="Arial" w:eastAsia="Arial" w:hAnsi="Arial"/>
          <w:sz w:val="16"/>
          <w:szCs w:val="16"/>
          <w:color w:val="auto"/>
        </w:rPr>
        <w:t xml:space="preserve"> </w:t>
      </w:r>
      <w:r>
        <w:rPr>
          <w:rFonts w:ascii="Arial" w:cs="Arial" w:eastAsia="Arial" w:hAnsi="Arial"/>
          <w:sz w:val="16"/>
          <w:szCs w:val="16"/>
          <w:b w:val="1"/>
          <w:bCs w:val="1"/>
          <w:color w:val="auto"/>
        </w:rPr>
        <w:t>ADSs</w:t>
      </w:r>
      <w:r>
        <w:rPr>
          <w:rFonts w:ascii="Arial" w:cs="Arial" w:eastAsia="Arial" w:hAnsi="Arial"/>
          <w:sz w:val="16"/>
          <w:szCs w:val="16"/>
          <w:color w:val="auto"/>
        </w:rPr>
        <w:t>”. The Firm ADSs and, if and to the extent such option is exercised, the Optional ADSs are collectively called the “</w:t>
      </w:r>
      <w:r>
        <w:rPr>
          <w:rFonts w:ascii="Arial" w:cs="Arial" w:eastAsia="Arial" w:hAnsi="Arial"/>
          <w:sz w:val="16"/>
          <w:szCs w:val="16"/>
          <w:b w:val="1"/>
          <w:bCs w:val="1"/>
          <w:color w:val="auto"/>
        </w:rPr>
        <w:t>Offered ADSs</w:t>
      </w:r>
      <w:r>
        <w:rPr>
          <w:rFonts w:ascii="Arial" w:cs="Arial" w:eastAsia="Arial" w:hAnsi="Arial"/>
          <w:sz w:val="16"/>
          <w:szCs w:val="16"/>
          <w:color w:val="auto"/>
        </w:rPr>
        <w:t>.”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defined, capitalized terms used herein shall have the definitions set forth in the Underwriting Agreement.</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040"/>
          </w:cols>
          <w:pgMar w:left="440" w:top="269" w:right="419" w:bottom="1440" w:gutter="0" w:footer="0" w:header="0"/>
        </w:sectPr>
      </w:pPr>
    </w:p>
    <w:bookmarkStart w:id="512" w:name="page513"/>
    <w:bookmarkEnd w:id="512"/>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In order to induce you to enter into the Underwriting Agreement, the undersigned agrees that, for a period (the “</w:t>
      </w:r>
      <w:r>
        <w:rPr>
          <w:rFonts w:ascii="Arial" w:cs="Arial" w:eastAsia="Arial" w:hAnsi="Arial"/>
          <w:sz w:val="17"/>
          <w:szCs w:val="17"/>
          <w:b w:val="1"/>
          <w:bCs w:val="1"/>
          <w:color w:val="auto"/>
        </w:rPr>
        <w:t>Lock-Up Period</w:t>
      </w:r>
      <w:r>
        <w:rPr>
          <w:rFonts w:ascii="Arial" w:cs="Arial" w:eastAsia="Arial" w:hAnsi="Arial"/>
          <w:sz w:val="17"/>
          <w:szCs w:val="17"/>
          <w:color w:val="auto"/>
        </w:rPr>
        <w:t>”) beginning on the date hereof and ending on, and including, the date that is 180 days after the date of the prospectus relating to the Offering, the undersigned will not, without the prior written consent of Deutsche Bank Securities Inc., the designated representative of the Underwriters (the “</w:t>
      </w:r>
      <w:r>
        <w:rPr>
          <w:rFonts w:ascii="Arial" w:cs="Arial" w:eastAsia="Arial" w:hAnsi="Arial"/>
          <w:sz w:val="17"/>
          <w:szCs w:val="17"/>
          <w:b w:val="1"/>
          <w:bCs w:val="1"/>
          <w:color w:val="auto"/>
        </w:rPr>
        <w:t>Designated</w:t>
      </w:r>
      <w:r>
        <w:rPr>
          <w:rFonts w:ascii="Arial" w:cs="Arial" w:eastAsia="Arial" w:hAnsi="Arial"/>
          <w:sz w:val="17"/>
          <w:szCs w:val="17"/>
          <w:color w:val="auto"/>
        </w:rPr>
        <w:t xml:space="preserve"> </w:t>
      </w:r>
      <w:r>
        <w:rPr>
          <w:rFonts w:ascii="Arial" w:cs="Arial" w:eastAsia="Arial" w:hAnsi="Arial"/>
          <w:sz w:val="17"/>
          <w:szCs w:val="17"/>
          <w:b w:val="1"/>
          <w:bCs w:val="1"/>
          <w:color w:val="auto"/>
        </w:rPr>
        <w:t>Representative</w:t>
      </w:r>
      <w:r>
        <w:rPr>
          <w:rFonts w:ascii="Arial" w:cs="Arial" w:eastAsia="Arial" w:hAnsi="Arial"/>
          <w:sz w:val="17"/>
          <w:szCs w:val="17"/>
          <w:color w:val="auto"/>
        </w:rPr>
        <w:t>”), (i) offer, sell, offer to sell, contract or agree to sell, hypothecate, pledge, grant any option, right or warrant to purchase, lend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 or dispose of or agree to transfer or dispose of, directly or indirectly, or file (or participate in the filing of) a registration statement with the Commission in respect of, or establish or increase a put equivalent position or liquidate or decrease a call equivalent position within the meaning of Section 16 of the Securities Exchange Act of 1934, as amended, and the rules and regulations of the Commission promulgated thereunder (the “</w:t>
      </w:r>
      <w:r>
        <w:rPr>
          <w:rFonts w:ascii="Arial" w:cs="Arial" w:eastAsia="Arial" w:hAnsi="Arial"/>
          <w:sz w:val="17"/>
          <w:szCs w:val="17"/>
          <w:b w:val="1"/>
          <w:bCs w:val="1"/>
          <w:color w:val="auto"/>
        </w:rPr>
        <w:t>Exchange Act</w:t>
      </w:r>
      <w:r>
        <w:rPr>
          <w:rFonts w:ascii="Arial" w:cs="Arial" w:eastAsia="Arial" w:hAnsi="Arial"/>
          <w:sz w:val="17"/>
          <w:szCs w:val="17"/>
          <w:color w:val="auto"/>
        </w:rPr>
        <w:t>”) with respect to, any ADSs or the underlying shares or any other securities of the Company Parties that are substantially similar to ADSs or the underlying shares, or any securities convertible into or exchangeable or exercisable for, or any warrants or other rights to purchase, the foregoing (including without limitation, ADSs or such other securities which may be deemed to be beneficially owned by the undersigned in accordance with the rules and regulations of the Commission) (collectively, the “</w:t>
      </w:r>
      <w:r>
        <w:rPr>
          <w:rFonts w:ascii="Arial" w:cs="Arial" w:eastAsia="Arial" w:hAnsi="Arial"/>
          <w:sz w:val="17"/>
          <w:szCs w:val="17"/>
          <w:b w:val="1"/>
          <w:bCs w:val="1"/>
          <w:color w:val="auto"/>
        </w:rPr>
        <w:t>Locked-Up Shares</w:t>
      </w:r>
      <w:r>
        <w:rPr>
          <w:rFonts w:ascii="Arial" w:cs="Arial" w:eastAsia="Arial" w:hAnsi="Arial"/>
          <w:sz w:val="17"/>
          <w:szCs w:val="17"/>
          <w:color w:val="auto"/>
        </w:rPr>
        <w:t>”), (ii) enter into any swap or other arrangement that transfers to another, in whole or in part, any of the economic consequences of ownership of ADSs or the underlying shares, any other securities of the Company Parties that are substantially similar to ADS or the underlying shares, or any securities convertible into or exchangeable or exercisable for, or any warrants or other rights to purchase, the foregoing, whether any such transaction is to be settled by delivery of ADS or the underlying shares or such other securities, in cash or otherwise or (iii) publicly announce an intention to effect any transaction specified in clause (i) or (ii). The Underwriters confirm that each holder who holds an equity interest in the Company at the time immediately prior to the listing of the Offered ADSs has entered into a lock-up agreement on terms substantially similar to those contained herein.</w:t>
      </w:r>
    </w:p>
    <w:p>
      <w:pPr>
        <w:spacing w:after="0" w:line="183"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foregoing paragraph shall not apply to (a) the registration of the offer and sale of ADSs or the underlying shares as contemplated by the Underwriting Agreement and the sale of the ADSs or the underlying shares to the Underwriters in the Offering, (b) bona fide gifts, (c) dispositions to any trust or other legal entity for the direct or indirect benefit of the undersigned and/or the immediate family of the undersigned, (d) direct or indirect transfers to another corporation, partnership or other business entity that controls, is controlled by or is under common control with the undersigned or to partners, members or shareholders of the undersigned, (e) transfers by will or intestate succession upon the death of the undersigned, (f) transfers by operation of law or by order of a court of competent jurisdiction pursuant to a qualified domestic order or in connection with a divorce settlement,</w:t>
      </w:r>
    </w:p>
    <w:p>
      <w:pPr>
        <w:spacing w:after="0" w:line="5" w:lineRule="exact"/>
        <w:rPr>
          <w:sz w:val="20"/>
          <w:szCs w:val="20"/>
          <w:color w:val="auto"/>
        </w:rPr>
      </w:pPr>
    </w:p>
    <w:p>
      <w:pPr>
        <w:ind w:right="20" w:firstLine="4"/>
        <w:spacing w:after="0" w:line="281" w:lineRule="auto"/>
        <w:tabs>
          <w:tab w:leader="none" w:pos="255" w:val="left"/>
        </w:tabs>
        <w:numPr>
          <w:ilvl w:val="0"/>
          <w:numId w:val="704"/>
        </w:numPr>
        <w:rPr>
          <w:rFonts w:ascii="Arial" w:cs="Arial" w:eastAsia="Arial" w:hAnsi="Arial"/>
          <w:sz w:val="16"/>
          <w:szCs w:val="16"/>
          <w:color w:val="auto"/>
        </w:rPr>
      </w:pPr>
      <w:r>
        <w:rPr>
          <w:rFonts w:ascii="Arial" w:cs="Arial" w:eastAsia="Arial" w:hAnsi="Arial"/>
          <w:sz w:val="16"/>
          <w:szCs w:val="16"/>
          <w:color w:val="auto"/>
        </w:rPr>
        <w:t>transfers by surrender or forfeiture of ADSs or the underlying shares or other securities of the Company to the Company to satisfy tax withholding obligations upon exercise or vesting, (h) transactions relating to shares of ADSs or other securities acquired in open market transactions after the completion of the Public Offering, provided that no filing under Section 16(a) of the Exchange Act shall be required or shall be voluntarily made in connection with subsequent sales of ADSs or other securities acquired in such open market transactions, or (i) exchanges of Participation Interest (as defined in the Participation Agreement by and among the Company Parties and New Cotai, LLC (the “</w:t>
      </w:r>
      <w:r>
        <w:rPr>
          <w:rFonts w:ascii="Arial" w:cs="Arial" w:eastAsia="Arial" w:hAnsi="Arial"/>
          <w:sz w:val="16"/>
          <w:szCs w:val="16"/>
          <w:b w:val="1"/>
          <w:bCs w:val="1"/>
          <w:color w:val="auto"/>
        </w:rPr>
        <w:t>Participation Agreement</w:t>
      </w:r>
      <w:r>
        <w:rPr>
          <w:rFonts w:ascii="Arial" w:cs="Arial" w:eastAsia="Arial" w:hAnsi="Arial"/>
          <w:sz w:val="16"/>
          <w:szCs w:val="16"/>
          <w:color w:val="auto"/>
        </w:rPr>
        <w:t>”)) for Ordinary Shares (and the cancellation of a corresponding number of Class B ordinary shares) pursuant to the Participation Agreement, provided that in the case of any transfer or distribution pursuant to clause (b), (c), (d) or (e), (i) each donee or transferee shall sign and deliver a lock up letter substantially in the form of this Lock-Up Agreement with a lock-up period that terminates no later than the expiration date of the Lock-Up Period and (ii) no filing under</w:t>
      </w:r>
    </w:p>
    <w:p>
      <w:pPr>
        <w:spacing w:after="0" w:line="5"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Section 16(a) of the Exchange Act, reporting a reduction in beneficial ownership of shares of Offered ADSs, shall be required or shall be voluntarily made during the Lock-Up Period. Also, this Lock-Up Agreement shall not apply to the establishment of a trading plan pursuant to Rule 10b5-1 under the Exchange Act for the transfer of ADSs or Shares, provided that (i) such plan does not provide for the transfer of ADSs or Shares during the Lock-Up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ADSs or Shares may be made under such plan during the Lock-Up Period. For purposes of this paragraph, “immediate family” shall mean the undersigned and the spouse, any lineal descendent, father, mother, brother or sister of the undersigned.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020"/>
          </w:cols>
          <w:pgMar w:left="440" w:top="269" w:right="439" w:bottom="1440" w:gutter="0" w:footer="0" w:header="0"/>
        </w:sectPr>
      </w:pPr>
    </w:p>
    <w:bookmarkStart w:id="513" w:name="page514"/>
    <w:bookmarkEnd w:id="513"/>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undersigned further agrees that, for the Lock-Up Period, the undersigned will not, without the prior written consent of the Designated Representative, make any demand for, or exercise any right with respect to, the registration of ADS or any securities convertible into or exercisable or exchangeable for Offered ADS, or warrants or other rights to purchase ADS or any such securities that would result in a public filing under the Exchange Act or the Securities Act during the Lock-Up Period.</w:t>
      </w:r>
    </w:p>
    <w:p>
      <w:pPr>
        <w:spacing w:after="0" w:line="18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undersigned hereby authorizes the Company and its transfer agent, during the Lock-Up Period, to decline the transfer of or to note stop transfer restrictions on the stock register and other records relating to the Offered ADS or other securities subject to this Lock-Up Agreement of which the undersigned is the record holder, and, with respect to the Offered ADS or other securities subject to this Lock-Up Agreement of which the undersigned is the beneficial owner but not the record holder, the undersigned hereby agrees to cause such record holder to authorize the Company and its transfer agent, during the Lock-Up Period, to decline the transfer of or to note stop transfer restrictions on the stock register and other records relating to such shares or other securities, in each case, except in compliance with the foregoing restrictions.</w:t>
      </w:r>
    </w:p>
    <w:p>
      <w:pPr>
        <w:spacing w:after="0" w:line="178"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If the undersigned is an officer or director of the Company, (i) the Underwriters agree that, at least five business days before the effective date of any release or waiver of the foregoing restrictions in connection with a transfer of shares of Offered ADSs, the Designated Representative will notify the Company of the impending release or waiver, and (ii) the Company agrees in the Underwriting Agreement to announce the impending release or waiver by press release through a major news service at least two business days before the effective date of the release or waiver. Any release or waiver granted by the Underwriters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020"/>
          </w:cols>
          <w:pgMar w:left="440" w:top="270" w:right="439" w:bottom="1440" w:gutter="0" w:footer="0" w:header="0"/>
        </w:sectPr>
      </w:pPr>
    </w:p>
    <w:bookmarkStart w:id="514" w:name="page515"/>
    <w:bookmarkEnd w:id="514"/>
    <w:p>
      <w:pPr>
        <w:ind w:left="9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undersigned understands that the Company Parties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81"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Whether or not the Public Offering actually occurs depends on a number of factors, including market conditions. Any Public Offering will only be made pursuant to an Underwriting Agreement, the terms of which are subject to negotiation between the Company Parties and the Underwriters.</w:t>
      </w:r>
    </w:p>
    <w:p>
      <w:pPr>
        <w:spacing w:after="0" w:line="120" w:lineRule="exact"/>
        <w:rPr>
          <w:sz w:val="20"/>
          <w:szCs w:val="20"/>
          <w:color w:val="auto"/>
        </w:rPr>
      </w:pPr>
    </w:p>
    <w:p>
      <w:pPr>
        <w:ind w:right="260" w:firstLine="441"/>
        <w:spacing w:after="0" w:line="298" w:lineRule="auto"/>
        <w:rPr>
          <w:sz w:val="20"/>
          <w:szCs w:val="20"/>
          <w:color w:val="auto"/>
        </w:rPr>
      </w:pPr>
      <w:r>
        <w:rPr>
          <w:rFonts w:ascii="Arial" w:cs="Arial" w:eastAsia="Arial" w:hAnsi="Arial"/>
          <w:sz w:val="16"/>
          <w:szCs w:val="16"/>
          <w:color w:val="auto"/>
        </w:rPr>
        <w:t>If the Designated Representative grants any discretionary waiver, release or termination of any of the restrictions (each, a “</w:t>
      </w:r>
      <w:r>
        <w:rPr>
          <w:rFonts w:ascii="Arial" w:cs="Arial" w:eastAsia="Arial" w:hAnsi="Arial"/>
          <w:sz w:val="16"/>
          <w:szCs w:val="16"/>
          <w:b w:val="1"/>
          <w:bCs w:val="1"/>
          <w:color w:val="auto"/>
        </w:rPr>
        <w:t>Lock-Up Waiver</w:t>
      </w:r>
      <w:r>
        <w:rPr>
          <w:rFonts w:ascii="Arial" w:cs="Arial" w:eastAsia="Arial" w:hAnsi="Arial"/>
          <w:sz w:val="16"/>
          <w:szCs w:val="16"/>
          <w:color w:val="auto"/>
        </w:rPr>
        <w:t>”) applicable to any party subject to a lock-up agreement, other than the Company (each, a “</w:t>
      </w:r>
      <w:r>
        <w:rPr>
          <w:rFonts w:ascii="Arial" w:cs="Arial" w:eastAsia="Arial" w:hAnsi="Arial"/>
          <w:sz w:val="16"/>
          <w:szCs w:val="16"/>
          <w:b w:val="1"/>
          <w:bCs w:val="1"/>
          <w:color w:val="auto"/>
        </w:rPr>
        <w:t>Lock-Up Party</w:t>
      </w:r>
      <w:r>
        <w:rPr>
          <w:rFonts w:ascii="Arial" w:cs="Arial" w:eastAsia="Arial" w:hAnsi="Arial"/>
          <w:sz w:val="16"/>
          <w:szCs w:val="16"/>
          <w:color w:val="auto"/>
        </w:rPr>
        <w:t>”) then a substantively identical Lock-Up Waiver shall be deemed to apply to the undersigned’s Locked-Up Shares on a pro rata basis based on the portion of the Lock-Up Parties’ Locked-Up Shares that were granted the Lock-Up Waiver; provided that such pro rata waiver, release or termination shall be in the same manner and on the same terms (including with respect to any conditions or provisos that apply to such waiver or termination) from such restriction.</w:t>
      </w:r>
    </w:p>
    <w:p>
      <w:pPr>
        <w:spacing w:after="0" w:line="158"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jc w:val="both"/>
        <w:ind w:right="80" w:firstLine="441"/>
        <w:spacing w:after="0" w:line="297" w:lineRule="auto"/>
        <w:rPr>
          <w:sz w:val="20"/>
          <w:szCs w:val="20"/>
          <w:color w:val="auto"/>
        </w:rPr>
      </w:pPr>
      <w:r>
        <w:rPr>
          <w:rFonts w:ascii="Arial" w:cs="Arial" w:eastAsia="Arial" w:hAnsi="Arial"/>
          <w:sz w:val="16"/>
          <w:szCs w:val="16"/>
          <w:color w:val="auto"/>
        </w:rPr>
        <w:t>Upon the earlier of (i) the Company notifying you in writing that it does not intend to proceed with the Public Offering, (ii) the withdrawal of the registration statement filed with the Commission with respect to the Public Offering, (iii) the termination of the Underwriting Agreement for any reason prior to the Closing Date (as defined in the Underwriting Agreement), and (iv) the occurrence of an IPO Cut-off Date (as defined in the Implementation Agreement, dated as of September 6, 2018, by and among the Company, MCE Cotai Investments Limited, Melco Resorts &amp; Entertainment Limited and New Cotai, LLC), this Lock-Up Agreement shall be terminated and the undersigned shall be released from its obligations hereunder.</w:t>
      </w:r>
    </w:p>
    <w:p>
      <w:pPr>
        <w:spacing w:after="0" w:line="18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289560</wp:posOffset>
            </wp:positionV>
            <wp:extent cx="251269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4">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581025</wp:posOffset>
            </wp:positionV>
            <wp:extent cx="251269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A-4</w:t>
      </w:r>
    </w:p>
    <w:p>
      <w:pPr>
        <w:sectPr>
          <w:pgSz w:w="11900" w:h="16838" w:orient="portrait"/>
          <w:cols w:equalWidth="0" w:num="1">
            <w:col w:w="11020"/>
          </w:cols>
          <w:pgMar w:left="440" w:top="270" w:right="439"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is being delivered to you in connection with the offering by Studio City International Holdings Limited (the “</w:t>
      </w:r>
      <w:r>
        <w:rPr>
          <w:rFonts w:ascii="Arial" w:cs="Arial" w:eastAsia="Arial" w:hAnsi="Arial"/>
          <w:sz w:val="18"/>
          <w:szCs w:val="18"/>
          <w:b w:val="1"/>
          <w:bCs w:val="1"/>
          <w:color w:val="auto"/>
        </w:rPr>
        <w:t>Company</w:t>
      </w:r>
      <w:r>
        <w:rPr>
          <w:rFonts w:ascii="Arial" w:cs="Arial" w:eastAsia="Arial" w:hAnsi="Arial"/>
          <w:sz w:val="18"/>
          <w:szCs w:val="18"/>
          <w:color w:val="auto"/>
        </w:rPr>
        <w:t>”) of</w:t>
      </w:r>
    </w:p>
    <w:p>
      <w:pPr>
        <w:spacing w:after="0" w:line="27" w:lineRule="exact"/>
        <w:rPr>
          <w:sz w:val="20"/>
          <w:szCs w:val="20"/>
          <w:color w:val="auto"/>
        </w:rPr>
      </w:pPr>
    </w:p>
    <w:p>
      <w:pPr>
        <w:spacing w:after="0"/>
        <w:tabs>
          <w:tab w:leader="none" w:pos="1440" w:val="left"/>
          <w:tab w:leader="none" w:pos="5780" w:val="left"/>
          <w:tab w:leader="none" w:pos="6280" w:val="left"/>
        </w:tabs>
        <w:rPr>
          <w:sz w:val="20"/>
          <w:szCs w:val="20"/>
          <w:color w:val="auto"/>
        </w:rPr>
      </w:pPr>
      <w:r>
        <w:rPr>
          <w:rFonts w:ascii="Arial" w:cs="Arial" w:eastAsia="Arial" w:hAnsi="Arial"/>
          <w:sz w:val="18"/>
          <w:szCs w:val="18"/>
          <w:color w:val="auto"/>
        </w:rPr>
        <w:t>ordinary shares $</w:t>
        <w:tab/>
        <w:t>par value, of the Company and the lock-up letter 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“Lock-up Letter”), executed by you in connection with such</w:t>
      </w:r>
    </w:p>
    <w:p>
      <w:pPr>
        <w:spacing w:after="0" w:line="9" w:lineRule="exact"/>
        <w:rPr>
          <w:sz w:val="20"/>
          <w:szCs w:val="20"/>
          <w:color w:val="auto"/>
        </w:rPr>
      </w:pPr>
    </w:p>
    <w:p>
      <w:pPr>
        <w:spacing w:after="0"/>
        <w:tabs>
          <w:tab w:leader="none" w:pos="4380" w:val="left"/>
          <w:tab w:leader="none" w:pos="4840" w:val="left"/>
          <w:tab w:leader="none" w:pos="6400" w:val="left"/>
        </w:tabs>
        <w:rPr>
          <w:sz w:val="20"/>
          <w:szCs w:val="20"/>
          <w:color w:val="auto"/>
        </w:rPr>
      </w:pPr>
      <w:r>
        <w:rPr>
          <w:rFonts w:ascii="Arial" w:cs="Arial" w:eastAsia="Arial" w:hAnsi="Arial"/>
          <w:sz w:val="18"/>
          <w:szCs w:val="18"/>
          <w:color w:val="auto"/>
        </w:rPr>
        <w:t>offering, and your request for a [waiver] [release] dated</w:t>
      </w:r>
      <w:r>
        <w:rPr>
          <w:sz w:val="20"/>
          <w:szCs w:val="20"/>
          <w:color w:val="auto"/>
        </w:rPr>
        <w:tab/>
      </w:r>
      <w:r>
        <w:rPr>
          <w:rFonts w:ascii="Arial" w:cs="Arial" w:eastAsia="Arial" w:hAnsi="Arial"/>
          <w:sz w:val="18"/>
          <w:szCs w:val="18"/>
          <w:color w:val="auto"/>
        </w:rPr>
        <w:t>, 20</w:t>
        <w:tab/>
        <w:t>, with respect to</w:t>
      </w:r>
      <w:r>
        <w:rPr>
          <w:sz w:val="20"/>
          <w:szCs w:val="20"/>
          <w:color w:val="auto"/>
        </w:rPr>
        <w:tab/>
      </w:r>
      <w:r>
        <w:rPr>
          <w:rFonts w:ascii="Arial" w:cs="Arial" w:eastAsia="Arial" w:hAnsi="Arial"/>
          <w:sz w:val="16"/>
          <w:szCs w:val="16"/>
          <w:color w:val="auto"/>
        </w:rPr>
        <w:t>Class A ordinary shares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211" w:lineRule="exact"/>
        <w:rPr>
          <w:sz w:val="20"/>
          <w:szCs w:val="20"/>
          <w:color w:val="auto"/>
        </w:rPr>
      </w:pPr>
    </w:p>
    <w:p>
      <w:pPr>
        <w:ind w:left="440"/>
        <w:spacing w:after="0"/>
        <w:tabs>
          <w:tab w:leader="none" w:pos="10700" w:val="left"/>
        </w:tabs>
        <w:rPr>
          <w:sz w:val="20"/>
          <w:szCs w:val="20"/>
          <w:color w:val="auto"/>
        </w:rPr>
      </w:pPr>
      <w:r>
        <w:rPr>
          <w:rFonts w:ascii="Arial" w:cs="Arial" w:eastAsia="Arial" w:hAnsi="Arial"/>
          <w:sz w:val="17"/>
          <w:szCs w:val="17"/>
          <w:color w:val="auto"/>
        </w:rPr>
        <w:t>[•] hereby agrees to [waive] [release] the transfer restrictions set forth in the Lock-up Letter, but only with respect to the Shares, effective</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right="180" w:firstLine="4"/>
        <w:spacing w:after="0" w:line="255" w:lineRule="auto"/>
        <w:tabs>
          <w:tab w:leader="none" w:pos="360" w:val="left"/>
        </w:tabs>
        <w:numPr>
          <w:ilvl w:val="0"/>
          <w:numId w:val="705"/>
        </w:numPr>
        <w:rPr>
          <w:rFonts w:ascii="Arial" w:cs="Arial" w:eastAsia="Arial" w:hAnsi="Arial"/>
          <w:sz w:val="18"/>
          <w:szCs w:val="18"/>
          <w:color w:val="auto"/>
        </w:rPr>
      </w:pPr>
      <w:r>
        <w:rPr>
          <w:rFonts w:ascii="Arial" w:cs="Arial" w:eastAsia="Arial" w:hAnsi="Arial"/>
          <w:sz w:val="18"/>
          <w:szCs w:val="18"/>
          <w:color w:val="auto"/>
        </w:rPr>
        <w:t>;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Acting severally on behalf of themselves and the several</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named in Schedule I attached hereto</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A-5</w:t>
      </w:r>
    </w:p>
    <w:p>
      <w:pPr>
        <w:sectPr>
          <w:pgSz w:w="11900" w:h="16838" w:orient="portrait"/>
          <w:cols w:equalWidth="0" w:num="1">
            <w:col w:w="11020"/>
          </w:cols>
          <w:pgMar w:left="440" w:top="269" w:right="439"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Studio City International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Studio City International Holdings Limited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Deutsche Bank Securities Inc., Credit Suisse Securities (USA) LLC</w:t>
      </w:r>
    </w:p>
    <w:p>
      <w:pPr>
        <w:spacing w:after="0" w:line="50"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and Morgan Stanley &amp; Co. International plc, the underwriters in the Company’s public sale of</w:t>
      </w:r>
      <w:r>
        <w:rPr>
          <w:sz w:val="20"/>
          <w:szCs w:val="20"/>
          <w:color w:val="auto"/>
        </w:rPr>
        <w:tab/>
      </w:r>
      <w:r>
        <w:rPr>
          <w:rFonts w:ascii="Arial" w:cs="Arial" w:eastAsia="Arial" w:hAnsi="Arial"/>
          <w:sz w:val="16"/>
          <w:szCs w:val="16"/>
          <w:color w:val="auto"/>
        </w:rPr>
        <w:t>American Depositary Shares representing</w:t>
      </w:r>
    </w:p>
    <w:p>
      <w:pPr>
        <w:spacing w:after="0" w:line="9" w:lineRule="exact"/>
        <w:rPr>
          <w:sz w:val="20"/>
          <w:szCs w:val="20"/>
          <w:color w:val="auto"/>
        </w:rPr>
      </w:pPr>
    </w:p>
    <w:p>
      <w:pPr>
        <w:ind w:left="360"/>
        <w:spacing w:after="0"/>
        <w:tabs>
          <w:tab w:leader="none" w:pos="6740" w:val="left"/>
        </w:tabs>
        <w:rPr>
          <w:sz w:val="20"/>
          <w:szCs w:val="20"/>
          <w:color w:val="auto"/>
        </w:rPr>
      </w:pPr>
      <w:r>
        <w:rPr>
          <w:rFonts w:ascii="Arial" w:cs="Arial" w:eastAsia="Arial" w:hAnsi="Arial"/>
          <w:sz w:val="18"/>
          <w:szCs w:val="18"/>
          <w:color w:val="auto"/>
        </w:rPr>
        <w:t>Class A ordinary shares is [waiving][releasing] a lock-up restriction with respect to</w:t>
      </w:r>
      <w:r>
        <w:rPr>
          <w:sz w:val="20"/>
          <w:szCs w:val="20"/>
          <w:color w:val="auto"/>
        </w:rPr>
        <w:tab/>
      </w:r>
      <w:r>
        <w:rPr>
          <w:rFonts w:ascii="Arial" w:cs="Arial" w:eastAsia="Arial" w:hAnsi="Arial"/>
          <w:sz w:val="16"/>
          <w:szCs w:val="16"/>
          <w:color w:val="auto"/>
        </w:rPr>
        <w:t>ordinary shares of the Company held by [certain officers or</w:t>
      </w:r>
    </w:p>
    <w:p>
      <w:pPr>
        <w:spacing w:after="0" w:line="9" w:lineRule="exact"/>
        <w:rPr>
          <w:sz w:val="20"/>
          <w:szCs w:val="20"/>
          <w:color w:val="auto"/>
        </w:rPr>
      </w:pPr>
    </w:p>
    <w:p>
      <w:pPr>
        <w:spacing w:after="0"/>
        <w:tabs>
          <w:tab w:leader="none" w:pos="6920" w:val="left"/>
          <w:tab w:leader="none" w:pos="7420" w:val="left"/>
        </w:tabs>
        <w:rPr>
          <w:sz w:val="20"/>
          <w:szCs w:val="20"/>
          <w:color w:val="auto"/>
        </w:rPr>
      </w:pPr>
      <w:r>
        <w:rPr>
          <w:rFonts w:ascii="Arial" w:cs="Arial" w:eastAsia="Arial" w:hAnsi="Arial"/>
          <w:sz w:val="18"/>
          <w:szCs w:val="18"/>
          <w:color w:val="auto"/>
        </w:rPr>
        <w:t>directors] [an officer or director] of the Company. The [waiver][release] will take effect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and the shares may be sold on or after such date.</w:t>
      </w:r>
    </w:p>
    <w:p>
      <w:pPr>
        <w:spacing w:after="0" w:line="207"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A-6</w:t>
      </w:r>
    </w:p>
    <w:p>
      <w:pPr>
        <w:sectPr>
          <w:pgSz w:w="11900" w:h="16838" w:orient="portrait"/>
          <w:cols w:equalWidth="0" w:num="1">
            <w:col w:w="11020"/>
          </w:cols>
          <w:pgMar w:left="440" w:top="270" w:right="439"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The undersigned, [INSERT NAME], [INSERT POSITION] of Studio City International Holdings Limited, a Cayman Islands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does hereby certify pursuant to Section 7(k) of that certain Underwriting Agreement dated October 17, 2018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among the Company, MSC Cotai Limited (together with the Company, the “</w:t>
      </w:r>
      <w:r>
        <w:rPr>
          <w:rFonts w:ascii="Arial" w:cs="Arial" w:eastAsia="Arial" w:hAnsi="Arial"/>
          <w:sz w:val="16"/>
          <w:szCs w:val="16"/>
          <w:b w:val="1"/>
          <w:bCs w:val="1"/>
          <w:color w:val="auto"/>
        </w:rPr>
        <w:t>Company Parties</w:t>
      </w:r>
      <w:r>
        <w:rPr>
          <w:rFonts w:ascii="Arial" w:cs="Arial" w:eastAsia="Arial" w:hAnsi="Arial"/>
          <w:sz w:val="16"/>
          <w:szCs w:val="16"/>
          <w:color w:val="auto"/>
        </w:rPr>
        <w:t>”) and Deutsche Bank Securities Inc.,</w:t>
      </w:r>
      <w:r>
        <w:rPr>
          <w:rFonts w:ascii="Arial" w:cs="Arial" w:eastAsia="Arial" w:hAnsi="Arial"/>
          <w:sz w:val="16"/>
          <w:szCs w:val="16"/>
          <w:b w:val="1"/>
          <w:bCs w:val="1"/>
          <w:color w:val="auto"/>
        </w:rPr>
        <w:t xml:space="preserve"> </w:t>
      </w:r>
      <w:r>
        <w:rPr>
          <w:rFonts w:ascii="Arial" w:cs="Arial" w:eastAsia="Arial" w:hAnsi="Arial"/>
          <w:sz w:val="16"/>
          <w:szCs w:val="16"/>
          <w:color w:val="auto"/>
        </w:rPr>
        <w:t>Credit Suisse Securities (USA) LLC and Morgan Stanley &amp; Co. International plc, as the representatives of the several underwriters named therein, that:</w:t>
      </w:r>
    </w:p>
    <w:p>
      <w:pPr>
        <w:spacing w:after="0" w:line="46" w:lineRule="exact"/>
        <w:rPr>
          <w:sz w:val="20"/>
          <w:szCs w:val="20"/>
          <w:color w:val="auto"/>
        </w:rPr>
      </w:pPr>
    </w:p>
    <w:p>
      <w:pPr>
        <w:ind w:left="620" w:hanging="176"/>
        <w:spacing w:after="0"/>
        <w:tabs>
          <w:tab w:leader="none" w:pos="620" w:val="left"/>
        </w:tabs>
        <w:numPr>
          <w:ilvl w:val="0"/>
          <w:numId w:val="706"/>
        </w:numPr>
        <w:rPr>
          <w:rFonts w:ascii="Arial" w:cs="Arial" w:eastAsia="Arial" w:hAnsi="Arial"/>
          <w:sz w:val="17"/>
          <w:szCs w:val="17"/>
          <w:color w:val="auto"/>
        </w:rPr>
      </w:pPr>
      <w:r>
        <w:rPr>
          <w:rFonts w:ascii="Arial" w:cs="Arial" w:eastAsia="Arial" w:hAnsi="Arial"/>
          <w:sz w:val="17"/>
          <w:szCs w:val="17"/>
          <w:color w:val="auto"/>
        </w:rPr>
        <w:t>He has reviewed the Registration Statement, each Preliminary Prospectus, the Prospectus and each Permitted Free Writing Prospectus.</w:t>
      </w:r>
    </w:p>
    <w:p>
      <w:pPr>
        <w:spacing w:after="0" w:line="128" w:lineRule="exact"/>
        <w:rPr>
          <w:rFonts w:ascii="Arial" w:cs="Arial" w:eastAsia="Arial" w:hAnsi="Arial"/>
          <w:sz w:val="17"/>
          <w:szCs w:val="17"/>
          <w:color w:val="auto"/>
        </w:rPr>
      </w:pPr>
    </w:p>
    <w:p>
      <w:pPr>
        <w:ind w:right="60" w:firstLine="444"/>
        <w:spacing w:after="0" w:line="277" w:lineRule="auto"/>
        <w:tabs>
          <w:tab w:leader="none" w:pos="621" w:val="left"/>
        </w:tabs>
        <w:numPr>
          <w:ilvl w:val="0"/>
          <w:numId w:val="70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Parties as set forth in the Underwriting Agreement are true and correct as of the date hereof and as if made on the date hereof.</w:t>
      </w:r>
    </w:p>
    <w:p>
      <w:pPr>
        <w:spacing w:after="0" w:line="62" w:lineRule="exact"/>
        <w:rPr>
          <w:rFonts w:ascii="Arial" w:cs="Arial" w:eastAsia="Arial" w:hAnsi="Arial"/>
          <w:sz w:val="18"/>
          <w:szCs w:val="18"/>
          <w:color w:val="auto"/>
        </w:rPr>
      </w:pPr>
    </w:p>
    <w:p>
      <w:pPr>
        <w:ind w:right="540" w:firstLine="444"/>
        <w:spacing w:after="0" w:line="277" w:lineRule="auto"/>
        <w:tabs>
          <w:tab w:leader="none" w:pos="621" w:val="left"/>
        </w:tabs>
        <w:numPr>
          <w:ilvl w:val="0"/>
          <w:numId w:val="706"/>
        </w:numPr>
        <w:rPr>
          <w:rFonts w:ascii="Arial" w:cs="Arial" w:eastAsia="Arial" w:hAnsi="Arial"/>
          <w:sz w:val="18"/>
          <w:szCs w:val="18"/>
          <w:color w:val="auto"/>
        </w:rPr>
      </w:pPr>
      <w:r>
        <w:rPr>
          <w:rFonts w:ascii="Arial" w:cs="Arial" w:eastAsia="Arial" w:hAnsi="Arial"/>
          <w:sz w:val="18"/>
          <w:szCs w:val="18"/>
          <w:color w:val="auto"/>
        </w:rPr>
        <w:t>Each of the Company Parties has complied in all material respects with all agreements and satisfied all of the conditions contained in the Underwriting Agreement that are required to be performed or satisfied at or before the date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without definition shall have the respective meanings ascribed to them in the Underwriting Agreement.</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020"/>
          </w:cols>
          <w:pgMar w:left="440" w:top="270" w:right="439" w:bottom="1440" w:gutter="0" w:footer="0" w:header="0"/>
        </w:sectPr>
      </w:pPr>
    </w:p>
    <w:bookmarkStart w:id="518" w:name="page519"/>
    <w:bookmarkEnd w:id="5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w w:val="94"/>
              </w:rPr>
              <w:t>IN WITNESS WHEREOF, the undersigned have hereunto set their hands on this day of</w:t>
            </w:r>
          </w:p>
        </w:tc>
        <w:tc>
          <w:tcPr>
            <w:tcW w:w="78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Ex. B-2</w:t>
      </w:r>
    </w:p>
    <w:p>
      <w:pPr>
        <w:sectPr>
          <w:pgSz w:w="11900" w:h="16838" w:orient="portrait"/>
          <w:cols w:equalWidth="0" w:num="1">
            <w:col w:w="10580"/>
          </w:cols>
          <w:pgMar w:left="880" w:top="270" w:right="43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PROPERTY CHIEF FINANCIAL OFFICER</w:t>
      </w:r>
    </w:p>
    <w:p>
      <w:pPr>
        <w:spacing w:after="0" w:line="229"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 2018</w:t>
      </w:r>
    </w:p>
    <w:p>
      <w:pPr>
        <w:spacing w:after="0" w:line="24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I, Timothy Nauss, acting in my capacity as the Property Chief Financial Officer of Studio City International Holdings Limited, a Cayman Islands company (the “</w:t>
      </w:r>
      <w:r>
        <w:rPr>
          <w:rFonts w:ascii="Arial" w:cs="Arial" w:eastAsia="Arial" w:hAnsi="Arial"/>
          <w:sz w:val="16"/>
          <w:szCs w:val="16"/>
          <w:b w:val="1"/>
          <w:bCs w:val="1"/>
          <w:color w:val="auto"/>
        </w:rPr>
        <w:t>Company</w:t>
      </w:r>
      <w:r>
        <w:rPr>
          <w:rFonts w:ascii="Arial" w:cs="Arial" w:eastAsia="Arial" w:hAnsi="Arial"/>
          <w:sz w:val="16"/>
          <w:szCs w:val="16"/>
          <w:color w:val="auto"/>
        </w:rPr>
        <w:t>”), not individually, have been asked to deliver this certificate to Deutsche Bank Securities Inc., Credit Suisse Securities (USA) LLC and Morgan Stanley &amp; Co. International plc, as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pursuant to the Underwriting Agreement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dated October 17, 2018, by and among the Company, MSC Cotai Limited and the Underwriters named in the Underwriting Agreement.</w:t>
      </w:r>
    </w:p>
    <w:p>
      <w:pPr>
        <w:spacing w:after="0" w:line="150" w:lineRule="exact"/>
        <w:rPr>
          <w:sz w:val="20"/>
          <w:szCs w:val="20"/>
          <w:color w:val="auto"/>
        </w:rPr>
      </w:pPr>
    </w:p>
    <w:p>
      <w:pPr>
        <w:ind w:right="100" w:firstLine="441"/>
        <w:spacing w:after="0" w:line="258" w:lineRule="auto"/>
        <w:rPr>
          <w:sz w:val="20"/>
          <w:szCs w:val="20"/>
          <w:color w:val="auto"/>
        </w:rPr>
      </w:pPr>
      <w:r>
        <w:rPr>
          <w:rFonts w:ascii="Arial" w:cs="Arial" w:eastAsia="Arial" w:hAnsi="Arial"/>
          <w:sz w:val="18"/>
          <w:szCs w:val="18"/>
          <w:color w:val="auto"/>
        </w:rPr>
        <w:t>I am providing this certificate in connection with the sale by the Company of an aggregate of 28,750,000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each representing four ordinary shares, par value US$.0001 per share, of the Company (the “</w:t>
      </w:r>
      <w:r>
        <w:rPr>
          <w:rFonts w:ascii="Arial" w:cs="Arial" w:eastAsia="Arial" w:hAnsi="Arial"/>
          <w:sz w:val="18"/>
          <w:szCs w:val="18"/>
          <w:b w:val="1"/>
          <w:bCs w:val="1"/>
          <w:color w:val="auto"/>
        </w:rPr>
        <w:t>Firm ADSs</w:t>
      </w:r>
      <w:r>
        <w:rPr>
          <w:rFonts w:ascii="Arial" w:cs="Arial" w:eastAsia="Arial" w:hAnsi="Arial"/>
          <w:sz w:val="18"/>
          <w:szCs w:val="18"/>
          <w:color w:val="auto"/>
        </w:rPr>
        <w:t>”) of the Company pursuant to a registration statement on Form F-1, filed with the United States Securities and Exchange Commission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as described in the preliminary prospectus dated October 9, 2018 contained therein (the “</w:t>
      </w:r>
      <w:r>
        <w:rPr>
          <w:rFonts w:ascii="Arial" w:cs="Arial" w:eastAsia="Arial" w:hAnsi="Arial"/>
          <w:sz w:val="18"/>
          <w:szCs w:val="18"/>
          <w:b w:val="1"/>
          <w:bCs w:val="1"/>
          <w:color w:val="auto"/>
        </w:rPr>
        <w:t>Preliminary Prospectus</w:t>
      </w:r>
      <w:r>
        <w:rPr>
          <w:rFonts w:ascii="Arial" w:cs="Arial" w:eastAsia="Arial" w:hAnsi="Arial"/>
          <w:sz w:val="18"/>
          <w:szCs w:val="18"/>
          <w:color w:val="auto"/>
        </w:rPr>
        <w:t>”) and the final prospectus dated October 17, 2018 (the “</w:t>
      </w:r>
      <w:r>
        <w:rPr>
          <w:rFonts w:ascii="Arial" w:cs="Arial" w:eastAsia="Arial" w:hAnsi="Arial"/>
          <w:sz w:val="18"/>
          <w:szCs w:val="18"/>
          <w:b w:val="1"/>
          <w:bCs w:val="1"/>
          <w:color w:val="auto"/>
        </w:rPr>
        <w:t>Final Prospectus</w:t>
      </w:r>
      <w:r>
        <w:rPr>
          <w:rFonts w:ascii="Arial" w:cs="Arial" w:eastAsia="Arial" w:hAnsi="Arial"/>
          <w:sz w:val="18"/>
          <w:szCs w:val="18"/>
          <w:color w:val="auto"/>
        </w:rPr>
        <w:t>”).</w:t>
      </w:r>
    </w:p>
    <w:p>
      <w:pPr>
        <w:spacing w:after="0" w:line="188"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I or members of my staff under my supervision who are responsible for the Company’s financial accounting and operational matters have carried out procedures as I have deemed appropriate to provide reasonable assurance that the circled data (“</w:t>
      </w:r>
      <w:r>
        <w:rPr>
          <w:rFonts w:ascii="Arial" w:cs="Arial" w:eastAsia="Arial" w:hAnsi="Arial"/>
          <w:sz w:val="16"/>
          <w:szCs w:val="16"/>
          <w:b w:val="1"/>
          <w:bCs w:val="1"/>
          <w:color w:val="auto"/>
        </w:rPr>
        <w:t>Company Data</w:t>
      </w:r>
      <w:r>
        <w:rPr>
          <w:rFonts w:ascii="Arial" w:cs="Arial" w:eastAsia="Arial" w:hAnsi="Arial"/>
          <w:sz w:val="16"/>
          <w:szCs w:val="16"/>
          <w:color w:val="auto"/>
        </w:rPr>
        <w:t>”) included in the attached Exhibit A, which are included in the Registration Statement, the Preliminary Prospectus and the Final Prospectus, are consistent with the records of the Company. I am familiar with the processes by which the Company has generated and compiled the Company Data, and, where I deemed appropriate, have consulted with those employees of the Company responsible for generating and compiling the Company Data. Nothing has come to my attention that has caused me to believe that the Company Data were not and are not, at the date of the Prospectus and the Applicable Time (both as defined in the Underwriting Agreement), and, as of the data hereof, are not true or accurate in all material respects consistent with the records of the Company.</w:t>
      </w:r>
    </w:p>
    <w:p>
      <w:pPr>
        <w:spacing w:after="0" w:line="167"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This certificate is being furnished to the Underwriters, relating to the public offering of the Firm ADSs, solely to assist it in conducting their investigation of the Company and its subsidiaries in connection with the public offering of the Firm ADSs. This certificate shall not be used, quoted or otherwise referred to without the prior written consent of the Company other than in connection with any matter arising out of such review.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020"/>
          </w:cols>
          <w:pgMar w:left="440" w:top="270" w:right="439" w:bottom="1440" w:gutter="0" w:footer="0" w:header="0"/>
        </w:sectPr>
      </w:pPr>
    </w:p>
    <w:bookmarkStart w:id="520" w:name="page521"/>
    <w:bookmarkEnd w:id="5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certificate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Timothy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259016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Timothy Nauss</w:t>
      </w:r>
    </w:p>
    <w:p>
      <w:pPr>
        <w:spacing w:after="0" w:line="23"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Property Chief Financial Officer</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Ex. B-2</w:t>
      </w:r>
    </w:p>
    <w:p>
      <w:pPr>
        <w:sectPr>
          <w:pgSz w:w="11900" w:h="16838" w:orient="portrait"/>
          <w:cols w:equalWidth="0" w:num="1">
            <w:col w:w="10580"/>
          </w:cols>
          <w:pgMar w:left="880" w:top="269" w:right="439" w:bottom="1440" w:gutter="0" w:footer="0" w:header="0"/>
        </w:sectPr>
      </w:pPr>
    </w:p>
    <w:bookmarkStart w:id="521" w:name="page522"/>
    <w:bookmarkEnd w:id="521"/>
    <w:p>
      <w:pPr>
        <w:jc w:val="right"/>
        <w:spacing w:after="0"/>
        <w:rPr>
          <w:sz w:val="20"/>
          <w:szCs w:val="20"/>
          <w:color w:val="auto"/>
        </w:rPr>
      </w:pPr>
      <w:r>
        <w:rPr>
          <w:rFonts w:ascii="Arial" w:cs="Arial" w:eastAsia="Arial" w:hAnsi="Arial"/>
          <w:sz w:val="18"/>
          <w:szCs w:val="18"/>
          <w:b w:val="1"/>
          <w:bCs w:val="1"/>
          <w:color w:val="auto"/>
        </w:rPr>
        <w:t>Exhibit 4.22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STUDIO CITY FINANCE LIMITED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THE SUBSIDIARY GUARANTORS AS SPECIFIED HEREIN</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US$600,000,000 7.250% Senior Notes due 2024</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171450</wp:posOffset>
            </wp:positionV>
            <wp:extent cx="1329055" cy="2489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5">
                      <a:extLst>
                        <a:ext uri="{28A0092B-C50C-407E-A947-70E740481C1C}"/>
                      </a:extLst>
                    </a:blip>
                    <a:srcRect/>
                    <a:stretch>
                      <a:fillRect/>
                    </a:stretch>
                  </pic:blipFill>
                  <pic:spPr bwMode="auto">
                    <a:xfrm>
                      <a:off x="0" y="0"/>
                      <a:ext cx="132905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9/F, Central Tower</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28 Queen’s Road Central</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PURCHASE AGREEMENT</w:t>
      </w:r>
    </w:p>
    <w:p>
      <w:pPr>
        <w:sectPr>
          <w:pgSz w:w="11900" w:h="16838" w:orient="portrait"/>
          <w:cols w:equalWidth="0" w:num="1">
            <w:col w:w="10020"/>
          </w:cols>
          <w:pgMar w:left="1440" w:top="122" w:right="43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January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Singapore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Raffles Quay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#17-00 South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048583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w:t>
      </w:r>
      <w:r>
        <w:rPr>
          <w:rFonts w:ascii="Arial" w:cs="Arial" w:eastAsia="Arial" w:hAnsi="Arial"/>
          <w:sz w:val="18"/>
          <w:szCs w:val="18"/>
          <w:b w:val="1"/>
          <w:bCs w:val="1"/>
          <w:color w:val="auto"/>
        </w:rPr>
        <w:t>Representative</w:t>
      </w:r>
      <w:r>
        <w:rPr>
          <w:rFonts w:ascii="Arial" w:cs="Arial" w:eastAsia="Arial" w:hAnsi="Arial"/>
          <w:sz w:val="18"/>
          <w:szCs w:val="18"/>
          <w:color w:val="auto"/>
        </w:rPr>
        <w:t>” of the Initial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Initial Purchasers named in Schedule A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Studio City Finance Limited, a company incorporated with limited liability under the laws of the British Virgin Islands (the “</w:t>
      </w:r>
      <w:r>
        <w:rPr>
          <w:rFonts w:ascii="Arial" w:cs="Arial" w:eastAsia="Arial" w:hAnsi="Arial"/>
          <w:sz w:val="17"/>
          <w:szCs w:val="17"/>
          <w:b w:val="1"/>
          <w:bCs w:val="1"/>
          <w:color w:val="auto"/>
        </w:rPr>
        <w:t>Issuer</w:t>
      </w:r>
      <w:r>
        <w:rPr>
          <w:rFonts w:ascii="Arial" w:cs="Arial" w:eastAsia="Arial" w:hAnsi="Arial"/>
          <w:sz w:val="17"/>
          <w:szCs w:val="17"/>
          <w:color w:val="auto"/>
        </w:rPr>
        <w:t xml:space="preserve">”), confirms its agreement with the Initial Purchasers with respect to the issuance and sale by the Issuer and the purchase by the Initial Purchasers, acting severally and not jointly, of the respective principal amounts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of US$600,000,000 aggregate principal amount of the Issuer’s 7.250% Senior Notes due 2024 (the “</w:t>
      </w:r>
      <w:r>
        <w:rPr>
          <w:rFonts w:ascii="Arial" w:cs="Arial" w:eastAsia="Arial" w:hAnsi="Arial"/>
          <w:sz w:val="17"/>
          <w:szCs w:val="17"/>
          <w:b w:val="1"/>
          <w:bCs w:val="1"/>
          <w:color w:val="auto"/>
        </w:rPr>
        <w:t>Notes</w:t>
      </w:r>
      <w:r>
        <w:rPr>
          <w:rFonts w:ascii="Arial" w:cs="Arial" w:eastAsia="Arial" w:hAnsi="Arial"/>
          <w:sz w:val="17"/>
          <w:szCs w:val="17"/>
          <w:color w:val="auto"/>
        </w:rPr>
        <w:t>”), subject to the terms and conditions set forth in this purchase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The Notes are to be issued pursuant to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xml:space="preserve">”), dated as of the Closing Date (as defined below), between the Issuer, the subsidiaries of the Issuer listed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(each, a “</w:t>
      </w:r>
      <w:r>
        <w:rPr>
          <w:rFonts w:ascii="Arial" w:cs="Arial" w:eastAsia="Arial" w:hAnsi="Arial"/>
          <w:sz w:val="17"/>
          <w:szCs w:val="17"/>
          <w:b w:val="1"/>
          <w:bCs w:val="1"/>
          <w:color w:val="auto"/>
        </w:rPr>
        <w:t>Subsidiary Guarantor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Subsidiary Guarantors</w:t>
      </w:r>
      <w:r>
        <w:rPr>
          <w:rFonts w:ascii="Arial" w:cs="Arial" w:eastAsia="Arial" w:hAnsi="Arial"/>
          <w:sz w:val="17"/>
          <w:szCs w:val="17"/>
          <w:color w:val="auto"/>
        </w:rPr>
        <w:t>”) and Deutsche Bank Trust Company Americas, as trustee, registrar, paying agent and transfer agent (the “</w:t>
      </w:r>
      <w:r>
        <w:rPr>
          <w:rFonts w:ascii="Arial" w:cs="Arial" w:eastAsia="Arial" w:hAnsi="Arial"/>
          <w:sz w:val="17"/>
          <w:szCs w:val="17"/>
          <w:b w:val="1"/>
          <w:bCs w:val="1"/>
          <w:color w:val="auto"/>
        </w:rPr>
        <w:t>Trustee</w:t>
      </w:r>
      <w:r>
        <w:rPr>
          <w:rFonts w:ascii="Arial" w:cs="Arial" w:eastAsia="Arial" w:hAnsi="Arial"/>
          <w:sz w:val="17"/>
          <w:szCs w:val="17"/>
          <w:color w:val="auto"/>
        </w:rPr>
        <w:t>”). The Issuer’s obligations under the Notes, including the due and punctual payment of interest on the Notes, will be jointly, severally and unconditionally guaranteed on a senior basis by each of the Subsidiary Guarantors pursuant to the Indenture.</w:t>
      </w:r>
    </w:p>
    <w:p>
      <w:pPr>
        <w:spacing w:after="0" w:line="178" w:lineRule="exact"/>
        <w:rPr>
          <w:sz w:val="20"/>
          <w:szCs w:val="20"/>
          <w:color w:val="auto"/>
        </w:rPr>
      </w:pPr>
    </w:p>
    <w:p>
      <w:pPr>
        <w:jc w:val="both"/>
        <w:ind w:right="220" w:firstLine="441"/>
        <w:spacing w:after="0" w:line="259" w:lineRule="auto"/>
        <w:rPr>
          <w:sz w:val="20"/>
          <w:szCs w:val="20"/>
          <w:color w:val="auto"/>
        </w:rPr>
      </w:pPr>
      <w:r>
        <w:rPr>
          <w:rFonts w:ascii="Arial" w:cs="Arial" w:eastAsia="Arial" w:hAnsi="Arial"/>
          <w:sz w:val="18"/>
          <w:szCs w:val="18"/>
          <w:color w:val="auto"/>
        </w:rPr>
        <w:t>The Issuer intends to use the net proceeds from the offering of the Notes to repurchase in full the Issuer’s existing US$425,000,000 aggregate principal amount of 8.50% senior notes due 2020 (the “</w:t>
      </w:r>
      <w:r>
        <w:rPr>
          <w:rFonts w:ascii="Arial" w:cs="Arial" w:eastAsia="Arial" w:hAnsi="Arial"/>
          <w:sz w:val="18"/>
          <w:szCs w:val="18"/>
          <w:b w:val="1"/>
          <w:bCs w:val="1"/>
          <w:color w:val="auto"/>
        </w:rPr>
        <w:t>2020 Notes</w:t>
      </w:r>
      <w:r>
        <w:rPr>
          <w:rFonts w:ascii="Arial" w:cs="Arial" w:eastAsia="Arial" w:hAnsi="Arial"/>
          <w:sz w:val="18"/>
          <w:szCs w:val="18"/>
          <w:color w:val="auto"/>
        </w:rPr>
        <w:t>”) and pay fees and costs related to the offering of the Notes and such repurchase. The remaining amount will be used for general corporate purposes including but not limited to financing of working capital and repayment of certain other indebtedness.</w:t>
      </w:r>
    </w:p>
    <w:p>
      <w:pPr>
        <w:spacing w:after="0" w:line="183" w:lineRule="exact"/>
        <w:rPr>
          <w:sz w:val="20"/>
          <w:szCs w:val="20"/>
          <w:color w:val="auto"/>
        </w:rPr>
      </w:pPr>
    </w:p>
    <w:p>
      <w:pPr>
        <w:jc w:val="both"/>
        <w:ind w:right="220" w:firstLine="441"/>
        <w:spacing w:after="0" w:line="313" w:lineRule="auto"/>
        <w:rPr>
          <w:sz w:val="20"/>
          <w:szCs w:val="20"/>
          <w:color w:val="auto"/>
        </w:rPr>
      </w:pPr>
      <w:r>
        <w:rPr>
          <w:rFonts w:ascii="Arial" w:cs="Arial" w:eastAsia="Arial" w:hAnsi="Arial"/>
          <w:sz w:val="17"/>
          <w:szCs w:val="17"/>
          <w:color w:val="auto"/>
        </w:rPr>
        <w:t>As used herein, the term “</w:t>
      </w:r>
      <w:r>
        <w:rPr>
          <w:rFonts w:ascii="Arial" w:cs="Arial" w:eastAsia="Arial" w:hAnsi="Arial"/>
          <w:sz w:val="17"/>
          <w:szCs w:val="17"/>
          <w:b w:val="1"/>
          <w:bCs w:val="1"/>
          <w:color w:val="auto"/>
        </w:rPr>
        <w:t>Notes</w:t>
      </w:r>
      <w:r>
        <w:rPr>
          <w:rFonts w:ascii="Arial" w:cs="Arial" w:eastAsia="Arial" w:hAnsi="Arial"/>
          <w:sz w:val="17"/>
          <w:szCs w:val="17"/>
          <w:color w:val="auto"/>
        </w:rPr>
        <w:t>” shall include the guarantees thereof (the “</w:t>
      </w:r>
      <w:r>
        <w:rPr>
          <w:rFonts w:ascii="Arial" w:cs="Arial" w:eastAsia="Arial" w:hAnsi="Arial"/>
          <w:sz w:val="17"/>
          <w:szCs w:val="17"/>
          <w:b w:val="1"/>
          <w:bCs w:val="1"/>
          <w:color w:val="auto"/>
        </w:rPr>
        <w:t>Subsidiary Guarantees</w:t>
      </w:r>
      <w:r>
        <w:rPr>
          <w:rFonts w:ascii="Arial" w:cs="Arial" w:eastAsia="Arial" w:hAnsi="Arial"/>
          <w:sz w:val="17"/>
          <w:szCs w:val="17"/>
          <w:color w:val="auto"/>
        </w:rPr>
        <w:t>”) by the Subsidiary Guarantors, unless the context otherwise requires, and this Agreement, the Indenture and the Notes are referred to herein as the “</w:t>
      </w:r>
      <w:r>
        <w:rPr>
          <w:rFonts w:ascii="Arial" w:cs="Arial" w:eastAsia="Arial" w:hAnsi="Arial"/>
          <w:sz w:val="17"/>
          <w:szCs w:val="17"/>
          <w:b w:val="1"/>
          <w:bCs w:val="1"/>
          <w:color w:val="auto"/>
        </w:rPr>
        <w:t>Operative Documents</w:t>
      </w:r>
      <w:r>
        <w:rPr>
          <w:rFonts w:ascii="Arial" w:cs="Arial" w:eastAsia="Arial" w:hAnsi="Arial"/>
          <w:sz w:val="17"/>
          <w:szCs w:val="17"/>
          <w:color w:val="auto"/>
        </w:rPr>
        <w:t>.”</w:t>
      </w:r>
    </w:p>
    <w:p>
      <w:pPr>
        <w:spacing w:after="0" w:line="138" w:lineRule="exact"/>
        <w:rPr>
          <w:sz w:val="20"/>
          <w:szCs w:val="20"/>
          <w:color w:val="auto"/>
        </w:rPr>
      </w:pPr>
    </w:p>
    <w:p>
      <w:pPr>
        <w:ind w:right="280" w:firstLine="441"/>
        <w:spacing w:after="0" w:line="266" w:lineRule="auto"/>
        <w:rPr>
          <w:sz w:val="20"/>
          <w:szCs w:val="20"/>
          <w:color w:val="auto"/>
        </w:rPr>
      </w:pPr>
      <w:r>
        <w:rPr>
          <w:rFonts w:ascii="Arial" w:cs="Arial" w:eastAsia="Arial" w:hAnsi="Arial"/>
          <w:sz w:val="18"/>
          <w:szCs w:val="18"/>
          <w:color w:val="auto"/>
        </w:rPr>
        <w:t>The offer of the Notes by the Initial Purchasers is herein called the “</w:t>
      </w:r>
      <w:r>
        <w:rPr>
          <w:rFonts w:ascii="Arial" w:cs="Arial" w:eastAsia="Arial" w:hAnsi="Arial"/>
          <w:sz w:val="18"/>
          <w:szCs w:val="18"/>
          <w:b w:val="1"/>
          <w:bCs w:val="1"/>
          <w:color w:val="auto"/>
        </w:rPr>
        <w:t>Offering</w:t>
      </w:r>
      <w:r>
        <w:rPr>
          <w:rFonts w:ascii="Arial" w:cs="Arial" w:eastAsia="Arial" w:hAnsi="Arial"/>
          <w:sz w:val="18"/>
          <w:szCs w:val="18"/>
          <w:color w:val="auto"/>
        </w:rPr>
        <w:t>.” All references to “</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herein are to United States dollars. In connection with the Offering, the Issuer has made a listing application to, and approval-in-principle has been obtained from, the Singapore Exchange Securities Trading Limited (the “</w:t>
      </w:r>
      <w:r>
        <w:rPr>
          <w:rFonts w:ascii="Arial" w:cs="Arial" w:eastAsia="Arial" w:hAnsi="Arial"/>
          <w:sz w:val="18"/>
          <w:szCs w:val="18"/>
          <w:b w:val="1"/>
          <w:bCs w:val="1"/>
          <w:color w:val="auto"/>
        </w:rPr>
        <w:t>SGX-ST</w:t>
      </w:r>
      <w:r>
        <w:rPr>
          <w:rFonts w:ascii="Arial" w:cs="Arial" w:eastAsia="Arial" w:hAnsi="Arial"/>
          <w:sz w:val="18"/>
          <w:szCs w:val="18"/>
          <w:color w:val="auto"/>
        </w:rPr>
        <w:t>”) for the listing on the SGX-ST of the Notes.</w:t>
      </w:r>
    </w:p>
    <w:p>
      <w:pPr>
        <w:sectPr>
          <w:pgSz w:w="11900" w:h="16838" w:orient="portrait"/>
          <w:cols w:equalWidth="0" w:num="1">
            <w:col w:w="10960"/>
          </w:cols>
          <w:pgMar w:left="440" w:top="273" w:right="499" w:bottom="1440" w:gutter="0" w:footer="0" w:header="0"/>
        </w:sectPr>
      </w:pPr>
    </w:p>
    <w:bookmarkStart w:id="523" w:name="page524"/>
    <w:bookmarkEnd w:id="52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understands that the Initial Purchasers propose to make the Offering on the terms and in the manner set forth herein and agrees that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Initial Purchasers may resell, subject to the conditions set forth herein, all or a portion of the Notes to purchasers (“</w:t>
      </w:r>
      <w:r>
        <w:rPr>
          <w:rFonts w:ascii="Arial" w:cs="Arial" w:eastAsia="Arial" w:hAnsi="Arial"/>
          <w:sz w:val="16"/>
          <w:szCs w:val="16"/>
          <w:b w:val="1"/>
          <w:bCs w:val="1"/>
          <w:color w:val="auto"/>
        </w:rPr>
        <w:t>Subsequent Purchasers</w:t>
      </w:r>
      <w:r>
        <w:rPr>
          <w:rFonts w:ascii="Arial" w:cs="Arial" w:eastAsia="Arial" w:hAnsi="Arial"/>
          <w:sz w:val="16"/>
          <w:szCs w:val="16"/>
          <w:color w:val="auto"/>
        </w:rPr>
        <w:t>”) 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after this Agreement has been executed and delivered. The Notes are to be offered and sold through the Initial Purchasers without being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in reliance upon exemptions therefrom. Pursuant to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and the Indenture, investors that acquire Notes may only resell or otherwise transfer such Notes (A) (i) if such Notes are hereafter registered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Act or (ii) if an exemption from the registration requirements of the Securities Act is available for such resale or transfer (including,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without limitation, the exemptions afforded by Rule 144A under the Securities Act (“</w:t>
      </w:r>
      <w:r>
        <w:rPr>
          <w:rFonts w:ascii="Arial" w:cs="Arial" w:eastAsia="Arial" w:hAnsi="Arial"/>
          <w:sz w:val="18"/>
          <w:szCs w:val="18"/>
          <w:b w:val="1"/>
          <w:bCs w:val="1"/>
          <w:color w:val="auto"/>
        </w:rPr>
        <w:t>Rule 144A</w:t>
      </w:r>
      <w:r>
        <w:rPr>
          <w:rFonts w:ascii="Arial" w:cs="Arial" w:eastAsia="Arial" w:hAnsi="Arial"/>
          <w:sz w:val="18"/>
          <w:szCs w:val="18"/>
          <w:color w:val="auto"/>
        </w:rPr>
        <w:t>”), or Regulation S under the 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Regulation S</w:t>
      </w:r>
      <w:r>
        <w:rPr>
          <w:rFonts w:ascii="Arial" w:cs="Arial" w:eastAsia="Arial" w:hAnsi="Arial"/>
          <w:sz w:val="17"/>
          <w:szCs w:val="17"/>
          <w:color w:val="auto"/>
        </w:rPr>
        <w:t>”) and (B) in compliance with transfer restrictions set forth in the Offering Memorandum under the caption “Transfer Restrictions.”</w:t>
      </w:r>
    </w:p>
    <w:p>
      <w:pPr>
        <w:spacing w:after="0" w:line="222"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In connection with the sale of the Notes, the Issuer confirms that it has prepared and delivered to each of the Initial Purchasers copies of a preliminary offering memorandum dated January 22, 2019 (the “</w:t>
      </w:r>
      <w:r>
        <w:rPr>
          <w:rFonts w:ascii="Arial" w:cs="Arial" w:eastAsia="Arial" w:hAnsi="Arial"/>
          <w:sz w:val="18"/>
          <w:szCs w:val="18"/>
          <w:b w:val="1"/>
          <w:bCs w:val="1"/>
          <w:color w:val="auto"/>
        </w:rPr>
        <w:t>Preliminary Offering Memorandum</w:t>
      </w:r>
      <w:r>
        <w:rPr>
          <w:rFonts w:ascii="Arial" w:cs="Arial" w:eastAsia="Arial" w:hAnsi="Arial"/>
          <w:sz w:val="18"/>
          <w:szCs w:val="18"/>
          <w:color w:val="auto"/>
        </w:rPr>
        <w:t xml:space="preserve">”) and a pricing supplement, in the form attached hereto as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(the “</w:t>
      </w:r>
      <w:r>
        <w:rPr>
          <w:rFonts w:ascii="Arial" w:cs="Arial" w:eastAsia="Arial" w:hAnsi="Arial"/>
          <w:sz w:val="18"/>
          <w:szCs w:val="18"/>
          <w:b w:val="1"/>
          <w:bCs w:val="1"/>
          <w:color w:val="auto"/>
        </w:rPr>
        <w:t>Pricing Supplement</w:t>
      </w:r>
      <w:r>
        <w:rPr>
          <w:rFonts w:ascii="Arial" w:cs="Arial" w:eastAsia="Arial" w:hAnsi="Arial"/>
          <w:sz w:val="18"/>
          <w:szCs w:val="18"/>
          <w:color w:val="auto"/>
        </w:rPr>
        <w:t>”) and that it will prepare and deliver to each of the Initial Purchasers, dated the date hereof, a final offering memorandum (the “</w:t>
      </w:r>
      <w:r>
        <w:rPr>
          <w:rFonts w:ascii="Arial" w:cs="Arial" w:eastAsia="Arial" w:hAnsi="Arial"/>
          <w:sz w:val="18"/>
          <w:szCs w:val="18"/>
          <w:b w:val="1"/>
          <w:bCs w:val="1"/>
          <w:color w:val="auto"/>
        </w:rPr>
        <w:t>Final Offering Memorandum</w:t>
      </w:r>
      <w:r>
        <w:rPr>
          <w:rFonts w:ascii="Arial" w:cs="Arial" w:eastAsia="Arial" w:hAnsi="Arial"/>
          <w:sz w:val="18"/>
          <w:szCs w:val="18"/>
          <w:color w:val="auto"/>
        </w:rPr>
        <w:t>”), each for use by each of the Initial Purchasers in connection with its solicitation of purchases of, or offering of, the Notes. “</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with respect to any date or time referred to in this Agreement, the most recent offering memorandum (whether the Preliminary Offering Memorandum or the Final Offering Memorandum, or any amendment or supplement to either such document) which has been prepared and delivered by the Issuer to each of the Initial Purchasers in connection with its solicitation of purchases of, or offering of the Notes.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License</w:t>
      </w:r>
      <w:r>
        <w:rPr>
          <w:rFonts w:ascii="Arial" w:cs="Arial" w:eastAsia="Arial" w:hAnsi="Arial"/>
          <w:sz w:val="16"/>
          <w:szCs w:val="16"/>
          <w:color w:val="auto"/>
        </w:rPr>
        <w:t>” means a license for operating games of chance and other casino games in Macau, pursuant to a valid subconcession contract;</w:t>
      </w:r>
    </w:p>
    <w:p>
      <w:pPr>
        <w:spacing w:after="0" w:line="248"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Contracts</w:t>
      </w:r>
      <w:r>
        <w:rPr>
          <w:rFonts w:ascii="Arial" w:cs="Arial" w:eastAsia="Arial" w:hAnsi="Arial"/>
          <w:sz w:val="17"/>
          <w:szCs w:val="17"/>
          <w:color w:val="auto"/>
        </w:rPr>
        <w:t>” means each of (i) the Services and Right to Use Agreement originally dated May 11, 2007 and as amended on June 15, 2012 (the “</w:t>
      </w:r>
      <w:r>
        <w:rPr>
          <w:rFonts w:ascii="Arial" w:cs="Arial" w:eastAsia="Arial" w:hAnsi="Arial"/>
          <w:sz w:val="17"/>
          <w:szCs w:val="17"/>
          <w:b w:val="1"/>
          <w:bCs w:val="1"/>
          <w:color w:val="auto"/>
        </w:rPr>
        <w:t>Services and Right to Use Agreement</w:t>
      </w:r>
      <w:r>
        <w:rPr>
          <w:rFonts w:ascii="Arial" w:cs="Arial" w:eastAsia="Arial" w:hAnsi="Arial"/>
          <w:sz w:val="17"/>
          <w:szCs w:val="17"/>
          <w:color w:val="auto"/>
        </w:rPr>
        <w:t>”) between Studio City Entertainment Limited (formerly named MSC Diversões Limitada and New Cotai Entertainment (Macau) Limited) and Melco Resorts (Macau) Limited, previously known as Melco Crown (Macau) Limited, a Macau company (“</w:t>
      </w:r>
      <w:r>
        <w:rPr>
          <w:rFonts w:ascii="Arial" w:cs="Arial" w:eastAsia="Arial" w:hAnsi="Arial"/>
          <w:sz w:val="17"/>
          <w:szCs w:val="17"/>
          <w:b w:val="1"/>
          <w:bCs w:val="1"/>
          <w:color w:val="auto"/>
        </w:rPr>
        <w:t>Melco Resorts Macau</w:t>
      </w:r>
      <w:r>
        <w:rPr>
          <w:rFonts w:ascii="Arial" w:cs="Arial" w:eastAsia="Arial" w:hAnsi="Arial"/>
          <w:sz w:val="17"/>
          <w:szCs w:val="17"/>
          <w:color w:val="auto"/>
        </w:rPr>
        <w:t>”); (ii) the Land Concession dated October 9, 2001 between Macau Special Administrative Region and Studio City Developments Limited (formerly known as East Asia- Televisão Por Satelite, Limitada and MSC Desenvolvimentos, Limitada), as amended on July 25, 2012; (iii) the reimbursement agreement dated June 15, 2012, between Melco Resorts Macau and Studio City Entertainment Limited; (iv) the services agreements and arrangements for non-gaming services entered into on December 21, 2015 between Studio City International Holdings Limited and certain of its subsidiaries on one hand and certain subsidiaries of Melco Resorts &amp; Entertainment Limited on the other; and (v) all amendments, variations, modifications and supplements of the documents referred to in (i) through (iv) above;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3" w:right="439" w:bottom="1440" w:gutter="0" w:footer="0" w:header="0"/>
        </w:sectPr>
      </w:pPr>
    </w:p>
    <w:bookmarkStart w:id="524" w:name="page525"/>
    <w:bookmarkEnd w:id="524"/>
    <w:p>
      <w:pPr>
        <w:jc w:val="both"/>
        <w:ind w:firstLine="441"/>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Sanction Target</w:t>
      </w:r>
      <w:r>
        <w:rPr>
          <w:rFonts w:ascii="Arial" w:cs="Arial" w:eastAsia="Arial" w:hAnsi="Arial"/>
          <w:sz w:val="16"/>
          <w:szCs w:val="16"/>
          <w:color w:val="auto"/>
        </w:rPr>
        <w:t>” means any person who is (i) the subject or the target of any sanctions or trade embargos administered or enforced by the U.S. Department of the Treasury’s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the U.S. Department of Commerce,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the European Union (“</w:t>
      </w:r>
      <w:r>
        <w:rPr>
          <w:rFonts w:ascii="Arial" w:cs="Arial" w:eastAsia="Arial" w:hAnsi="Arial"/>
          <w:sz w:val="16"/>
          <w:szCs w:val="16"/>
          <w:b w:val="1"/>
          <w:bCs w:val="1"/>
          <w:color w:val="auto"/>
        </w:rPr>
        <w:t>EU</w:t>
      </w:r>
      <w:r>
        <w:rPr>
          <w:rFonts w:ascii="Arial" w:cs="Arial" w:eastAsia="Arial" w:hAnsi="Arial"/>
          <w:sz w:val="16"/>
          <w:szCs w:val="16"/>
          <w:color w:val="auto"/>
        </w:rPr>
        <w:t>”),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the Monetary Authority of Singapore (“</w:t>
      </w:r>
      <w:r>
        <w:rPr>
          <w:rFonts w:ascii="Arial" w:cs="Arial" w:eastAsia="Arial" w:hAnsi="Arial"/>
          <w:sz w:val="16"/>
          <w:szCs w:val="16"/>
          <w:b w:val="1"/>
          <w:bCs w:val="1"/>
          <w:color w:val="auto"/>
        </w:rPr>
        <w:t>MAS</w:t>
      </w:r>
      <w:r>
        <w:rPr>
          <w:rFonts w:ascii="Arial" w:cs="Arial" w:eastAsia="Arial" w:hAnsi="Arial"/>
          <w:sz w:val="16"/>
          <w:szCs w:val="16"/>
          <w:color w:val="auto"/>
        </w:rPr>
        <w:t>”) or any other applicable sanctions regulation (collectively, “</w:t>
      </w:r>
      <w:r>
        <w:rPr>
          <w:rFonts w:ascii="Arial" w:cs="Arial" w:eastAsia="Arial" w:hAnsi="Arial"/>
          <w:sz w:val="16"/>
          <w:szCs w:val="16"/>
          <w:b w:val="1"/>
          <w:bCs w:val="1"/>
          <w:color w:val="auto"/>
        </w:rPr>
        <w:t>Sanctions</w:t>
      </w:r>
      <w:r>
        <w:rPr>
          <w:rFonts w:ascii="Arial" w:cs="Arial" w:eastAsia="Arial" w:hAnsi="Arial"/>
          <w:sz w:val="16"/>
          <w:szCs w:val="16"/>
          <w:color w:val="auto"/>
        </w:rPr>
        <w:t>”); (ii) 50% or more owned by or otherwise controlled by or acting on behalf of one or more persons referenced in clause (i) above, or (iii) located, organized or resident in a country or territory that is the subject or the target of Sanctions (including but not limited to, Cuba, Iran, North Korea, Sudan, the Crimea region in the Ukraine and Syria)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 by the Issuer and the Subsidiary Guarantors</w:t>
      </w:r>
      <w:r>
        <w:rPr>
          <w:rFonts w:ascii="Arial" w:cs="Arial" w:eastAsia="Arial" w:hAnsi="Arial"/>
          <w:sz w:val="18"/>
          <w:szCs w:val="18"/>
          <w:color w:val="auto"/>
        </w:rPr>
        <w:t>.</w:t>
      </w:r>
    </w:p>
    <w:p>
      <w:pPr>
        <w:spacing w:after="0" w:line="11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Each of the Issuer and the Subsidiary Guarantors jointly and severally represents and warrants to each Initial Purchaser as of the date hereof and as of the Closing Date referred to in Section 2(b) hereof, and agrees with each Initial Purchaser, as follows:</w:t>
      </w:r>
    </w:p>
    <w:p>
      <w:pPr>
        <w:spacing w:after="0" w:line="62" w:lineRule="exact"/>
        <w:rPr>
          <w:sz w:val="20"/>
          <w:szCs w:val="20"/>
          <w:color w:val="auto"/>
        </w:rPr>
      </w:pPr>
    </w:p>
    <w:p>
      <w:pPr>
        <w:ind w:firstLine="885"/>
        <w:spacing w:after="0" w:line="276" w:lineRule="auto"/>
        <w:tabs>
          <w:tab w:leader="none" w:pos="1096" w:val="left"/>
        </w:tabs>
        <w:numPr>
          <w:ilvl w:val="0"/>
          <w:numId w:val="707"/>
        </w:numPr>
        <w:rPr>
          <w:rFonts w:ascii="Arial" w:cs="Arial" w:eastAsia="Arial" w:hAnsi="Arial"/>
          <w:sz w:val="17"/>
          <w:szCs w:val="17"/>
          <w:color w:val="auto"/>
        </w:rPr>
      </w:pPr>
      <w:r>
        <w:rPr>
          <w:rFonts w:ascii="Arial" w:cs="Arial" w:eastAsia="Arial" w:hAnsi="Arial"/>
          <w:sz w:val="17"/>
          <w:szCs w:val="17"/>
          <w:u w:val="single" w:color="auto"/>
          <w:color w:val="auto"/>
        </w:rPr>
        <w:t>Disclosure Package and Final Offering Memorandum</w:t>
      </w:r>
      <w:r>
        <w:rPr>
          <w:rFonts w:ascii="Arial" w:cs="Arial" w:eastAsia="Arial" w:hAnsi="Arial"/>
          <w:sz w:val="17"/>
          <w:szCs w:val="17"/>
          <w:color w:val="auto"/>
        </w:rPr>
        <w:t>. As of the Applicable Time (as defined below), neither (x) the Preliminary Offering Memorandum as supplemented by the Pricing Supplement, all considered together (collectively, the “</w:t>
      </w:r>
      <w:r>
        <w:rPr>
          <w:rFonts w:ascii="Arial" w:cs="Arial" w:eastAsia="Arial" w:hAnsi="Arial"/>
          <w:sz w:val="17"/>
          <w:szCs w:val="17"/>
          <w:b w:val="1"/>
          <w:bCs w:val="1"/>
          <w:color w:val="auto"/>
        </w:rPr>
        <w:t>Disclosure Package</w:t>
      </w:r>
      <w:r>
        <w:rPr>
          <w:rFonts w:ascii="Arial" w:cs="Arial" w:eastAsia="Arial" w:hAnsi="Arial"/>
          <w:sz w:val="17"/>
          <w:szCs w:val="17"/>
          <w:color w:val="auto"/>
        </w:rPr>
        <w:t>”), nor (y) any individual Supplemental Offering Materials (as defined below), when considered together with the Disclosure Package, included any untrue statement of a material fact or omitted to state any material fact necessary in order to make the statements therein, in the light of the circumstances under which they were made, not misleading.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when sales of the Notes were first made.</w:t>
      </w:r>
    </w:p>
    <w:p>
      <w:pPr>
        <w:spacing w:after="0" w:line="169"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Offering Materials</w:t>
      </w:r>
      <w:r>
        <w:rPr>
          <w:rFonts w:ascii="Arial" w:cs="Arial" w:eastAsia="Arial" w:hAnsi="Arial"/>
          <w:sz w:val="18"/>
          <w:szCs w:val="18"/>
          <w:color w:val="auto"/>
        </w:rPr>
        <w:t>” means any “written communication” (within the meaning of the rules and regulations promulgated under the Securities Act by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prepared by or on behalf of the Issuer, or used or referred to by the Issuer, that constitutes an offer to sell or a solicitation of an offer to buy the Notes other than the Offering Memorandum or amendments or supplements thereto (including the Pricing Supplement), including, without limitation, any road show material relating to the Notes that constitutes such a written communication.</w:t>
      </w:r>
    </w:p>
    <w:p>
      <w:pPr>
        <w:spacing w:after="0" w:line="188"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As of its date of issue and as of the Closing Date, the Final Offering Memorandum will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representations, warranties and agreements in this Section 1(i) shall not apply to statements in or omissions from the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or the Final Offering Memorandum or any amendments or supplements thereto made in reliance upon and in conformity with information furnished to the Issuer in writing by an Initial Purchaser expressly for use in the Disclosure Package or the Final Offering Memorandum or any amendments or supplements thereto, it being understood and agreed that the only such information furnished by any Initial Purchaser consists of the information described as such in Section 7(b) hereof.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25" w:name="page526"/>
    <w:bookmarkEnd w:id="525"/>
    <w:p>
      <w:pPr>
        <w:ind w:left="-20" w:right="80" w:firstLine="885"/>
        <w:spacing w:after="0" w:line="254" w:lineRule="auto"/>
        <w:tabs>
          <w:tab w:leader="none" w:pos="1126" w:val="left"/>
        </w:tabs>
        <w:numPr>
          <w:ilvl w:val="0"/>
          <w:numId w:val="7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Existence</w:t>
      </w:r>
      <w:r>
        <w:rPr>
          <w:rFonts w:ascii="Arial" w:cs="Arial" w:eastAsia="Arial" w:hAnsi="Arial"/>
          <w:sz w:val="18"/>
          <w:szCs w:val="18"/>
          <w:color w:val="auto"/>
        </w:rPr>
        <w:t>. Each of the Issuer and its subsidiaries has been duly incorporated and is existing and (where such concept is applicable) in good standing under the laws of the jurisdiction of its incorporation or establishment, with power and authority (corporate and other) to own its properties and conduct its business as described in the Disclosure Package and the Final Offering Memorandum and to enter into, execute and perform its obligations under the Operative Documents to which it is a party, and is duly qualified to do business as a foreign corporation (where such concept is applicable) in good standing in all other jurisdictions in which its ownership or lease of property or the conduct of its business requires such qualification, except where the failure to be so qualified in such jurisdiction, individually or in the aggregate, would not have a material adverse effect on the condition (financial or other), business, properties, business prospects or results of operations of the Issuer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20" w:right="20" w:firstLine="885"/>
        <w:spacing w:after="0" w:line="255" w:lineRule="auto"/>
        <w:tabs>
          <w:tab w:leader="none" w:pos="1176" w:val="left"/>
        </w:tabs>
        <w:numPr>
          <w:ilvl w:val="0"/>
          <w:numId w:val="70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The Issuer does not have any subsidiaries other than the ones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All of the issued and outstanding authorized shares of each subsidiary of the Issuer have been duly authorized and validly issued and are fully paid and non-assessable; and except for authorized shares which have been pledged pursuant to prior financings as disclosed in the Disclosure Package and the Final Offering Memorandum, the issued shares of each subsidiary owned by the Issuer, directly or through subsidiaries, are owned free from liens, encumbrances and defects. The statements and the diagrams set forth in the Disclosure Package and Final Offering Memorandum under the section “Summary—Corporate Structure and Certain Financing Arrangements,” insofar as they purport to describe the ownership interests of the Issuer and its subsidiaries are accurate and fair in all material respects.</w:t>
      </w:r>
    </w:p>
    <w:p>
      <w:pPr>
        <w:spacing w:after="0" w:line="81" w:lineRule="exact"/>
        <w:rPr>
          <w:rFonts w:ascii="Arial" w:cs="Arial" w:eastAsia="Arial" w:hAnsi="Arial"/>
          <w:sz w:val="18"/>
          <w:szCs w:val="18"/>
          <w:color w:val="auto"/>
        </w:rPr>
      </w:pPr>
    </w:p>
    <w:p>
      <w:pPr>
        <w:ind w:left="-20" w:right="440" w:firstLine="885"/>
        <w:spacing w:after="0" w:line="342" w:lineRule="auto"/>
        <w:tabs>
          <w:tab w:leader="none" w:pos="1166" w:val="left"/>
        </w:tabs>
        <w:numPr>
          <w:ilvl w:val="0"/>
          <w:numId w:val="70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Issuer is as set forth in the Disclosure Package and the Final Offering Memorandum in the column entitled “Actual” under the caption “Capitalization”; all of the issued and outstanding shares of the Issuer have been duly authorized.</w:t>
      </w:r>
    </w:p>
    <w:p>
      <w:pPr>
        <w:spacing w:after="0" w:line="15" w:lineRule="exact"/>
        <w:rPr>
          <w:rFonts w:ascii="Arial" w:cs="Arial" w:eastAsia="Arial" w:hAnsi="Arial"/>
          <w:sz w:val="16"/>
          <w:szCs w:val="16"/>
          <w:color w:val="auto"/>
        </w:rPr>
      </w:pPr>
    </w:p>
    <w:p>
      <w:pPr>
        <w:ind w:left="-20" w:right="40" w:firstLine="885"/>
        <w:spacing w:after="0" w:line="255" w:lineRule="auto"/>
        <w:tabs>
          <w:tab w:leader="none" w:pos="1116" w:val="left"/>
        </w:tabs>
        <w:numPr>
          <w:ilvl w:val="0"/>
          <w:numId w:val="708"/>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consent, approval, or order of, clearance by, or filing or registration with, any person (including any governmental agency or body or any court or any stock exchange) is required to be obtained or made by the Issuer or any of its subsidiaries for the consummation by the Issuer of the transactions contemplated by the Operative Documents, except such as may be required (A) under the blue sky or similar laws of any jurisdiction in connection with the purchase and distribution of the Notes by the Initial Purchasers in the manner contemplated in the Operative Documents, the Disclosure Package and the Final Offering Memorandum and (B) by the SGX-ST in connection with its granting approval-in-principle for the listing and quotation of the Notes when such approval is obtained. No governmental authorization is required to effect payments of principal, premium, if any, and interest on the Notes.</w:t>
      </w:r>
    </w:p>
    <w:p>
      <w:pPr>
        <w:spacing w:after="0" w:line="81" w:lineRule="exact"/>
        <w:rPr>
          <w:rFonts w:ascii="Arial" w:cs="Arial" w:eastAsia="Arial" w:hAnsi="Arial"/>
          <w:sz w:val="18"/>
          <w:szCs w:val="18"/>
          <w:color w:val="auto"/>
        </w:rPr>
      </w:pPr>
    </w:p>
    <w:p>
      <w:pPr>
        <w:ind w:left="-20" w:firstLine="885"/>
        <w:spacing w:after="0" w:line="272" w:lineRule="auto"/>
        <w:tabs>
          <w:tab w:leader="none" w:pos="1166" w:val="left"/>
        </w:tabs>
        <w:numPr>
          <w:ilvl w:val="0"/>
          <w:numId w:val="708"/>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disclosed in the Disclosure Package and the Final Offering Memorandum, the Issuer and its subsidiaries have good and marketable title to all real property and all other property and assets owned by them as are necessary to conduct their respective businesses in the manner described in the Disclosure Package and the Final Offering Memorandum, in each case free from liens, charges, encumbrances and defects that would materially affect the value thereof or materially interfere with the use made or to be made thereof by them, and the Issuer and its subsidiaries hold any leased real or personal property under valid and enforceable leases with no terms or provisions that would materially interfere with the use made or to be made thereof by them and except for such liens, encumbrances, charges, defects, claims, options or restrictions which, individually or in the aggregate, would not have a Material Adverse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3" w:right="439" w:bottom="1440" w:gutter="0" w:footer="0" w:header="0"/>
        </w:sectPr>
      </w:pPr>
    </w:p>
    <w:bookmarkStart w:id="526" w:name="page527"/>
    <w:bookmarkEnd w:id="526"/>
    <w:p>
      <w:pPr>
        <w:ind w:left="-4" w:firstLine="885"/>
        <w:spacing w:after="0" w:line="271" w:lineRule="auto"/>
        <w:tabs>
          <w:tab w:leader="none" w:pos="1232" w:val="left"/>
        </w:tabs>
        <w:numPr>
          <w:ilvl w:val="1"/>
          <w:numId w:val="7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w:t>
      </w:r>
      <w:r>
        <w:rPr>
          <w:rFonts w:ascii="Arial" w:cs="Arial" w:eastAsia="Arial" w:hAnsi="Arial"/>
          <w:sz w:val="17"/>
          <w:szCs w:val="17"/>
          <w:i w:val="1"/>
          <w:iCs w:val="1"/>
          <w:color w:val="auto"/>
        </w:rPr>
        <w:t>.</w:t>
      </w:r>
      <w:r>
        <w:rPr>
          <w:rFonts w:ascii="Arial" w:cs="Arial" w:eastAsia="Arial" w:hAnsi="Arial"/>
          <w:sz w:val="17"/>
          <w:szCs w:val="17"/>
          <w:color w:val="auto"/>
        </w:rPr>
        <w:t xml:space="preserve"> Neither the Issuer nor any of its subsidiaries is (A) in violation of its respective constitutional documents, (B) in default of the performance or observance of any obligation, agreement, covenant or condition contained in any contract, indenture, mortgage, deed of trust, loan or credit agreement, note, license, lease or other agreement or instrument, including, without limitation, each Material Contract, to which the Issuer or any of its subsidiaries is a party or by which it may be bound, or to which any of the properties or assets of the Issuer or any of its subsidiaries may be subject (and no event has occurred which, with the giving of notices or lapse of time or both, would constitute such default), or (C) in violation of any statute, law, rule, regulation, judgment, order or decree of any court, regulatory body, administrative agency, governmental body, arbitrator or other authority having jurisdiction over the Issuer or such subsidiary or any of its properties, as applicable, except, in the case of (B) and (C) only, any defaults or violations which, individually and in the aggregate, would not have a Material Adverse Effect.</w:t>
      </w:r>
    </w:p>
    <w:p>
      <w:pPr>
        <w:spacing w:after="0" w:line="70" w:lineRule="exact"/>
        <w:rPr>
          <w:rFonts w:ascii="Arial" w:cs="Arial" w:eastAsia="Arial" w:hAnsi="Arial"/>
          <w:sz w:val="17"/>
          <w:szCs w:val="17"/>
          <w:color w:val="auto"/>
        </w:rPr>
      </w:pPr>
    </w:p>
    <w:p>
      <w:pPr>
        <w:ind w:left="-4" w:right="40" w:firstLine="885"/>
        <w:spacing w:after="0" w:line="285" w:lineRule="auto"/>
        <w:tabs>
          <w:tab w:leader="none" w:pos="1282" w:val="left"/>
        </w:tabs>
        <w:numPr>
          <w:ilvl w:val="1"/>
          <w:numId w:val="709"/>
        </w:numPr>
        <w:rPr>
          <w:rFonts w:ascii="Arial" w:cs="Arial" w:eastAsia="Arial" w:hAnsi="Arial"/>
          <w:sz w:val="16"/>
          <w:szCs w:val="16"/>
          <w:color w:val="auto"/>
        </w:rPr>
      </w:pPr>
      <w:r>
        <w:rPr>
          <w:rFonts w:ascii="Arial" w:cs="Arial" w:eastAsia="Arial" w:hAnsi="Arial"/>
          <w:sz w:val="16"/>
          <w:szCs w:val="16"/>
          <w:u w:val="single" w:color="auto"/>
          <w:color w:val="auto"/>
        </w:rPr>
        <w:t>Absence of Defaults and Conflicts Resulting from Transaction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execution, delivery and performance of each Operative Document and the consummation of the transactions contemplated herein and therein by each of the Issuer and the Subsidiary Guarantors, the issuance and sale of the Notes and the application of the proceeds from the sale of the Notes by the Issuer, as described in the Disclosure Package and the Final Offering Memorandum under the caption “Use of Proceeds,” and compliance by the Issuer and the Subsidiary Guarantors with their respective obligations hereunder and thereunder do not and will not result in (A) a violation of the respective constitutional documents of the Issuer or any of its subsidiaries,</w:t>
      </w:r>
    </w:p>
    <w:p>
      <w:pPr>
        <w:spacing w:after="0" w:line="2" w:lineRule="exact"/>
        <w:rPr>
          <w:rFonts w:ascii="Arial" w:cs="Arial" w:eastAsia="Arial" w:hAnsi="Arial"/>
          <w:sz w:val="16"/>
          <w:szCs w:val="16"/>
          <w:color w:val="auto"/>
        </w:rPr>
      </w:pPr>
    </w:p>
    <w:p>
      <w:pPr>
        <w:ind w:left="-4" w:right="20" w:firstLine="4"/>
        <w:spacing w:after="0" w:line="285" w:lineRule="auto"/>
        <w:tabs>
          <w:tab w:leader="none" w:pos="281" w:val="left"/>
        </w:tabs>
        <w:numPr>
          <w:ilvl w:val="0"/>
          <w:numId w:val="710"/>
        </w:numPr>
        <w:rPr>
          <w:rFonts w:ascii="Arial" w:cs="Arial" w:eastAsia="Arial" w:hAnsi="Arial"/>
          <w:sz w:val="16"/>
          <w:szCs w:val="16"/>
          <w:color w:val="auto"/>
        </w:rPr>
      </w:pPr>
      <w:r>
        <w:rPr>
          <w:rFonts w:ascii="Arial" w:cs="Arial" w:eastAsia="Arial" w:hAnsi="Arial"/>
          <w:sz w:val="16"/>
          <w:szCs w:val="16"/>
          <w:color w:val="auto"/>
        </w:rPr>
        <w:t>a violation of any statute, law, rule, regulation, judgment, order or decree of any court, regulatory body, administrative agency, governmental body, arbitrator or other authority having jurisdiction over the Issuer or any of its subsidiaries or any of their properties, or (C) a breach or violation of any of the terms and provisions of, or constitute a default or a Debt Repayment Triggering Event (as defined below) under, or result in the imposition of any lien, charge or encumbrance upon any property or assets of the Issuer or any of its subsidiaries pursuant to, the constitutional documents of the Issuer or any of its subsidiaries, any statute, rule, regulation or order of any governmental agency or body or any court, arbitrator or other authority, domestic or foreign, having jurisdiction over the Issuer or any of its subsidiaries or any of their properties, or any agreement or instrument to which the Issuer or any of its subsidiaries is a party or by which the Issuer or any of its subsidiaries is bound or to which any of the properties of the Issuer or any of its subsidiaries is subject except in the case of (B) and (C) above, where any such breach, violation, contravention, default, Debt Repayment Triggering Event, lien, charge or encumbrance would not, individually or in the aggregate, have a Material Adverse Effect. A “</w:t>
      </w:r>
      <w:r>
        <w:rPr>
          <w:rFonts w:ascii="Arial" w:cs="Arial" w:eastAsia="Arial" w:hAnsi="Arial"/>
          <w:sz w:val="16"/>
          <w:szCs w:val="16"/>
          <w:b w:val="1"/>
          <w:bCs w:val="1"/>
          <w:color w:val="auto"/>
        </w:rPr>
        <w:t>Debt Repayment Triggering</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means any event or condition that gives, or with the giving of notice or lapse of time would give, the holder of any note, debenture,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of indebtedness (or any person acting on such holder’s behalf) the right to require the repurchase, redemption or repayment of all or a portion of such indebtedness by the Issuer or any of its subsidiaries, including but not limited to pursuant to the terms of the Senior Secured Credit Facilities (as defined in the Indenture) and the 5.875% Senior Secured Notes due 2019 and 7.250% Senior Secured Notes due 2021 of Studio City Company Limited.</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6"/>
          </w:cols>
          <w:pgMar w:left="444" w:top="274" w:right="459" w:bottom="1440" w:gutter="0" w:footer="0" w:header="0"/>
        </w:sectPr>
      </w:pPr>
    </w:p>
    <w:bookmarkStart w:id="527" w:name="page528"/>
    <w:bookmarkEnd w:id="527"/>
    <w:p>
      <w:pPr>
        <w:ind w:firstLine="885"/>
        <w:spacing w:after="0" w:line="272" w:lineRule="auto"/>
        <w:tabs>
          <w:tab w:leader="none" w:pos="1186" w:val="left"/>
        </w:tabs>
        <w:numPr>
          <w:ilvl w:val="0"/>
          <w:numId w:val="7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Contracts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disclosed in the Disclosure Package and the Final Offering Memorandum, there are no other contracts that are material to the operation of the Issuer’s and its subsidiaries’ business as a whole other than the Material Contracts, and each Material Contract to which the Issuer or any of its subsidiaries is a party has been duly authorized, executed and delivered by the Issuer and/or such subsidiary, as applicable, and assuming due authorization, execution and delivery by the other parties thereto, constitutes a legal, valid and binding agreement of such parties, enforceable against the Issuer and such subsidiary, as the case may be, in accordance with its terms, in each case, except as enforcement thereof may be limited by bankruptcy, insolvency, fraudulent transfer, reorganization, moratorium and similar laws of general applicability relating to or affecting creditors’ rights and to general principles of equity.</w:t>
      </w:r>
    </w:p>
    <w:p>
      <w:pPr>
        <w:spacing w:after="0" w:line="69" w:lineRule="exact"/>
        <w:rPr>
          <w:rFonts w:ascii="Arial" w:cs="Arial" w:eastAsia="Arial" w:hAnsi="Arial"/>
          <w:sz w:val="17"/>
          <w:szCs w:val="17"/>
          <w:color w:val="auto"/>
        </w:rPr>
      </w:pPr>
    </w:p>
    <w:p>
      <w:pPr>
        <w:ind w:right="20" w:firstLine="885"/>
        <w:spacing w:after="0" w:line="289" w:lineRule="auto"/>
        <w:tabs>
          <w:tab w:leader="none" w:pos="1136" w:val="left"/>
        </w:tabs>
        <w:numPr>
          <w:ilvl w:val="0"/>
          <w:numId w:val="711"/>
        </w:numPr>
        <w:rPr>
          <w:rFonts w:ascii="Arial" w:cs="Arial" w:eastAsia="Arial" w:hAnsi="Arial"/>
          <w:sz w:val="16"/>
          <w:szCs w:val="16"/>
          <w:color w:val="auto"/>
        </w:rPr>
      </w:pPr>
      <w:r>
        <w:rPr>
          <w:rFonts w:ascii="Arial" w:cs="Arial" w:eastAsia="Arial" w:hAnsi="Arial"/>
          <w:sz w:val="16"/>
          <w:szCs w:val="16"/>
          <w:u w:val="single" w:color="auto"/>
          <w:color w:val="auto"/>
        </w:rPr>
        <w:t>Licenses</w:t>
      </w:r>
      <w:r>
        <w:rPr>
          <w:rFonts w:ascii="Arial" w:cs="Arial" w:eastAsia="Arial" w:hAnsi="Arial"/>
          <w:sz w:val="16"/>
          <w:szCs w:val="16"/>
          <w:i w:val="1"/>
          <w:iCs w:val="1"/>
          <w:color w:val="auto"/>
        </w:rPr>
        <w:t>.</w:t>
      </w:r>
      <w:r>
        <w:rPr>
          <w:rFonts w:ascii="Arial" w:cs="Arial" w:eastAsia="Arial" w:hAnsi="Arial"/>
          <w:sz w:val="16"/>
          <w:szCs w:val="16"/>
          <w:color w:val="auto"/>
        </w:rPr>
        <w:t xml:space="preserve"> The Issuer and its subsidiaries possess, and are in compliance with the terms of, all licenses, certificates, authorizations, and franchise permits (collectively, “</w:t>
      </w:r>
      <w:r>
        <w:rPr>
          <w:rFonts w:ascii="Arial" w:cs="Arial" w:eastAsia="Arial" w:hAnsi="Arial"/>
          <w:sz w:val="16"/>
          <w:szCs w:val="16"/>
          <w:b w:val="1"/>
          <w:bCs w:val="1"/>
          <w:color w:val="auto"/>
        </w:rPr>
        <w:t>Licenses</w:t>
      </w:r>
      <w:r>
        <w:rPr>
          <w:rFonts w:ascii="Arial" w:cs="Arial" w:eastAsia="Arial" w:hAnsi="Arial"/>
          <w:sz w:val="16"/>
          <w:szCs w:val="16"/>
          <w:color w:val="auto"/>
        </w:rPr>
        <w:t>”) issued by appropriate governmental agencies or bodies necessary to the conduct of the business now operated by them, except for such non-compliance that would not, individually or in the aggregate, have a Material Adverse Effect and have not received any notice of proceedings relating to the revocation or modification of any License that, if determined adversely to the Issuer or any of its subsidiaries, would individually or in the aggregate have a Material Adverse Effect. To the best knowledge of the Issuer, the Gaming License of Melco Resorts Macau remains in full force and effect and validly authorizes Melco Resorts Macau to carry on the gaming business as is and is proposed to be conducted pursuant to the Services and Right to Use Agreement and on the terms and conditions, in each case as described in the Disclosure Package and the Final Offering Memorandum, and to the knowledge of the Issuer, no notice of any proceeding or claim or action for the invalidation, revocation, cancellation or imposition of any further condition or requirement of or in connection with the Gaming License has occurred or is pending or threatened.</w:t>
      </w:r>
    </w:p>
    <w:p>
      <w:pPr>
        <w:spacing w:after="0" w:line="58" w:lineRule="exact"/>
        <w:rPr>
          <w:rFonts w:ascii="Arial" w:cs="Arial" w:eastAsia="Arial" w:hAnsi="Arial"/>
          <w:sz w:val="16"/>
          <w:szCs w:val="16"/>
          <w:color w:val="auto"/>
        </w:rPr>
      </w:pPr>
    </w:p>
    <w:p>
      <w:pPr>
        <w:ind w:right="280" w:firstLine="885"/>
        <w:spacing w:after="0" w:line="277" w:lineRule="auto"/>
        <w:tabs>
          <w:tab w:leader="none" w:pos="1186" w:val="left"/>
        </w:tabs>
        <w:numPr>
          <w:ilvl w:val="0"/>
          <w:numId w:val="711"/>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would not have a Material Adverse Effect, no labor dispute with the employees of the Issuer or any of its subsidiaries exists or, to the knowledge of the Issuer or any of its subsidiaries, is imminent.</w:t>
      </w:r>
    </w:p>
    <w:p>
      <w:pPr>
        <w:spacing w:after="0" w:line="62" w:lineRule="exact"/>
        <w:rPr>
          <w:rFonts w:ascii="Arial" w:cs="Arial" w:eastAsia="Arial" w:hAnsi="Arial"/>
          <w:sz w:val="18"/>
          <w:szCs w:val="18"/>
          <w:color w:val="auto"/>
        </w:rPr>
      </w:pPr>
    </w:p>
    <w:p>
      <w:pPr>
        <w:ind w:right="60" w:firstLine="885"/>
        <w:spacing w:after="0" w:line="272" w:lineRule="auto"/>
        <w:tabs>
          <w:tab w:leader="none" w:pos="1236" w:val="left"/>
        </w:tabs>
        <w:numPr>
          <w:ilvl w:val="0"/>
          <w:numId w:val="711"/>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disclosed in the Disclosure Package and the Final Offering Memorandum, the Issuer and its subsidiaries own, possess or can acquire on reasonable terms, adequate trademarks, trade names and other rights to inventions, know-how, patents, copyrights, confidential information and other intellectual property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necessary to conduct the business now operated or employed by them, and if such business is described in the Disclosure Package and the Final Offering Memorandum, as described in the Disclosure Package and the Final Offering Memorandum. Neither the Issuer nor any of its subsidiaries has received any notice or communication of infringement of or conflict with asserted rights of others with respect to any intellectual property rights of others that, if determined adversely to the Issuer or any of its subsidiaries, would, individually or in the aggregate, have a Material Adverse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528" w:name="page529"/>
    <w:bookmarkEnd w:id="528"/>
    <w:p>
      <w:pPr>
        <w:ind w:left="-20" w:right="20" w:firstLine="885"/>
        <w:spacing w:after="0" w:line="293" w:lineRule="auto"/>
        <w:tabs>
          <w:tab w:leader="none" w:pos="1266" w:val="left"/>
        </w:tabs>
        <w:numPr>
          <w:ilvl w:val="0"/>
          <w:numId w:val="7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Offering Memorandum</w:t>
      </w:r>
      <w:r>
        <w:rPr>
          <w:rFonts w:ascii="Arial" w:cs="Arial" w:eastAsia="Arial" w:hAnsi="Arial"/>
          <w:sz w:val="16"/>
          <w:szCs w:val="16"/>
          <w:color w:val="auto"/>
        </w:rPr>
        <w:t>. The statements set forth in the Disclosure Package and the Final Offering Memorandum (i) under the sections headed “Summary,” “Capitalization,” “Description of Notes” and “Description of Other Material Indebtedness” insofar as they purport to constitute a summary of the material terms of the Notes and the material indebtedness of the Issuer and its subsidiaries, respectively, and (ii) under the sections headed “Risk Factors,” “Business,” “Plan of Distribution,” “Summary,” “Regulation,” “Enforcement of Civil Liabilities” and “Taxation,” insofar as they purport to describe the provisions of the laws and documents referred to therein, are accurate and fair in all material respects. The Operative Documents will conform in all material respects to the respective statements relating thereto contained in the Offering Memorandum.</w:t>
      </w:r>
    </w:p>
    <w:p>
      <w:pPr>
        <w:spacing w:after="0" w:line="56" w:lineRule="exact"/>
        <w:rPr>
          <w:rFonts w:ascii="Arial" w:cs="Arial" w:eastAsia="Arial" w:hAnsi="Arial"/>
          <w:sz w:val="16"/>
          <w:szCs w:val="16"/>
          <w:color w:val="auto"/>
        </w:rPr>
      </w:pPr>
    </w:p>
    <w:p>
      <w:pPr>
        <w:ind w:left="-20" w:right="100" w:firstLine="885"/>
        <w:spacing w:after="0" w:line="271" w:lineRule="auto"/>
        <w:tabs>
          <w:tab w:leader="none" w:pos="1256" w:val="left"/>
        </w:tabs>
        <w:numPr>
          <w:ilvl w:val="0"/>
          <w:numId w:val="712"/>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i w:val="1"/>
          <w:iCs w:val="1"/>
          <w:color w:val="auto"/>
        </w:rPr>
        <w:t>.</w:t>
      </w:r>
      <w:r>
        <w:rPr>
          <w:rFonts w:ascii="Arial" w:cs="Arial" w:eastAsia="Arial" w:hAnsi="Arial"/>
          <w:sz w:val="17"/>
          <w:szCs w:val="17"/>
          <w:color w:val="auto"/>
        </w:rPr>
        <w:t xml:space="preserve"> Neither the Issuer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or relating to the safety of employees in the workplace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civil, criminal or administrative action, suit, claim, hearing, notice of violation, investigation or proceeding (“</w:t>
      </w:r>
      <w:r>
        <w:rPr>
          <w:rFonts w:ascii="Arial" w:cs="Arial" w:eastAsia="Arial" w:hAnsi="Arial"/>
          <w:sz w:val="17"/>
          <w:szCs w:val="17"/>
          <w:b w:val="1"/>
          <w:bCs w:val="1"/>
          <w:color w:val="auto"/>
        </w:rPr>
        <w:t>Proceeding</w:t>
      </w:r>
      <w:r>
        <w:rPr>
          <w:rFonts w:ascii="Arial" w:cs="Arial" w:eastAsia="Arial" w:hAnsi="Arial"/>
          <w:sz w:val="17"/>
          <w:szCs w:val="17"/>
          <w:color w:val="auto"/>
        </w:rPr>
        <w:t>”) relating to any environmental laws, which violation, contamination, liability or Proceeding would, individually or in the aggregate, have a Material Adverse Effect; and neither the Issuer nor any of its subsidiaries is aware of any pending hearing or investigation which would lead to such a claim.</w:t>
      </w:r>
    </w:p>
    <w:p>
      <w:pPr>
        <w:spacing w:after="0" w:line="70" w:lineRule="exact"/>
        <w:rPr>
          <w:rFonts w:ascii="Arial" w:cs="Arial" w:eastAsia="Arial" w:hAnsi="Arial"/>
          <w:sz w:val="17"/>
          <w:szCs w:val="17"/>
          <w:color w:val="auto"/>
        </w:rPr>
      </w:pPr>
    </w:p>
    <w:p>
      <w:pPr>
        <w:ind w:left="-20" w:firstLine="885"/>
        <w:spacing w:after="0" w:line="273" w:lineRule="auto"/>
        <w:tabs>
          <w:tab w:leader="none" w:pos="1206" w:val="left"/>
        </w:tabs>
        <w:numPr>
          <w:ilvl w:val="0"/>
          <w:numId w:val="71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i w:val="1"/>
          <w:iCs w:val="1"/>
          <w:color w:val="auto"/>
        </w:rPr>
        <w:t>.</w:t>
      </w:r>
      <w:r>
        <w:rPr>
          <w:rFonts w:ascii="Arial" w:cs="Arial" w:eastAsia="Arial" w:hAnsi="Arial"/>
          <w:sz w:val="17"/>
          <w:szCs w:val="17"/>
          <w:color w:val="auto"/>
        </w:rPr>
        <w:t xml:space="preserve"> The Issuer and its subsidiaries maintain, or benefit from, insurance in such amounts and covering such risks as the Issuer and each subsidiary reasonably considers adequate for the conduct of its business, all of which insurance is in full force and effect. There are no material claims by the Issuer or any of its subsidiaries under any such policy or instrument as to which any insurance company is denying liability or defending under a reservation of rights clause. Neither the Issuer nor any of its subsidiaries has a reason to believe that such existing renewable insurance as and when such coverage expires will not be able to be renewed or replacement insurance adequate for the conduct of the business and the value of its properties at a cost that would not have a Material Adverse Effect will not be able to be obtained.</w:t>
      </w:r>
    </w:p>
    <w:p>
      <w:pPr>
        <w:spacing w:after="0" w:line="70" w:lineRule="exact"/>
        <w:rPr>
          <w:rFonts w:ascii="Arial" w:cs="Arial" w:eastAsia="Arial" w:hAnsi="Arial"/>
          <w:sz w:val="17"/>
          <w:szCs w:val="17"/>
          <w:color w:val="auto"/>
        </w:rPr>
      </w:pPr>
    </w:p>
    <w:p>
      <w:pPr>
        <w:ind w:left="-20" w:right="40" w:firstLine="885"/>
        <w:spacing w:after="0" w:line="277" w:lineRule="auto"/>
        <w:tabs>
          <w:tab w:leader="none" w:pos="1256" w:val="left"/>
        </w:tabs>
        <w:numPr>
          <w:ilvl w:val="0"/>
          <w:numId w:val="712"/>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i w:val="1"/>
          <w:iCs w:val="1"/>
          <w:color w:val="auto"/>
        </w:rPr>
        <w:t>.</w:t>
      </w:r>
      <w:r>
        <w:rPr>
          <w:rFonts w:ascii="Arial" w:cs="Arial" w:eastAsia="Arial" w:hAnsi="Arial"/>
          <w:sz w:val="18"/>
          <w:szCs w:val="18"/>
          <w:color w:val="auto"/>
        </w:rPr>
        <w:t xml:space="preserve"> Any third-party statistical and market-related data included in the Disclosure Package or the Final Offering Memorandum are based on or derived from sources that the Issuer believes to be reliable and accurate.</w:t>
      </w:r>
    </w:p>
    <w:p>
      <w:pPr>
        <w:spacing w:after="0" w:line="62" w:lineRule="exact"/>
        <w:rPr>
          <w:rFonts w:ascii="Arial" w:cs="Arial" w:eastAsia="Arial" w:hAnsi="Arial"/>
          <w:sz w:val="18"/>
          <w:szCs w:val="18"/>
          <w:color w:val="auto"/>
        </w:rPr>
      </w:pPr>
    </w:p>
    <w:p>
      <w:pPr>
        <w:ind w:left="-20" w:right="60" w:firstLine="885"/>
        <w:spacing w:after="0" w:line="257" w:lineRule="auto"/>
        <w:tabs>
          <w:tab w:leader="none" w:pos="1306" w:val="left"/>
        </w:tabs>
        <w:numPr>
          <w:ilvl w:val="0"/>
          <w:numId w:val="712"/>
        </w:numPr>
        <w:rPr>
          <w:rFonts w:ascii="Arial" w:cs="Arial" w:eastAsia="Arial" w:hAnsi="Arial"/>
          <w:sz w:val="18"/>
          <w:szCs w:val="18"/>
          <w:color w:val="auto"/>
        </w:rPr>
      </w:pPr>
      <w:r>
        <w:rPr>
          <w:rFonts w:ascii="Arial" w:cs="Arial" w:eastAsia="Arial" w:hAnsi="Arial"/>
          <w:sz w:val="18"/>
          <w:szCs w:val="18"/>
          <w:u w:val="single" w:color="auto"/>
          <w:color w:val="auto"/>
        </w:rPr>
        <w:t>Absence of Accounting Issues</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of Directors is not reviewing or investigating, and neither the Issuer’s independent auditors nor its internal auditors have recommended that the Board of Directors review or investigate (i) adding to, deleting, changing the application of, or changing the Issuer’s disclosure with respect to, the Issuer’s material accounting policies, other than in connection with any proposed change in U.S. GAAP (as defined below); (ii) any matter which could result in a restatement of the Issuer’s consolidated financial statements for any annual or interim period during the current or prior two fiscal years.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529" w:name="page530"/>
    <w:bookmarkEnd w:id="529"/>
    <w:p>
      <w:pPr>
        <w:ind w:left="-20" w:right="20" w:firstLine="885"/>
        <w:spacing w:after="0" w:line="272" w:lineRule="auto"/>
        <w:tabs>
          <w:tab w:leader="none" w:pos="1356"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7"/>
          <w:szCs w:val="17"/>
          <w:i w:val="1"/>
          <w:iCs w:val="1"/>
          <w:color w:val="auto"/>
        </w:rPr>
        <w:t>.</w:t>
      </w:r>
      <w:r>
        <w:rPr>
          <w:rFonts w:ascii="Arial" w:cs="Arial" w:eastAsia="Arial" w:hAnsi="Arial"/>
          <w:sz w:val="17"/>
          <w:szCs w:val="17"/>
          <w:color w:val="auto"/>
        </w:rPr>
        <w:t xml:space="preserve"> No taxes, imposts or duties of any nature (including, without limitation, stamp or other issuance or transfer taxes or duties and capital gains, income, withholding or other taxes) are payable by or on behalf of the Initial Purchasers to the governments of the British Virgin Islands, Macau or Hong Kong or, in each case, any political subdivision or taxing authority thereof or therein in connection with (A) the execution and delivery of the Operative Documents, (B) the creation, issue or delivery of the Notes pursuant hereto and the sale thereof and the giving of the Guarantees by the Subsidiary Guarantors, (C) the consummation of the transactions contemplated by this Agreement or (D) except as disclosed in the Disclosure Package and the Final Offering Memorandum under the heading “Taxation,” the resale and delivery of such Notes by the Initial Purchasers in the manner contemplated in the Disclosure Package and the Final Offering Memorandum.</w:t>
      </w:r>
    </w:p>
    <w:p>
      <w:pPr>
        <w:spacing w:after="0" w:line="69" w:lineRule="exact"/>
        <w:rPr>
          <w:rFonts w:ascii="Arial" w:cs="Arial" w:eastAsia="Arial" w:hAnsi="Arial"/>
          <w:sz w:val="17"/>
          <w:szCs w:val="17"/>
          <w:color w:val="auto"/>
        </w:rPr>
      </w:pPr>
    </w:p>
    <w:p>
      <w:pPr>
        <w:ind w:left="-20" w:right="20" w:firstLine="885"/>
        <w:spacing w:after="0" w:line="255" w:lineRule="auto"/>
        <w:tabs>
          <w:tab w:leader="none" w:pos="1256" w:val="left"/>
        </w:tabs>
        <w:numPr>
          <w:ilvl w:val="0"/>
          <w:numId w:val="713"/>
        </w:numPr>
        <w:rPr>
          <w:rFonts w:ascii="Arial" w:cs="Arial" w:eastAsia="Arial" w:hAnsi="Arial"/>
          <w:sz w:val="18"/>
          <w:szCs w:val="18"/>
          <w:color w:val="auto"/>
        </w:rPr>
      </w:pPr>
      <w:r>
        <w:rPr>
          <w:rFonts w:ascii="Arial" w:cs="Arial" w:eastAsia="Arial" w:hAnsi="Arial"/>
          <w:sz w:val="18"/>
          <w:szCs w:val="18"/>
          <w:u w:val="single" w:color="auto"/>
          <w:color w:val="auto"/>
        </w:rPr>
        <w:t>Filing of Tax Returns</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Issuer and its subsidiaries has filed on a timely basis all necessary tax returns, reports and filings (except in any case in which the failure to file on a timely basis would not have a Material Adverse Effect), and all such returns, reports or filings are true, correct and complete in all material aspects, and are not the subject of any disputes with revenue or other authorities and to the Issuer’s knowledge there are no circumstances giving rise to, or which could give rise to, such disputes. None of the Issuer or its subsidiaries is delinquent in the payment of any taxes due thereunder or has any knowledge of any tax deficiency which might be assessed against any of them, which, if so assessed, would have a Material Adverse Effect.</w:t>
      </w:r>
    </w:p>
    <w:p>
      <w:pPr>
        <w:spacing w:after="0" w:line="85" w:lineRule="exact"/>
        <w:rPr>
          <w:rFonts w:ascii="Arial" w:cs="Arial" w:eastAsia="Arial" w:hAnsi="Arial"/>
          <w:sz w:val="18"/>
          <w:szCs w:val="18"/>
          <w:color w:val="auto"/>
        </w:rPr>
      </w:pPr>
    </w:p>
    <w:p>
      <w:pPr>
        <w:ind w:left="-20" w:right="40" w:firstLine="885"/>
        <w:spacing w:after="0" w:line="272" w:lineRule="auto"/>
        <w:tabs>
          <w:tab w:leader="none" w:pos="1206" w:val="left"/>
        </w:tabs>
        <w:numPr>
          <w:ilvl w:val="0"/>
          <w:numId w:val="713"/>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disclosed in the Disclosure Package and the Final Offering Memorandum, there are no pending actions, suits or proceedings (including any inquiries or investigations by any court or governmental agency or body, domestic or foreign) against or affecting the Issuer, any of its subsidiaries or any of their respective properties that, if determined adversely to the Issuer or any of its subsidiaries, would, individually or in the aggregate, have a Material Adverse Effect, or would materially or adversely affect the ability of the Issuer and the Subsidiary Guarantors to perform their respective obligations under the Operative Documents, or which are otherwise material in the context of the sale of the Notes by the Issuer; and to the Issuer’s and each of its subsidiaries’ best knowledge, no such actions, suits or proceedings (including any inquiries or investigations by any court or governmental agency or body, domestic or foreign) are threatened or contemplated.</w:t>
      </w:r>
    </w:p>
    <w:p>
      <w:pPr>
        <w:spacing w:after="0" w:line="65" w:lineRule="exact"/>
        <w:rPr>
          <w:rFonts w:ascii="Arial" w:cs="Arial" w:eastAsia="Arial" w:hAnsi="Arial"/>
          <w:sz w:val="17"/>
          <w:szCs w:val="17"/>
          <w:color w:val="auto"/>
        </w:rPr>
      </w:pPr>
    </w:p>
    <w:p>
      <w:pPr>
        <w:ind w:left="-20" w:right="520" w:firstLine="885"/>
        <w:spacing w:after="0" w:line="282" w:lineRule="auto"/>
        <w:tabs>
          <w:tab w:leader="none" w:pos="1256" w:val="left"/>
        </w:tabs>
        <w:numPr>
          <w:ilvl w:val="0"/>
          <w:numId w:val="713"/>
        </w:numPr>
        <w:rPr>
          <w:rFonts w:ascii="Arial" w:cs="Arial" w:eastAsia="Arial" w:hAnsi="Arial"/>
          <w:sz w:val="18"/>
          <w:szCs w:val="18"/>
          <w:color w:val="auto"/>
        </w:rPr>
      </w:pPr>
      <w:r>
        <w:rPr>
          <w:rFonts w:ascii="Arial" w:cs="Arial" w:eastAsia="Arial" w:hAnsi="Arial"/>
          <w:sz w:val="18"/>
          <w:szCs w:val="18"/>
          <w:u w:val="single" w:color="auto"/>
          <w:color w:val="auto"/>
        </w:rPr>
        <w:t>Auditor</w:t>
      </w:r>
      <w:r>
        <w:rPr>
          <w:rFonts w:ascii="Arial" w:cs="Arial" w:eastAsia="Arial" w:hAnsi="Arial"/>
          <w:sz w:val="18"/>
          <w:szCs w:val="18"/>
          <w:color w:val="auto"/>
        </w:rPr>
        <w:t>. Ernst &amp; Young (“</w:t>
      </w:r>
      <w:r>
        <w:rPr>
          <w:rFonts w:ascii="Arial" w:cs="Arial" w:eastAsia="Arial" w:hAnsi="Arial"/>
          <w:sz w:val="18"/>
          <w:szCs w:val="18"/>
          <w:b w:val="1"/>
          <w:bCs w:val="1"/>
          <w:color w:val="auto"/>
        </w:rPr>
        <w:t>E&amp;Y</w:t>
      </w:r>
      <w:r>
        <w:rPr>
          <w:rFonts w:ascii="Arial" w:cs="Arial" w:eastAsia="Arial" w:hAnsi="Arial"/>
          <w:sz w:val="18"/>
          <w:szCs w:val="18"/>
          <w:color w:val="auto"/>
        </w:rPr>
        <w:t>”), who audited or reviewed, as applicable, the financial statements of the Issuer included in the Disclosure Package and the Final Offering Memorandum, is the independent public accountant of the Issuer.</w:t>
      </w:r>
    </w:p>
    <w:p>
      <w:pPr>
        <w:spacing w:after="0" w:line="57" w:lineRule="exact"/>
        <w:rPr>
          <w:rFonts w:ascii="Arial" w:cs="Arial" w:eastAsia="Arial" w:hAnsi="Arial"/>
          <w:sz w:val="18"/>
          <w:szCs w:val="18"/>
          <w:color w:val="auto"/>
        </w:rPr>
      </w:pPr>
    </w:p>
    <w:p>
      <w:pPr>
        <w:ind w:left="-20" w:firstLine="885"/>
        <w:spacing w:after="0" w:line="288" w:lineRule="auto"/>
        <w:tabs>
          <w:tab w:leader="none" w:pos="1306" w:val="left"/>
        </w:tabs>
        <w:numPr>
          <w:ilvl w:val="0"/>
          <w:numId w:val="713"/>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consolidated financial statements of the Issuer and its consolidated subsidiaries, together with the applicable related notes, included in the Disclosure Package and the Final Offering Memorandum present fairly, in all material respects, the consolidated financial position of the Issuer and its consolidated subsidiaries at the dates indicated and their consolidated statement of operations, stockholders’ equity and cash flows for the periods specified. Such consolidated financial statements of the Issuer and its consolidated subsidiaries have been prepared in conformity with U.S. generally accepted accounting principles (“</w:t>
      </w:r>
      <w:r>
        <w:rPr>
          <w:rFonts w:ascii="Arial" w:cs="Arial" w:eastAsia="Arial" w:hAnsi="Arial"/>
          <w:sz w:val="16"/>
          <w:szCs w:val="16"/>
          <w:b w:val="1"/>
          <w:bCs w:val="1"/>
          <w:color w:val="auto"/>
        </w:rPr>
        <w:t>U.S. GAAP</w:t>
      </w:r>
      <w:r>
        <w:rPr>
          <w:rFonts w:ascii="Arial" w:cs="Arial" w:eastAsia="Arial" w:hAnsi="Arial"/>
          <w:sz w:val="16"/>
          <w:szCs w:val="16"/>
          <w:color w:val="auto"/>
        </w:rPr>
        <w:t>”) and, except as disclosed therein, applied on a consistent basis throughout the periods involved. The selected financial data and the summary financial information included in the Disclosure Package and the Final Offering Memorandum present fairly in all material respects the information shown therein. Such data has been, except as disclosed therein, compiled on a basis consistent with that of the audited financial statements included in the Disclosure Package and the Final Offering Memorandum and the other financial information included in the Disclosure Package and the Final Offering Memorandum has been derived from the accounting records of the Issuer and its subsidiaries and presents fairly, in all material respects, the information shown thereby.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530" w:name="page531"/>
    <w:bookmarkEnd w:id="530"/>
    <w:p>
      <w:pPr>
        <w:ind w:left="-20" w:firstLine="885"/>
        <w:spacing w:after="0" w:line="268" w:lineRule="auto"/>
        <w:tabs>
          <w:tab w:leader="none" w:pos="1356" w:val="left"/>
        </w:tabs>
        <w:numPr>
          <w:ilvl w:val="0"/>
          <w:numId w:val="7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Adverse Change in Business</w:t>
      </w:r>
      <w:r>
        <w:rPr>
          <w:rFonts w:ascii="Arial" w:cs="Arial" w:eastAsia="Arial" w:hAnsi="Arial"/>
          <w:sz w:val="17"/>
          <w:szCs w:val="17"/>
          <w:color w:val="auto"/>
        </w:rPr>
        <w:t>. Except as disclosed in the Disclosure Package and the Final Offering Memorandum, since September 30, 2018, neither the Issuer nor any of its subsidiaries has (i) incurred, assumed or acquired any material liability (including contingent liability) or other material obligation except for any obligation incurred in the ordinary course of its business including renovation, construction or development of properties owned or leased by the Issuer or its Subsidiaries, (ii) received notice of any cancellation, termination or revocation of the Material Contracts or of any Debt Repayment Triggering Event, (iii) acquired or disposed of or agreed to acquire or dispose of any business or any other asset material to the Issuer and its subsidiaries taken as a whole, (iv) entered into a letter of intent or memorandum of understanding (or announced an intention to do so) relating to any matter identified in clauses (i) through (iii) above, or (v) sustained any material loss or interference with its business from strike, fire, explosion or other calamity, whether or not covered by insurance, or from any court or governmental action, order or decree, and since the respective dates as of which information is given in the Disclosure Package and the Final Offering Memorandum, except as disclosed in or contemplated by the Disclosure Package and the Final Offering Memorandum, there has been no change, nor any development or event, that would have a Material Adverse Effect. Except as disclosed in or contemplated by the Disclosure Package and the Final Offering Memorandum, since September 30, 2018, there has been no dividend or distribution of any kind declared, paid or made by the Issuer on any class of its authorized shares and there has been no material adverse change in the authorized shares, short-term indebtedness, long-term indebtedness, net current assets or net assets of the Issuer and its subsidiaries.</w:t>
      </w:r>
    </w:p>
    <w:p>
      <w:pPr>
        <w:spacing w:after="0" w:line="77" w:lineRule="exact"/>
        <w:rPr>
          <w:rFonts w:ascii="Arial" w:cs="Arial" w:eastAsia="Arial" w:hAnsi="Arial"/>
          <w:sz w:val="17"/>
          <w:szCs w:val="17"/>
          <w:color w:val="auto"/>
        </w:rPr>
      </w:pPr>
    </w:p>
    <w:p>
      <w:pPr>
        <w:ind w:left="-20" w:right="100" w:firstLine="885"/>
        <w:spacing w:after="0" w:line="255" w:lineRule="auto"/>
        <w:tabs>
          <w:tab w:leader="none" w:pos="1346" w:val="left"/>
        </w:tabs>
        <w:numPr>
          <w:ilvl w:val="0"/>
          <w:numId w:val="714"/>
        </w:numPr>
        <w:rPr>
          <w:rFonts w:ascii="Arial" w:cs="Arial" w:eastAsia="Arial" w:hAnsi="Arial"/>
          <w:sz w:val="18"/>
          <w:szCs w:val="18"/>
          <w:color w:val="auto"/>
        </w:rPr>
      </w:pPr>
      <w:r>
        <w:rPr>
          <w:rFonts w:ascii="Arial" w:cs="Arial" w:eastAsia="Arial" w:hAnsi="Arial"/>
          <w:sz w:val="18"/>
          <w:szCs w:val="18"/>
          <w:u w:val="single" w:color="auto"/>
          <w:color w:val="auto"/>
        </w:rPr>
        <w:t>Management’s Discussion and Analysis of Financial Condition and 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section entitled “Management’s Discussion and Analysis of Financial Condition and Results of Operations—Critical Accounting Policies and Estimates” in the Disclosure Package and the Final Offering Memorandum accurately and fully describes, in all material respects, (A) accounting policies which the Issuer believes are the most important in the portrayal of the consolidated financial condition and results of operations of the Issuer and its consolidated subsidiaries and which require management’s most difficult, subjective or complex judgments (“</w:t>
      </w:r>
      <w:r>
        <w:rPr>
          <w:rFonts w:ascii="Arial" w:cs="Arial" w:eastAsia="Arial" w:hAnsi="Arial"/>
          <w:sz w:val="18"/>
          <w:szCs w:val="18"/>
          <w:b w:val="1"/>
          <w:bCs w:val="1"/>
          <w:color w:val="auto"/>
        </w:rPr>
        <w:t>critical accounting policies</w:t>
      </w:r>
      <w:r>
        <w:rPr>
          <w:rFonts w:ascii="Arial" w:cs="Arial" w:eastAsia="Arial" w:hAnsi="Arial"/>
          <w:sz w:val="18"/>
          <w:szCs w:val="18"/>
          <w:color w:val="auto"/>
        </w:rPr>
        <w:t>”); (B) judgments and uncertainties affecting the application of critical accounting policies; and (C) explanation of the likelihood that materially different amounts would be reported under different conditions or using different assumptions.</w:t>
      </w:r>
    </w:p>
    <w:p>
      <w:pPr>
        <w:spacing w:after="0" w:line="81" w:lineRule="exact"/>
        <w:rPr>
          <w:rFonts w:ascii="Arial" w:cs="Arial" w:eastAsia="Arial" w:hAnsi="Arial"/>
          <w:sz w:val="18"/>
          <w:szCs w:val="18"/>
          <w:color w:val="auto"/>
        </w:rPr>
      </w:pPr>
    </w:p>
    <w:p>
      <w:pPr>
        <w:ind w:left="-20" w:right="100" w:firstLine="885"/>
        <w:spacing w:after="0" w:line="255" w:lineRule="auto"/>
        <w:tabs>
          <w:tab w:leader="none" w:pos="1296" w:val="left"/>
        </w:tabs>
        <w:numPr>
          <w:ilvl w:val="0"/>
          <w:numId w:val="714"/>
        </w:numPr>
        <w:rPr>
          <w:rFonts w:ascii="Arial" w:cs="Arial" w:eastAsia="Arial" w:hAnsi="Arial"/>
          <w:sz w:val="18"/>
          <w:szCs w:val="18"/>
          <w:color w:val="auto"/>
        </w:rPr>
      </w:pPr>
      <w:r>
        <w:rPr>
          <w:rFonts w:ascii="Arial" w:cs="Arial" w:eastAsia="Arial" w:hAnsi="Arial"/>
          <w:sz w:val="18"/>
          <w:szCs w:val="18"/>
          <w:u w:val="single" w:color="auto"/>
          <w:color w:val="auto"/>
        </w:rPr>
        <w:t>No Prohibition on Subsidiaries from Paying Dividends or Making Other Distributions</w:t>
      </w:r>
      <w:r>
        <w:rPr>
          <w:rFonts w:ascii="Arial" w:cs="Arial" w:eastAsia="Arial" w:hAnsi="Arial"/>
          <w:sz w:val="18"/>
          <w:szCs w:val="18"/>
          <w:color w:val="auto"/>
        </w:rPr>
        <w:t xml:space="preserve">. Except as disclosed in the Disclosure Package and the Final Offering Memorandum, no subsidiary of the Issuer is currently prohibited, directly or indirectly, (i) from paying any dividends to the Issuer, (ii) from making any other distribution on such subsidiary’s authorized shares, (iii) from repaying to the Issuer any loans or advances to such subsidiary from the Issuer or (iv) from transferring any of such subsidiary’s property or assets to the Issuer or any other subsidiary of the Issuer;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 (iv) only, it is acknowledged that the transfer of casinos and/or gaming areas will be subject to compliance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Gaming License and related requirements under Macau Law.</w:t>
      </w:r>
    </w:p>
    <w:p>
      <w:pPr>
        <w:spacing w:after="0" w:line="85" w:lineRule="exact"/>
        <w:rPr>
          <w:rFonts w:ascii="Arial" w:cs="Arial" w:eastAsia="Arial" w:hAnsi="Arial"/>
          <w:sz w:val="18"/>
          <w:szCs w:val="18"/>
          <w:color w:val="auto"/>
        </w:rPr>
      </w:pPr>
    </w:p>
    <w:p>
      <w:pPr>
        <w:ind w:left="-20" w:right="180" w:firstLine="885"/>
        <w:spacing w:after="0" w:line="259" w:lineRule="auto"/>
        <w:tabs>
          <w:tab w:leader="none" w:pos="1346" w:val="left"/>
        </w:tabs>
        <w:numPr>
          <w:ilvl w:val="0"/>
          <w:numId w:val="71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the Issuer or the Subsidiary Guarantors is required to register, and after giving effect to the offering and sale of the Notes and the application of the proceeds thereof as described in the Disclosure Package and the Final Offering Memorandum, would be required to register, as an investment company under the U.S. Investment Company Act of 1940, as amended (the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531" w:name="page532"/>
    <w:bookmarkEnd w:id="531"/>
    <w:p>
      <w:pPr>
        <w:jc w:val="both"/>
        <w:ind w:left="-40" w:right="180" w:firstLine="885"/>
        <w:spacing w:after="0" w:line="312" w:lineRule="auto"/>
        <w:tabs>
          <w:tab w:leader="none" w:pos="1376" w:val="left"/>
        </w:tabs>
        <w:numPr>
          <w:ilvl w:val="0"/>
          <w:numId w:val="7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Undisclosed Relationships</w:t>
      </w:r>
      <w:r>
        <w:rPr>
          <w:rFonts w:ascii="Arial" w:cs="Arial" w:eastAsia="Arial" w:hAnsi="Arial"/>
          <w:sz w:val="16"/>
          <w:szCs w:val="16"/>
          <w:color w:val="auto"/>
        </w:rPr>
        <w:t>. No relationship, direct or indirect, exists between or among the Issuer or any of its subsidiaries, on the one hand, and the directors, officers, shareholders, customers, suppliers or other affiliates of the Issuer or any of its subsidiaries, on the other hand, that is required to be described in the Disclosure Package and the Final Offering Memorandum that is not so described.</w:t>
      </w:r>
    </w:p>
    <w:p>
      <w:pPr>
        <w:spacing w:after="0" w:line="38" w:lineRule="exact"/>
        <w:rPr>
          <w:rFonts w:ascii="Arial" w:cs="Arial" w:eastAsia="Arial" w:hAnsi="Arial"/>
          <w:sz w:val="16"/>
          <w:szCs w:val="16"/>
          <w:color w:val="auto"/>
        </w:rPr>
      </w:pPr>
    </w:p>
    <w:p>
      <w:pPr>
        <w:ind w:left="-40" w:right="80" w:firstLine="885"/>
        <w:spacing w:after="0" w:line="312" w:lineRule="auto"/>
        <w:tabs>
          <w:tab w:leader="none" w:pos="1426" w:val="left"/>
        </w:tabs>
        <w:numPr>
          <w:ilvl w:val="0"/>
          <w:numId w:val="715"/>
        </w:numPr>
        <w:rPr>
          <w:rFonts w:ascii="Arial" w:cs="Arial" w:eastAsia="Arial" w:hAnsi="Arial"/>
          <w:sz w:val="16"/>
          <w:szCs w:val="16"/>
          <w:color w:val="auto"/>
        </w:rPr>
      </w:pPr>
      <w:r>
        <w:rPr>
          <w:rFonts w:ascii="Arial" w:cs="Arial" w:eastAsia="Arial" w:hAnsi="Arial"/>
          <w:sz w:val="16"/>
          <w:szCs w:val="16"/>
          <w:u w:val="single" w:color="auto"/>
          <w:color w:val="auto"/>
        </w:rPr>
        <w:t>Stabilization Activities</w:t>
      </w:r>
      <w:r>
        <w:rPr>
          <w:rFonts w:ascii="Arial" w:cs="Arial" w:eastAsia="Arial" w:hAnsi="Arial"/>
          <w:sz w:val="16"/>
          <w:szCs w:val="16"/>
          <w:i w:val="1"/>
          <w:iCs w:val="1"/>
          <w:color w:val="auto"/>
        </w:rPr>
        <w:t>.</w:t>
      </w:r>
      <w:r>
        <w:rPr>
          <w:rFonts w:ascii="Arial" w:cs="Arial" w:eastAsia="Arial" w:hAnsi="Arial"/>
          <w:sz w:val="16"/>
          <w:szCs w:val="16"/>
          <w:color w:val="auto"/>
        </w:rPr>
        <w:t xml:space="preserve"> None of the Issuer, its subsidiaries, their respective Affiliates (as defined below) or any person acting on its or their behalf (other than the Initial Purchasers, as to whom no representation or warranty is made), has taken, directly or indirectly, any action for the purpose of stabilizing or manipulating the price of any security to facilitate the sale or resale of the Notes in violation of any applicable law.</w:t>
      </w:r>
    </w:p>
    <w:p>
      <w:pPr>
        <w:spacing w:after="0" w:line="38" w:lineRule="exact"/>
        <w:rPr>
          <w:rFonts w:ascii="Arial" w:cs="Arial" w:eastAsia="Arial" w:hAnsi="Arial"/>
          <w:sz w:val="16"/>
          <w:szCs w:val="16"/>
          <w:color w:val="auto"/>
        </w:rPr>
      </w:pPr>
    </w:p>
    <w:p>
      <w:pPr>
        <w:ind w:left="-40" w:firstLine="885"/>
        <w:spacing w:after="0" w:line="269" w:lineRule="auto"/>
        <w:tabs>
          <w:tab w:leader="none" w:pos="1326" w:val="left"/>
        </w:tabs>
        <w:numPr>
          <w:ilvl w:val="0"/>
          <w:numId w:val="715"/>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i w:val="1"/>
          <w:iCs w:val="1"/>
          <w:color w:val="auto"/>
        </w:rPr>
        <w:t>.</w:t>
      </w:r>
      <w:r>
        <w:rPr>
          <w:rFonts w:ascii="Arial" w:cs="Arial" w:eastAsia="Arial" w:hAnsi="Arial"/>
          <w:sz w:val="17"/>
          <w:szCs w:val="17"/>
          <w:color w:val="auto"/>
        </w:rPr>
        <w:t xml:space="preserve"> The agreement of each of the Issuer and the Subsidiary Guarantors to the choice of law provisions set forth in Section 19 hereof will be recognized by the courts of the British Virgin Islands, Macau and Hong Kong and are legal, valid and binding; each of the Issuer and the Subsidiary Guarantors can sue and be sued in its own name under the laws of the British Virgin Islands, Macau and Hong Kong; the irrevocable submission by the Issuer and the Subsidiary Guarantors to the jurisdiction of the federal and state courts in the Borough of Manhattan in The City of New York and the appointment of Law Debenture Corporate Services Inc., 801 2</w:t>
      </w:r>
      <w:r>
        <w:rPr>
          <w:rFonts w:ascii="Arial" w:cs="Arial" w:eastAsia="Arial" w:hAnsi="Arial"/>
          <w:sz w:val="14"/>
          <w:szCs w:val="14"/>
          <w:color w:val="auto"/>
        </w:rPr>
        <w:t>nd</w:t>
      </w:r>
      <w:r>
        <w:rPr>
          <w:rFonts w:ascii="Arial" w:cs="Arial" w:eastAsia="Arial" w:hAnsi="Arial"/>
          <w:sz w:val="17"/>
          <w:szCs w:val="17"/>
          <w:color w:val="auto"/>
        </w:rPr>
        <w:t xml:space="preserve"> Avenue, Suite 403, New York, New York 10017, as their authorized agent for the purpose described in Section 19 hereof is legal, valid and binding; service of process effected in the manner set forth in Section 19 hereof will be effective to confer valid personal jurisdiction over the Issuer and the Subsidiary Guarantors; and, except as disclosed in the Disclosure Package and the Final Offering Memorandum, a judgment obtained in the federal and state courts in the Borough of Manhattan in The City of New York arising out of or in relation to the obligations of the Issuer and the Subsidiary Guarantors under this Agreement would be enforceable against the Issuer and the Subsidiary Guarantors in the courts of the British Virgin Islands, Macau and Hong Kong, in each case, without further review of the merits.</w:t>
      </w:r>
    </w:p>
    <w:p>
      <w:pPr>
        <w:spacing w:after="0" w:line="74" w:lineRule="exact"/>
        <w:rPr>
          <w:rFonts w:ascii="Arial" w:cs="Arial" w:eastAsia="Arial" w:hAnsi="Arial"/>
          <w:sz w:val="17"/>
          <w:szCs w:val="17"/>
          <w:color w:val="auto"/>
        </w:rPr>
      </w:pPr>
    </w:p>
    <w:p>
      <w:pPr>
        <w:ind w:left="-40" w:right="80" w:firstLine="885"/>
        <w:spacing w:after="0" w:line="270" w:lineRule="auto"/>
        <w:tabs>
          <w:tab w:leader="none" w:pos="1276" w:val="left"/>
        </w:tabs>
        <w:numPr>
          <w:ilvl w:val="0"/>
          <w:numId w:val="715"/>
        </w:numPr>
        <w:rPr>
          <w:rFonts w:ascii="Arial" w:cs="Arial" w:eastAsia="Arial" w:hAnsi="Arial"/>
          <w:sz w:val="17"/>
          <w:szCs w:val="17"/>
          <w:color w:val="auto"/>
        </w:rPr>
      </w:pPr>
      <w:r>
        <w:rPr>
          <w:rFonts w:ascii="Arial" w:cs="Arial" w:eastAsia="Arial" w:hAnsi="Arial"/>
          <w:sz w:val="17"/>
          <w:szCs w:val="17"/>
          <w:u w:val="single" w:color="auto"/>
          <w:color w:val="auto"/>
        </w:rPr>
        <w:t>Compliance with Anti-bribery Laws</w:t>
      </w:r>
      <w:r>
        <w:rPr>
          <w:rFonts w:ascii="Arial" w:cs="Arial" w:eastAsia="Arial" w:hAnsi="Arial"/>
          <w:sz w:val="17"/>
          <w:szCs w:val="17"/>
          <w:i w:val="1"/>
          <w:iCs w:val="1"/>
          <w:color w:val="auto"/>
        </w:rPr>
        <w:t>.</w:t>
      </w:r>
      <w:r>
        <w:rPr>
          <w:rFonts w:ascii="Arial" w:cs="Arial" w:eastAsia="Arial" w:hAnsi="Arial"/>
          <w:sz w:val="17"/>
          <w:szCs w:val="17"/>
          <w:color w:val="auto"/>
        </w:rPr>
        <w:t xml:space="preserve"> None of the Issuer, any of its subsidiaries or any of their respective directors or officers, nor to the knowledge of the Issuer, any agent, employee or other person acting on behalf of and at the direction of the Issuer or any of its subsidiaries has used any corporate funds for any unlawful contribution, gift, entertainment or other unlawful expense relating to political activity or made any direct or indirect unlawful payment to any government official or employee from corporate funds. None of the Issuer, its subsidiaries and any of their respective officers, directors, supervisors or managers, and to the knowledge of the Issuer, their respective affiliates, agents or employees, has violated any applicable anti-bribery law, rule or regulation of any locality, including but not limited to any law, rule, or regulation promulgated to implement the United States Foreign Corrupt Practices Act or any other applicable law, rule or regulation of similar purpose and scope, or any amendment thereto (collectively, the “</w:t>
      </w:r>
      <w:r>
        <w:rPr>
          <w:rFonts w:ascii="Arial" w:cs="Arial" w:eastAsia="Arial" w:hAnsi="Arial"/>
          <w:sz w:val="17"/>
          <w:szCs w:val="17"/>
          <w:b w:val="1"/>
          <w:bCs w:val="1"/>
          <w:color w:val="auto"/>
        </w:rPr>
        <w:t>Anti-Bribery Laws</w:t>
      </w:r>
      <w:r>
        <w:rPr>
          <w:rFonts w:ascii="Arial" w:cs="Arial" w:eastAsia="Arial" w:hAnsi="Arial"/>
          <w:sz w:val="17"/>
          <w:szCs w:val="17"/>
          <w:color w:val="auto"/>
        </w:rPr>
        <w:t>”). The Issuer and its subsidiaries have instituted and maintain policies and procedures designed to (a) ensure continued compliance with the Anti-Bribery Laws and (b) detect the violations of the Anti-Bribery 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80" w:top="274" w:right="459" w:bottom="1440" w:gutter="0" w:footer="0" w:header="0"/>
        </w:sectPr>
      </w:pPr>
    </w:p>
    <w:bookmarkStart w:id="532" w:name="page533"/>
    <w:bookmarkEnd w:id="532"/>
    <w:p>
      <w:pPr>
        <w:ind w:left="-20" w:right="60" w:firstLine="885"/>
        <w:spacing w:after="0" w:line="289" w:lineRule="auto"/>
        <w:tabs>
          <w:tab w:leader="none" w:pos="1346" w:val="left"/>
        </w:tabs>
        <w:numPr>
          <w:ilvl w:val="0"/>
          <w:numId w:val="7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Money Laundering Laws</w:t>
      </w:r>
      <w:r>
        <w:rPr>
          <w:rFonts w:ascii="Arial" w:cs="Arial" w:eastAsia="Arial" w:hAnsi="Arial"/>
          <w:sz w:val="16"/>
          <w:szCs w:val="16"/>
          <w:color w:val="auto"/>
        </w:rPr>
        <w:t>. Each of the Issuer, its subsidiaries and their respective officers, directors, supervisors, managers, and to the knowledge of the Issuer, each of their respective affiliates, agents or employees or other person acting on behalf, at the direction or in the interest of the Issuer or its subsidiaries, has not violated, and the Issuer and its subsidiaries operate and will continue to operate their businesses in compliance with, any applicable anti-money laundering laws, including but not limited to, applicable federal, state, international, foreign or other applicable laws, regulations or government guidance regarding anti-money laundering, including, without limitation, Title 18 U.S. Code sections 1956 and 1957, the U.S. Patriot Act, the U.S.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as applicable, and any executive order, directive, or regulation pursuant to the authority of any of the foregoing, or any applicable orders or licenses issued thereunder</w:t>
      </w:r>
      <w:r>
        <w:rPr>
          <w:rFonts w:ascii="Arial" w:cs="Arial" w:eastAsia="Arial" w:hAnsi="Arial"/>
          <w:sz w:val="16"/>
          <w:szCs w:val="16"/>
          <w:i w:val="1"/>
          <w:iCs w:val="1"/>
          <w:color w:val="auto"/>
        </w:rPr>
        <w:t>.</w:t>
      </w:r>
    </w:p>
    <w:p>
      <w:pPr>
        <w:spacing w:after="0" w:line="58" w:lineRule="exact"/>
        <w:rPr>
          <w:rFonts w:ascii="Arial" w:cs="Arial" w:eastAsia="Arial" w:hAnsi="Arial"/>
          <w:sz w:val="16"/>
          <w:szCs w:val="16"/>
          <w:color w:val="auto"/>
        </w:rPr>
      </w:pPr>
    </w:p>
    <w:p>
      <w:pPr>
        <w:ind w:left="-20" w:firstLine="885"/>
        <w:spacing w:after="0" w:line="268" w:lineRule="auto"/>
        <w:tabs>
          <w:tab w:leader="none" w:pos="1396" w:val="left"/>
        </w:tabs>
        <w:numPr>
          <w:ilvl w:val="0"/>
          <w:numId w:val="716"/>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Issuer, its subsidiaries and their respective officers, directors, supervisors, managers, nor to the knowledge of the Issuer, any affiliate, agent, or employee or other person acting on behalf or at the direction of the Issuer or its subsidiaries is a person that is a Sanction Target or domiciled or registered in or operating from a Sanctioned Country. Neither the Issuer nor any of its subsidiaries has or intends to have any business operations or other dealings (a) in any Sanctioned Country, including the Crimean region in Ukraine, Cuba, Iran, Sudan, North Korea and Syria, (b) with any Specially Designated National (“</w:t>
      </w:r>
      <w:r>
        <w:rPr>
          <w:rFonts w:ascii="Arial" w:cs="Arial" w:eastAsia="Arial" w:hAnsi="Arial"/>
          <w:sz w:val="17"/>
          <w:szCs w:val="17"/>
          <w:b w:val="1"/>
          <w:bCs w:val="1"/>
          <w:color w:val="auto"/>
        </w:rPr>
        <w:t>SDN</w:t>
      </w:r>
      <w:r>
        <w:rPr>
          <w:rFonts w:ascii="Arial" w:cs="Arial" w:eastAsia="Arial" w:hAnsi="Arial"/>
          <w:sz w:val="17"/>
          <w:szCs w:val="17"/>
          <w:color w:val="auto"/>
        </w:rPr>
        <w:t>”) on OFAC’s SDN list or, to its knowledge, any person that at the time of the business operations or other dealings is or was the subject of Sanctions, or (c) involving commodities or services of a Sanctioned Country origin or shipped to, through, or from a Sanctioned Country, or on Sanctioned Country owned or registered vessels or aircraft, or finance or subsidize any of the foregoing in an amount exceeding 5% of the total assets or revenues of the Issuer and its subsidiaries on a consolidated basis. The Issuer and its subsidiaries have instituted and maintain policies and procedures designed to prevent sanctions violations (by the Issuer and its subsidiaries and by persons associated with the Issuer and its subsidiaries). Neither the Issuer nor any of its subsidiaries knows or has reason to believe that any of them are or may become subject of sanctions-related investigations or juridical proceedings. Each of Deutsche Bank AG, Singapore Branch and the Issuer acknowledges, agrees and confirms that the representation, warranty and covenant contained in this Section 1(xxxii) is only sought, given or repeated, as appropriate, to the extent that to do so would be permissible pursuant to Council Regulation (EC) No. 2271/96 of 22 November 1996 or any applicable anti-boycott laws or regulations.</w:t>
      </w:r>
    </w:p>
    <w:p>
      <w:pPr>
        <w:spacing w:after="0" w:line="77" w:lineRule="exact"/>
        <w:rPr>
          <w:rFonts w:ascii="Arial" w:cs="Arial" w:eastAsia="Arial" w:hAnsi="Arial"/>
          <w:sz w:val="17"/>
          <w:szCs w:val="17"/>
          <w:color w:val="auto"/>
        </w:rPr>
      </w:pPr>
    </w:p>
    <w:p>
      <w:pPr>
        <w:ind w:left="-20" w:right="60" w:firstLine="885"/>
        <w:spacing w:after="0" w:line="286" w:lineRule="auto"/>
        <w:tabs>
          <w:tab w:leader="none" w:pos="1446" w:val="left"/>
        </w:tabs>
        <w:numPr>
          <w:ilvl w:val="0"/>
          <w:numId w:val="716"/>
        </w:numPr>
        <w:rPr>
          <w:rFonts w:ascii="Arial" w:cs="Arial" w:eastAsia="Arial" w:hAnsi="Arial"/>
          <w:sz w:val="17"/>
          <w:szCs w:val="17"/>
          <w:color w:val="auto"/>
        </w:rPr>
      </w:pPr>
      <w:r>
        <w:rPr>
          <w:rFonts w:ascii="Arial" w:cs="Arial" w:eastAsia="Arial" w:hAnsi="Arial"/>
          <w:sz w:val="17"/>
          <w:szCs w:val="17"/>
          <w:u w:val="single" w:color="auto"/>
          <w:color w:val="auto"/>
        </w:rPr>
        <w:t>Forward-Looking Statements</w:t>
      </w:r>
      <w:r>
        <w:rPr>
          <w:rFonts w:ascii="Arial" w:cs="Arial" w:eastAsia="Arial" w:hAnsi="Arial"/>
          <w:sz w:val="17"/>
          <w:szCs w:val="17"/>
          <w:color w:val="auto"/>
        </w:rPr>
        <w:t>. Each “forward-looking statement” (within the meaning of Section 27A of the Act and Section 21E of the U.S. Securities Exchange Act of 1934 Act,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included in the Disclosure Package or the Final Offering Memorandum has been made or reaffirmed by the Issuer with a reasonable basis, in good faith and based on reasonable assumptions.</w:t>
      </w:r>
    </w:p>
    <w:p>
      <w:pPr>
        <w:spacing w:after="0" w:line="57" w:lineRule="exact"/>
        <w:rPr>
          <w:rFonts w:ascii="Arial" w:cs="Arial" w:eastAsia="Arial" w:hAnsi="Arial"/>
          <w:sz w:val="17"/>
          <w:szCs w:val="17"/>
          <w:color w:val="auto"/>
        </w:rPr>
      </w:pPr>
    </w:p>
    <w:p>
      <w:pPr>
        <w:ind w:left="-20" w:right="260" w:firstLine="885"/>
        <w:spacing w:after="0" w:line="277" w:lineRule="auto"/>
        <w:tabs>
          <w:tab w:leader="none" w:pos="1436" w:val="left"/>
        </w:tabs>
        <w:numPr>
          <w:ilvl w:val="0"/>
          <w:numId w:val="716"/>
        </w:numPr>
        <w:rPr>
          <w:rFonts w:ascii="Arial" w:cs="Arial" w:eastAsia="Arial" w:hAnsi="Arial"/>
          <w:sz w:val="18"/>
          <w:szCs w:val="18"/>
          <w:color w:val="auto"/>
        </w:rPr>
      </w:pPr>
      <w:r>
        <w:rPr>
          <w:rFonts w:ascii="Arial" w:cs="Arial" w:eastAsia="Arial" w:hAnsi="Arial"/>
          <w:sz w:val="18"/>
          <w:szCs w:val="18"/>
          <w:u w:val="single" w:color="auto"/>
          <w:color w:val="auto"/>
        </w:rPr>
        <w:t>Authorization of this Agreement</w:t>
      </w:r>
      <w:r>
        <w:rPr>
          <w:rFonts w:ascii="Arial" w:cs="Arial" w:eastAsia="Arial" w:hAnsi="Arial"/>
          <w:sz w:val="18"/>
          <w:szCs w:val="18"/>
          <w:color w:val="auto"/>
        </w:rPr>
        <w:t>. This Agreement has been duly and validly authorized, executed and delivered by the Issuer and each of the Subsidiary Guarantors.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3" w:right="439" w:bottom="1440" w:gutter="0" w:footer="0" w:header="0"/>
        </w:sectPr>
      </w:pPr>
    </w:p>
    <w:bookmarkStart w:id="533" w:name="page534"/>
    <w:bookmarkEnd w:id="533"/>
    <w:p>
      <w:pPr>
        <w:ind w:right="20" w:firstLine="885"/>
        <w:spacing w:after="0" w:line="297" w:lineRule="auto"/>
        <w:tabs>
          <w:tab w:leader="none" w:pos="1406" w:val="left"/>
        </w:tabs>
        <w:numPr>
          <w:ilvl w:val="0"/>
          <w:numId w:val="7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 of the Notes</w:t>
      </w:r>
      <w:r>
        <w:rPr>
          <w:rFonts w:ascii="Arial" w:cs="Arial" w:eastAsia="Arial" w:hAnsi="Arial"/>
          <w:sz w:val="16"/>
          <w:szCs w:val="16"/>
          <w:color w:val="auto"/>
        </w:rPr>
        <w:t>. The Notes have been duly authorized and, at the Closing Date, will have been duly executed by the Issuer and, when authenticated, issued and delivered in the manner provided for in the Indenture and delivered against payment of the Purchase Price (as defined below) as provided in this Agreement, will constitute legal, valid and binding obligations of the Issuer, subject to bankruptcy, insolvency, fraudulent conveyance, reorganization, moratorium and similar laws affecting creditors’ rights generally and to general principles of equity (regardless of whether considered in a proceeding in equity or at law), and will be in the form contemplated by, and entitled to the benefits of, the Indenture.</w:t>
      </w:r>
    </w:p>
    <w:p>
      <w:pPr>
        <w:spacing w:after="0" w:line="50" w:lineRule="exact"/>
        <w:rPr>
          <w:rFonts w:ascii="Arial" w:cs="Arial" w:eastAsia="Arial" w:hAnsi="Arial"/>
          <w:sz w:val="16"/>
          <w:szCs w:val="16"/>
          <w:color w:val="auto"/>
        </w:rPr>
      </w:pPr>
    </w:p>
    <w:p>
      <w:pPr>
        <w:ind w:right="20" w:firstLine="885"/>
        <w:spacing w:after="0" w:line="255" w:lineRule="auto"/>
        <w:tabs>
          <w:tab w:leader="none" w:pos="1456" w:val="left"/>
        </w:tabs>
        <w:numPr>
          <w:ilvl w:val="0"/>
          <w:numId w:val="717"/>
        </w:numPr>
        <w:rPr>
          <w:rFonts w:ascii="Arial" w:cs="Arial" w:eastAsia="Arial" w:hAnsi="Arial"/>
          <w:sz w:val="18"/>
          <w:szCs w:val="18"/>
          <w:color w:val="auto"/>
        </w:rPr>
      </w:pPr>
      <w:r>
        <w:rPr>
          <w:rFonts w:ascii="Arial" w:cs="Arial" w:eastAsia="Arial" w:hAnsi="Arial"/>
          <w:sz w:val="18"/>
          <w:szCs w:val="18"/>
          <w:u w:val="single" w:color="auto"/>
          <w:color w:val="auto"/>
        </w:rPr>
        <w:t>Authorization of the Indenture and the Subsidiary Guarantees</w:t>
      </w:r>
      <w:r>
        <w:rPr>
          <w:rFonts w:ascii="Arial" w:cs="Arial" w:eastAsia="Arial" w:hAnsi="Arial"/>
          <w:sz w:val="18"/>
          <w:szCs w:val="18"/>
          <w:color w:val="auto"/>
        </w:rPr>
        <w:t>. Each of the Indenture and the Subsidiary Guarantees has been duly authorized by the Issuer and the Subsidiary Guarantors, and, when executed and delivered by the Issuer and the Subsidiary Guarantors (assuming the due authorization, execution and delivery by the Trustee), will constitute a legal, valid and binding agreement of each of the Issuer and the Subsidiary Guarantors, enforceable against each of them in accordance with its terms, subject to bankruptcy, insolvency, fraudulent conveyance, reorganization, moratorium and similar laws affecting creditors’ rights generally and to general principles of equity (regardless of whether considered in a proceeding in equity or at law).</w:t>
      </w:r>
    </w:p>
    <w:p>
      <w:pPr>
        <w:spacing w:after="0" w:line="85" w:lineRule="exact"/>
        <w:rPr>
          <w:rFonts w:ascii="Arial" w:cs="Arial" w:eastAsia="Arial" w:hAnsi="Arial"/>
          <w:sz w:val="18"/>
          <w:szCs w:val="18"/>
          <w:color w:val="auto"/>
        </w:rPr>
      </w:pPr>
    </w:p>
    <w:p>
      <w:pPr>
        <w:ind w:right="160" w:firstLine="885"/>
        <w:spacing w:after="0" w:line="286" w:lineRule="auto"/>
        <w:tabs>
          <w:tab w:leader="none" w:pos="1506" w:val="left"/>
        </w:tabs>
        <w:numPr>
          <w:ilvl w:val="0"/>
          <w:numId w:val="717"/>
        </w:numPr>
        <w:rPr>
          <w:rFonts w:ascii="Arial" w:cs="Arial" w:eastAsia="Arial" w:hAnsi="Arial"/>
          <w:sz w:val="17"/>
          <w:szCs w:val="17"/>
          <w:color w:val="auto"/>
        </w:rPr>
      </w:pPr>
      <w:r>
        <w:rPr>
          <w:rFonts w:ascii="Arial" w:cs="Arial" w:eastAsia="Arial" w:hAnsi="Arial"/>
          <w:sz w:val="17"/>
          <w:szCs w:val="17"/>
          <w:u w:val="single" w:color="auto"/>
          <w:color w:val="auto"/>
        </w:rPr>
        <w:t>No Qualification under Trust Indenture Act</w:t>
      </w:r>
      <w:r>
        <w:rPr>
          <w:rFonts w:ascii="Arial" w:cs="Arial" w:eastAsia="Arial" w:hAnsi="Arial"/>
          <w:sz w:val="17"/>
          <w:szCs w:val="17"/>
          <w:color w:val="auto"/>
        </w:rPr>
        <w:t>. No qualification of the Indenture under the Trust Indenture Act of 1939, as amended, and the rules and regulations of the Commission thereunder (the “</w:t>
      </w:r>
      <w:r>
        <w:rPr>
          <w:rFonts w:ascii="Arial" w:cs="Arial" w:eastAsia="Arial" w:hAnsi="Arial"/>
          <w:sz w:val="17"/>
          <w:szCs w:val="17"/>
          <w:b w:val="1"/>
          <w:bCs w:val="1"/>
          <w:color w:val="auto"/>
        </w:rPr>
        <w:t>TIA</w:t>
      </w:r>
      <w:r>
        <w:rPr>
          <w:rFonts w:ascii="Arial" w:cs="Arial" w:eastAsia="Arial" w:hAnsi="Arial"/>
          <w:sz w:val="17"/>
          <w:szCs w:val="17"/>
          <w:color w:val="auto"/>
        </w:rPr>
        <w:t>”) is required in connection with the offer and sale of the Notes by the Issuer to the Initial Purchasers hereunder or the resales thereof by the Initial Purchasers in the manner contemplated hereby.</w:t>
      </w:r>
    </w:p>
    <w:p>
      <w:pPr>
        <w:spacing w:after="0" w:line="57" w:lineRule="exact"/>
        <w:rPr>
          <w:rFonts w:ascii="Arial" w:cs="Arial" w:eastAsia="Arial" w:hAnsi="Arial"/>
          <w:sz w:val="17"/>
          <w:szCs w:val="17"/>
          <w:color w:val="auto"/>
        </w:rPr>
      </w:pPr>
    </w:p>
    <w:p>
      <w:pPr>
        <w:jc w:val="both"/>
        <w:ind w:firstLine="885"/>
        <w:spacing w:after="0" w:line="259" w:lineRule="auto"/>
        <w:tabs>
          <w:tab w:leader="none" w:pos="1556" w:val="left"/>
        </w:tabs>
        <w:numPr>
          <w:ilvl w:val="0"/>
          <w:numId w:val="717"/>
        </w:numPr>
        <w:rPr>
          <w:rFonts w:ascii="Arial" w:cs="Arial" w:eastAsia="Arial" w:hAnsi="Arial"/>
          <w:sz w:val="18"/>
          <w:szCs w:val="18"/>
          <w:color w:val="auto"/>
        </w:rPr>
      </w:pPr>
      <w:r>
        <w:rPr>
          <w:rFonts w:ascii="Arial" w:cs="Arial" w:eastAsia="Arial" w:hAnsi="Arial"/>
          <w:sz w:val="18"/>
          <w:szCs w:val="18"/>
          <w:u w:val="single" w:color="auto"/>
          <w:color w:val="auto"/>
        </w:rPr>
        <w:t>Payments without Withholding</w:t>
      </w:r>
      <w:r>
        <w:rPr>
          <w:rFonts w:ascii="Arial" w:cs="Arial" w:eastAsia="Arial" w:hAnsi="Arial"/>
          <w:sz w:val="18"/>
          <w:szCs w:val="18"/>
          <w:color w:val="auto"/>
        </w:rPr>
        <w:t>. Except as disclosed in the Disclosure Package and the Final Offering Memorandum, all payments on the Notes will be made by the Issuer and the Subsidiary Guarantors without withholding or deduction for or on account of any and all taxes, duties or other charges or whatsoever nature (including, without limitation, income taxes) imposed by the British Virgin Islands, Macau or Hong Kong, or, in each case, any political subdivision or taxing authority thereof or therein.</w:t>
      </w:r>
    </w:p>
    <w:p>
      <w:pPr>
        <w:spacing w:after="0" w:line="78" w:lineRule="exact"/>
        <w:rPr>
          <w:rFonts w:ascii="Arial" w:cs="Arial" w:eastAsia="Arial" w:hAnsi="Arial"/>
          <w:sz w:val="18"/>
          <w:szCs w:val="18"/>
          <w:color w:val="auto"/>
        </w:rPr>
      </w:pPr>
    </w:p>
    <w:p>
      <w:pPr>
        <w:ind w:right="20" w:firstLine="885"/>
        <w:spacing w:after="0" w:line="264" w:lineRule="auto"/>
        <w:tabs>
          <w:tab w:leader="none" w:pos="1456" w:val="left"/>
        </w:tabs>
        <w:numPr>
          <w:ilvl w:val="0"/>
          <w:numId w:val="717"/>
        </w:numPr>
        <w:rPr>
          <w:rFonts w:ascii="Arial" w:cs="Arial" w:eastAsia="Arial" w:hAnsi="Arial"/>
          <w:sz w:val="18"/>
          <w:szCs w:val="18"/>
          <w:color w:val="auto"/>
        </w:rPr>
      </w:pPr>
      <w:r>
        <w:rPr>
          <w:rFonts w:ascii="Arial" w:cs="Arial" w:eastAsia="Arial" w:hAnsi="Arial"/>
          <w:sz w:val="18"/>
          <w:szCs w:val="18"/>
          <w:u w:val="single" w:color="auto"/>
          <w:color w:val="auto"/>
        </w:rPr>
        <w:t>Sovereign Immunity</w:t>
      </w:r>
      <w:r>
        <w:rPr>
          <w:rFonts w:ascii="Arial" w:cs="Arial" w:eastAsia="Arial" w:hAnsi="Arial"/>
          <w:sz w:val="18"/>
          <w:szCs w:val="18"/>
          <w:color w:val="auto"/>
        </w:rPr>
        <w:t>. None of the Issuer or any of its subsidiaries or any of their respective properties has any sovereign immunity from jurisdiction or suit of any court or from set-off or from any legal process or remedy (whether through service, notice, attachment prior to judgment, attachment in aid of execution, execution or otherwise) under the laws of Macau.</w:t>
      </w:r>
    </w:p>
    <w:p>
      <w:pPr>
        <w:spacing w:after="0" w:line="73" w:lineRule="exact"/>
        <w:rPr>
          <w:sz w:val="20"/>
          <w:szCs w:val="20"/>
          <w:color w:val="auto"/>
        </w:rPr>
      </w:pPr>
    </w:p>
    <w:p>
      <w:pPr>
        <w:ind w:firstLine="881"/>
        <w:spacing w:after="0" w:line="253"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after the Closing Time, the Issuer individually, and the Issuer and its subsidiaries on a consolidated basis (the “</w:t>
      </w:r>
      <w:r>
        <w:rPr>
          <w:rFonts w:ascii="Arial" w:cs="Arial" w:eastAsia="Arial" w:hAnsi="Arial"/>
          <w:sz w:val="18"/>
          <w:szCs w:val="18"/>
          <w:b w:val="1"/>
          <w:bCs w:val="1"/>
          <w:color w:val="auto"/>
        </w:rPr>
        <w:t>Group</w:t>
      </w:r>
      <w:r>
        <w:rPr>
          <w:rFonts w:ascii="Arial" w:cs="Arial" w:eastAsia="Arial" w:hAnsi="Arial"/>
          <w:sz w:val="18"/>
          <w:szCs w:val="18"/>
          <w:color w:val="auto"/>
        </w:rPr>
        <w:t>”), will be Solvent. As used herein, the term “</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the Issuer and the Group, on a particular date, that on such date (excluding intercompany liabilities) (1) the fair market value of the assets of the entity is greater than the total amount of liabilities (including contingent liabilities) of such entity, (2) the present fair saleable value of the assets of such entity is greater than the sum of its stated liabilities and identified contingent liabilities, (3) such entity is able to realize upon its assets and pay its debts and other liabilities, including contingent obligations, as they mature, (4) such entity does not have unreasonably small capital, and (5) such entity is not unable to or has not been deemed to be unable to pay its debts as they fall due. No proceedings have been commenced by the Issuer or its subsidiaries for, nor has the Issuer or any of its subsidiaries passed any resolutions or presented petitions for purposes of, and no judgment has been rendered for, the liquidation, bankruptcy, winding-up, administration or analogous event of the Issuer or any of its subsidiaries, except with respect to any subsidiary of the Issuer, for any such resolutions in respect of a voluntary reorganization.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34" w:name="page535"/>
    <w:bookmarkEnd w:id="534"/>
    <w:p>
      <w:pPr>
        <w:ind w:right="40" w:firstLine="88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(xli) </w:t>
      </w:r>
      <w:r>
        <w:rPr>
          <w:rFonts w:ascii="Arial" w:cs="Arial" w:eastAsia="Arial" w:hAnsi="Arial"/>
          <w:sz w:val="18"/>
          <w:szCs w:val="18"/>
          <w:u w:val="single" w:color="auto"/>
          <w:color w:val="auto"/>
        </w:rPr>
        <w:t>Undisclosed Liabilities</w:t>
      </w:r>
      <w:r>
        <w:rPr>
          <w:rFonts w:ascii="Arial" w:cs="Arial" w:eastAsia="Arial" w:hAnsi="Arial"/>
          <w:sz w:val="18"/>
          <w:szCs w:val="18"/>
          <w:i w:val="1"/>
          <w:iCs w:val="1"/>
          <w:color w:val="auto"/>
        </w:rPr>
        <w:t>.</w:t>
      </w:r>
      <w:r>
        <w:rPr>
          <w:rFonts w:ascii="Arial" w:cs="Arial" w:eastAsia="Arial" w:hAnsi="Arial"/>
          <w:sz w:val="18"/>
          <w:szCs w:val="18"/>
          <w:color w:val="auto"/>
        </w:rPr>
        <w:t xml:space="preserve"> There are (i) no liabilities of the Issuer or any of its subsidiaries of any kind whatsoever, whether accrued, contingent, absolute, determined, determinable or otherwise, and (ii) no existing situations or set of circumstances that would reasonably be expected to result in such a liability, other than (x) liabilities set forth in the Disclosure Package and the Final Offering Memorandum, or (y) other undisclosed liabilities which would not, individually or in the aggregate, have a Material Adverse Effect.</w:t>
      </w:r>
    </w:p>
    <w:p>
      <w:pPr>
        <w:spacing w:after="0" w:line="79" w:lineRule="exact"/>
        <w:rPr>
          <w:sz w:val="20"/>
          <w:szCs w:val="20"/>
          <w:color w:val="auto"/>
        </w:rPr>
      </w:pPr>
    </w:p>
    <w:p>
      <w:pPr>
        <w:ind w:right="60" w:firstLine="881"/>
        <w:spacing w:after="0" w:line="297" w:lineRule="auto"/>
        <w:rPr>
          <w:sz w:val="20"/>
          <w:szCs w:val="20"/>
          <w:color w:val="auto"/>
        </w:rPr>
      </w:pPr>
      <w:r>
        <w:rPr>
          <w:rFonts w:ascii="Arial" w:cs="Arial" w:eastAsia="Arial" w:hAnsi="Arial"/>
          <w:sz w:val="16"/>
          <w:szCs w:val="16"/>
          <w:color w:val="auto"/>
        </w:rPr>
        <w:t xml:space="preserve">(xlii) </w:t>
      </w:r>
      <w:r>
        <w:rPr>
          <w:rFonts w:ascii="Arial" w:cs="Arial" w:eastAsia="Arial" w:hAnsi="Arial"/>
          <w:sz w:val="16"/>
          <w:szCs w:val="16"/>
          <w:u w:val="single" w:color="auto"/>
          <w:color w:val="auto"/>
        </w:rPr>
        <w:t>Accounting Controls</w:t>
      </w:r>
      <w:r>
        <w:rPr>
          <w:rFonts w:ascii="Arial" w:cs="Arial" w:eastAsia="Arial" w:hAnsi="Arial"/>
          <w:sz w:val="16"/>
          <w:szCs w:val="16"/>
          <w:i w:val="1"/>
          <w:iCs w:val="1"/>
          <w:color w:val="auto"/>
        </w:rPr>
        <w:t>.</w:t>
      </w:r>
      <w:r>
        <w:rPr>
          <w:rFonts w:ascii="Arial" w:cs="Arial" w:eastAsia="Arial" w:hAnsi="Arial"/>
          <w:sz w:val="16"/>
          <w:szCs w:val="16"/>
          <w:color w:val="auto"/>
        </w:rPr>
        <w:t xml:space="preserve"> The Issuer and its consolidated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and the recorded accountability for assets is compared with the existing assets at reasonable intervals and appropriate action is taken with respect to any differences.</w:t>
      </w:r>
    </w:p>
    <w:p>
      <w:pPr>
        <w:spacing w:after="0" w:line="50"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u w:val="single" w:color="auto"/>
          <w:color w:val="auto"/>
        </w:rPr>
        <w:t>Similar Offerings</w:t>
      </w:r>
      <w:r>
        <w:rPr>
          <w:rFonts w:ascii="Arial" w:cs="Arial" w:eastAsia="Arial" w:hAnsi="Arial"/>
          <w:sz w:val="18"/>
          <w:szCs w:val="18"/>
          <w:i w:val="1"/>
          <w:iCs w:val="1"/>
          <w:color w:val="auto"/>
        </w:rPr>
        <w:t>.</w:t>
      </w:r>
      <w:r>
        <w:rPr>
          <w:rFonts w:ascii="Arial" w:cs="Arial" w:eastAsia="Arial" w:hAnsi="Arial"/>
          <w:sz w:val="18"/>
          <w:szCs w:val="18"/>
          <w:color w:val="auto"/>
        </w:rPr>
        <w:t xml:space="preserve"> None of the Issuer or the Subsidiary Guarantors, or any of its or their respective affiliates, as such term is defined in Rule 501(b) under the Securities Act (each, an “</w:t>
      </w:r>
      <w:r>
        <w:rPr>
          <w:rFonts w:ascii="Arial" w:cs="Arial" w:eastAsia="Arial" w:hAnsi="Arial"/>
          <w:sz w:val="18"/>
          <w:szCs w:val="18"/>
          <w:b w:val="1"/>
          <w:bCs w:val="1"/>
          <w:color w:val="auto"/>
        </w:rPr>
        <w:t>Affiliate</w:t>
      </w:r>
      <w:r>
        <w:rPr>
          <w:rFonts w:ascii="Arial" w:cs="Arial" w:eastAsia="Arial" w:hAnsi="Arial"/>
          <w:sz w:val="18"/>
          <w:szCs w:val="18"/>
          <w:color w:val="auto"/>
        </w:rPr>
        <w:t>”), or any other person acting on its or their behalf (other than the Initial Purchasers, as to whom no representation, warranty or agreement is made), has, directly or indirectly, solicited any offer to buy, sold or offered to sell or otherwise negotiated in respect of, or will solicit any offer to buy, sell or offer to sell or otherwise negotiate in respect of, in the United States or to any U.S. person (as defined in Regulation S), any security which is or would be integrated with the sale of the Notes in a manner that would require the Notes to be registered under the Securities Act.</w:t>
      </w:r>
    </w:p>
    <w:p>
      <w:pPr>
        <w:spacing w:after="0" w:line="8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u w:val="single" w:color="auto"/>
          <w:color w:val="auto"/>
        </w:rPr>
        <w:t>Rule 144A Eligibility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Notes are eligible for resale pursuant to Rule 144A and will not be, at the Closing Time, of the same class as securities listed on a national securities exchange registered under Section 6 of the Exchange Act, or quoted in a U.S. automated interdealer quotation system. Each of the Disclosure Package and the Final Offering Memorandum, as of its date, contain all the information specified in, and meeting the requirements of, Rule 144A(d)(4) under the Securities Act.</w:t>
      </w:r>
    </w:p>
    <w:p>
      <w:pPr>
        <w:spacing w:after="0" w:line="79" w:lineRule="exact"/>
        <w:rPr>
          <w:sz w:val="20"/>
          <w:szCs w:val="20"/>
          <w:color w:val="auto"/>
        </w:rPr>
      </w:pPr>
    </w:p>
    <w:p>
      <w:pPr>
        <w:jc w:val="both"/>
        <w:ind w:right="180" w:firstLine="881"/>
        <w:spacing w:after="0" w:line="286" w:lineRule="auto"/>
        <w:rPr>
          <w:sz w:val="20"/>
          <w:szCs w:val="20"/>
          <w:color w:val="auto"/>
        </w:rPr>
      </w:pPr>
      <w:r>
        <w:rPr>
          <w:rFonts w:ascii="Arial" w:cs="Arial" w:eastAsia="Arial" w:hAnsi="Arial"/>
          <w:sz w:val="17"/>
          <w:szCs w:val="17"/>
          <w:color w:val="auto"/>
        </w:rPr>
        <w:t xml:space="preserve">(xlv) </w:t>
      </w:r>
      <w:r>
        <w:rPr>
          <w:rFonts w:ascii="Arial" w:cs="Arial" w:eastAsia="Arial" w:hAnsi="Arial"/>
          <w:sz w:val="17"/>
          <w:szCs w:val="17"/>
          <w:u w:val="single" w:color="auto"/>
          <w:color w:val="auto"/>
        </w:rPr>
        <w:t>No General Solicitation</w:t>
      </w:r>
      <w:r>
        <w:rPr>
          <w:rFonts w:ascii="Arial" w:cs="Arial" w:eastAsia="Arial" w:hAnsi="Arial"/>
          <w:sz w:val="17"/>
          <w:szCs w:val="17"/>
          <w:i w:val="1"/>
          <w:iCs w:val="1"/>
          <w:color w:val="auto"/>
        </w:rPr>
        <w:t>.</w:t>
      </w:r>
      <w:r>
        <w:rPr>
          <w:rFonts w:ascii="Arial" w:cs="Arial" w:eastAsia="Arial" w:hAnsi="Arial"/>
          <w:sz w:val="17"/>
          <w:szCs w:val="17"/>
          <w:color w:val="auto"/>
        </w:rPr>
        <w:t xml:space="preserve"> None of the Issuer, its subsidiaries, their Affiliates or any person acting on its or their behalf (other than the Initial Purchasers, as to whom no representation, warranty or agreement is made) has engaged or will engage, in connection with the Offering, in any form of general solicitation or general advertising within the meaning of Rule 502(c) under the Securities Act.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3" w:right="479" w:bottom="1440" w:gutter="0" w:footer="0" w:header="0"/>
        </w:sectPr>
      </w:pPr>
    </w:p>
    <w:bookmarkStart w:id="535" w:name="page536"/>
    <w:bookmarkEnd w:id="535"/>
    <w:p>
      <w:pPr>
        <w:ind w:right="6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(xlvi) </w:t>
      </w:r>
      <w:r>
        <w:rPr>
          <w:rFonts w:ascii="Arial" w:cs="Arial" w:eastAsia="Arial" w:hAnsi="Arial"/>
          <w:sz w:val="17"/>
          <w:szCs w:val="17"/>
          <w:u w:val="single" w:color="auto"/>
          <w:color w:val="auto"/>
        </w:rPr>
        <w:t>Public Announcements Relating to Stabilization Actions</w:t>
      </w:r>
      <w:r>
        <w:rPr>
          <w:rFonts w:ascii="Arial" w:cs="Arial" w:eastAsia="Arial" w:hAnsi="Arial"/>
          <w:sz w:val="17"/>
          <w:szCs w:val="17"/>
          <w:color w:val="auto"/>
        </w:rPr>
        <w:t>. Each of the Issuer and the Subsidiary Guarantors represents, warrants and agrees that in relation to any Notes for which Deutsche Bank AG, Singapore Branch is named as a Stabilizing Coordinator (the “</w:t>
      </w:r>
      <w:r>
        <w:rPr>
          <w:rFonts w:ascii="Arial" w:cs="Arial" w:eastAsia="Arial" w:hAnsi="Arial"/>
          <w:sz w:val="17"/>
          <w:szCs w:val="17"/>
          <w:b w:val="1"/>
          <w:bCs w:val="1"/>
          <w:color w:val="auto"/>
        </w:rPr>
        <w:t>Stabilizing</w:t>
      </w:r>
      <w:r>
        <w:rPr>
          <w:rFonts w:ascii="Arial" w:cs="Arial" w:eastAsia="Arial" w:hAnsi="Arial"/>
          <w:sz w:val="17"/>
          <w:szCs w:val="17"/>
          <w:color w:val="auto"/>
        </w:rPr>
        <w:t xml:space="preserve"> </w:t>
      </w:r>
      <w:r>
        <w:rPr>
          <w:rFonts w:ascii="Arial" w:cs="Arial" w:eastAsia="Arial" w:hAnsi="Arial"/>
          <w:sz w:val="17"/>
          <w:szCs w:val="17"/>
          <w:b w:val="1"/>
          <w:bCs w:val="1"/>
          <w:color w:val="auto"/>
        </w:rPr>
        <w:t>Coordinator</w:t>
      </w:r>
      <w:r>
        <w:rPr>
          <w:rFonts w:ascii="Arial" w:cs="Arial" w:eastAsia="Arial" w:hAnsi="Arial"/>
          <w:sz w:val="17"/>
          <w:szCs w:val="17"/>
          <w:color w:val="auto"/>
        </w:rPr>
        <w:t>”), each of the Issuer and its subsidiaries will not issue, without the prior consent of the Stabilizing Coordinator, any press release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public announcement referring to the proposed issue of Notes unless the announcement adequately discloses the fact that stabilizing action may take place in relation to the Notes and the Issuer authorizes the Initial Purchasers to make adequate public disclosure of the information required by Article 6 of the Commission Delegated Regulation 2016/1052 instead of the Issuer or such subsidiaries.</w:t>
      </w:r>
    </w:p>
    <w:p>
      <w:pPr>
        <w:spacing w:after="0" w:line="70" w:lineRule="exact"/>
        <w:rPr>
          <w:sz w:val="20"/>
          <w:szCs w:val="20"/>
          <w:color w:val="auto"/>
        </w:rPr>
      </w:pPr>
    </w:p>
    <w:p>
      <w:pPr>
        <w:ind w:right="120" w:firstLine="881"/>
        <w:spacing w:after="0" w:line="312" w:lineRule="auto"/>
        <w:rPr>
          <w:sz w:val="20"/>
          <w:szCs w:val="20"/>
          <w:color w:val="auto"/>
        </w:rPr>
      </w:pPr>
      <w:r>
        <w:rPr>
          <w:rFonts w:ascii="Arial" w:cs="Arial" w:eastAsia="Arial" w:hAnsi="Arial"/>
          <w:sz w:val="16"/>
          <w:szCs w:val="16"/>
          <w:color w:val="auto"/>
        </w:rPr>
        <w:t xml:space="preserve">(xlvii) </w:t>
      </w:r>
      <w:r>
        <w:rPr>
          <w:rFonts w:ascii="Arial" w:cs="Arial" w:eastAsia="Arial" w:hAnsi="Arial"/>
          <w:sz w:val="16"/>
          <w:szCs w:val="16"/>
          <w:u w:val="single" w:color="auto"/>
          <w:color w:val="auto"/>
        </w:rPr>
        <w:t>No Registration Required</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compliance by the Initial Purchasers with the representations, warranties and procedures set forth in Section 6 hereof, it is not necessary in connection with the offer, sale and delivery of the Notes to the Initial Purchasers and to each Subsequent Purchaser in the manner contemplated by this Agreement and the Offering Memorandum to register the Notes under the Securities Act.</w:t>
      </w:r>
    </w:p>
    <w:p>
      <w:pPr>
        <w:spacing w:after="0" w:line="39" w:lineRule="exact"/>
        <w:rPr>
          <w:sz w:val="20"/>
          <w:szCs w:val="20"/>
          <w:color w:val="auto"/>
        </w:rPr>
      </w:pPr>
    </w:p>
    <w:p>
      <w:pPr>
        <w:ind w:right="220" w:firstLine="881"/>
        <w:spacing w:after="0" w:line="297" w:lineRule="auto"/>
        <w:rPr>
          <w:sz w:val="20"/>
          <w:szCs w:val="20"/>
          <w:color w:val="auto"/>
        </w:rPr>
      </w:pPr>
      <w:r>
        <w:rPr>
          <w:rFonts w:ascii="Arial" w:cs="Arial" w:eastAsia="Arial" w:hAnsi="Arial"/>
          <w:sz w:val="16"/>
          <w:szCs w:val="16"/>
          <w:color w:val="auto"/>
        </w:rPr>
        <w:t xml:space="preserve">(xlviii) </w:t>
      </w:r>
      <w:r>
        <w:rPr>
          <w:rFonts w:ascii="Arial" w:cs="Arial" w:eastAsia="Arial" w:hAnsi="Arial"/>
          <w:sz w:val="16"/>
          <w:szCs w:val="16"/>
          <w:u w:val="single" w:color="auto"/>
          <w:color w:val="auto"/>
        </w:rPr>
        <w:t>No Directed Selling Efforts</w:t>
      </w:r>
      <w:r>
        <w:rPr>
          <w:rFonts w:ascii="Arial" w:cs="Arial" w:eastAsia="Arial" w:hAnsi="Arial"/>
          <w:sz w:val="16"/>
          <w:szCs w:val="16"/>
          <w:i w:val="1"/>
          <w:iCs w:val="1"/>
          <w:color w:val="auto"/>
        </w:rPr>
        <w:t>.</w:t>
      </w:r>
      <w:r>
        <w:rPr>
          <w:rFonts w:ascii="Arial" w:cs="Arial" w:eastAsia="Arial" w:hAnsi="Arial"/>
          <w:sz w:val="16"/>
          <w:szCs w:val="16"/>
          <w:color w:val="auto"/>
        </w:rPr>
        <w:t xml:space="preserve"> With respect to those Notes sold in reliance on Regulation S, (A) none of the Issuer, its subsidiaries, their respective Affiliates or any person acting on its or their behalf (other than the Initial Purchasers, as to whom no representation, warranty or agreement is made) has engaged or will engage in any directed selling efforts within the meaning of Regulation S and (B) each of the Issuer, its subsidiaries and their respective Affiliates and any person acting on its or their behalf (other than the Initial Purchasers, as to whom no representation, warranty or agreement is made) has complied with and will comply with the offering restrictions requirements of Regulation S.</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(xlix) </w:t>
      </w:r>
      <w:r>
        <w:rPr>
          <w:rFonts w:ascii="Arial" w:cs="Arial" w:eastAsia="Arial" w:hAnsi="Arial"/>
          <w:sz w:val="18"/>
          <w:szCs w:val="18"/>
          <w:u w:val="single" w:color="auto"/>
          <w:color w:val="auto"/>
        </w:rPr>
        <w:t>Foreign Private Issuer</w:t>
      </w:r>
      <w:r>
        <w:rPr>
          <w:rFonts w:ascii="Arial" w:cs="Arial" w:eastAsia="Arial" w:hAnsi="Arial"/>
          <w:sz w:val="18"/>
          <w:szCs w:val="18"/>
          <w:i w:val="1"/>
          <w:iCs w:val="1"/>
          <w:color w:val="auto"/>
        </w:rPr>
        <w:t>.</w:t>
      </w:r>
      <w:r>
        <w:rPr>
          <w:rFonts w:ascii="Arial" w:cs="Arial" w:eastAsia="Arial" w:hAnsi="Arial"/>
          <w:sz w:val="18"/>
          <w:szCs w:val="18"/>
          <w:color w:val="auto"/>
        </w:rPr>
        <w:t xml:space="preserve"> The Issuer is a “foreign private issuer” as defined in Rule 405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Initial Purchasers; Closing</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5" w:lineRule="auto"/>
        <w:tabs>
          <w:tab w:leader="none" w:pos="685" w:val="left"/>
        </w:tabs>
        <w:numPr>
          <w:ilvl w:val="0"/>
          <w:numId w:val="718"/>
        </w:numPr>
        <w:rPr>
          <w:rFonts w:ascii="Arial" w:cs="Arial" w:eastAsia="Arial" w:hAnsi="Arial"/>
          <w:sz w:val="18"/>
          <w:szCs w:val="18"/>
          <w:color w:val="auto"/>
        </w:rPr>
      </w:pPr>
      <w:r>
        <w:rPr>
          <w:rFonts w:ascii="Arial" w:cs="Arial" w:eastAsia="Arial" w:hAnsi="Arial"/>
          <w:sz w:val="18"/>
          <w:szCs w:val="18"/>
          <w:i w:val="1"/>
          <w:iCs w:val="1"/>
          <w:color w:val="auto"/>
        </w:rPr>
        <w:t>Notes</w:t>
      </w:r>
      <w:r>
        <w:rPr>
          <w:rFonts w:ascii="Arial" w:cs="Arial" w:eastAsia="Arial" w:hAnsi="Arial"/>
          <w:sz w:val="18"/>
          <w:szCs w:val="18"/>
          <w:color w:val="auto"/>
        </w:rPr>
        <w:t>. On the basis of the representations and warranties herein contained and subject to the terms and conditions herein set forth, the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to sell to each Initial Purchaser, severally and not jointly, and each Initial Purchaser, severally and not jointly, agrees to purchase from the Issuer, at the purchase price of 99.00% (consisting of the issue price for the Notes, being 100.00% of the principal amount thereof, net the commission thereon, being 1.00% of the principal amount of the Notes (the “</w:t>
      </w:r>
      <w:r>
        <w:rPr>
          <w:rFonts w:ascii="Arial" w:cs="Arial" w:eastAsia="Arial" w:hAnsi="Arial"/>
          <w:sz w:val="18"/>
          <w:szCs w:val="18"/>
          <w:b w:val="1"/>
          <w:bCs w:val="1"/>
          <w:color w:val="auto"/>
        </w:rPr>
        <w:t>Fees</w:t>
      </w:r>
      <w:r>
        <w:rPr>
          <w:rFonts w:ascii="Arial" w:cs="Arial" w:eastAsia="Arial" w:hAnsi="Arial"/>
          <w:sz w:val="18"/>
          <w:szCs w:val="18"/>
          <w:color w:val="auto"/>
        </w:rPr>
        <w:t>”)) of the principal amount thereof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the principal amounts of the Notes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such Initial Purchaser, plus any additional principal amount of the Notes which such Initial Purchaser may become obligated to purchase pursuant to the provisions of Section 10 hereof (any such additional principal amount purchased, a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w:t>
      </w:r>
      <w:r>
        <w:rPr>
          <w:rFonts w:ascii="Arial" w:cs="Arial" w:eastAsia="Arial" w:hAnsi="Arial"/>
          <w:sz w:val="18"/>
          <w:szCs w:val="18"/>
          <w:color w:val="auto"/>
        </w:rPr>
        <w:t>”).</w:t>
      </w:r>
    </w:p>
    <w:p>
      <w:pPr>
        <w:spacing w:after="0" w:line="18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Fees shall be allocated among the Initial Purchasers as set forth in the following sentence, it being understood and agreed that for purposes of this paragraph only, Industrial and Commercial Bank of China (Asia) Limited and ICBC (Macau) Capital Limited (together, “</w:t>
      </w:r>
      <w:r>
        <w:rPr>
          <w:rFonts w:ascii="Arial" w:cs="Arial" w:eastAsia="Arial" w:hAnsi="Arial"/>
          <w:sz w:val="18"/>
          <w:szCs w:val="18"/>
          <w:b w:val="1"/>
          <w:bCs w:val="1"/>
          <w:color w:val="auto"/>
        </w:rPr>
        <w:t>ICBC</w:t>
      </w:r>
      <w:r>
        <w:rPr>
          <w:rFonts w:ascii="Arial" w:cs="Arial" w:eastAsia="Arial" w:hAnsi="Arial"/>
          <w:sz w:val="18"/>
          <w:szCs w:val="18"/>
          <w:color w:val="auto"/>
        </w:rPr>
        <w:t>”) shall be treated as one entity. Subject to any adjustment to account for any Default Purchase, (i) Deutsche Bank AG, Singapore Branch and Australia and New Zealand Banking Group Limited, shall be entitled to 70.0% and 20.0% of the aggregate amount of the Fees, respectively, and (ii) Bank of Communications Co., Ltd. Macau Branch, BOCI Asia Limited, ICBC and Mizuho Securities Asia Limited shall be entitled to 2.5%, 2.5%, 2.5% (to be divided equally between Industrial and Commercial Bank of China (Asia) Limited and ICBC (Macau) Capital Limited) and 2.5% of the aggregate amount of the Fees,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536" w:name="page537"/>
    <w:bookmarkEnd w:id="536"/>
    <w:p>
      <w:pPr>
        <w:ind w:right="20" w:firstLine="444"/>
        <w:spacing w:after="0" w:line="257" w:lineRule="auto"/>
        <w:tabs>
          <w:tab w:leader="none" w:pos="695" w:val="left"/>
        </w:tabs>
        <w:numPr>
          <w:ilvl w:val="0"/>
          <w:numId w:val="7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of Purchase Price. </w:t>
      </w:r>
      <w:r>
        <w:rPr>
          <w:rFonts w:ascii="Arial" w:cs="Arial" w:eastAsia="Arial" w:hAnsi="Arial"/>
          <w:sz w:val="18"/>
          <w:szCs w:val="18"/>
          <w:color w:val="auto"/>
        </w:rPr>
        <w:t>Payment of the Purchase Price for the Notes shall be made by the Initial Purchasers in U.S. dollars in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funds by wire transfer to the account of the Issuer notified to Deutsche Bank AG, Singapore Branch, acting as settlement lead manager, at least three business days before 9:30 A.M. New York City time on February 11, 2019 (the “</w:t>
      </w:r>
      <w:r>
        <w:rPr>
          <w:rFonts w:ascii="Arial" w:cs="Arial" w:eastAsia="Arial" w:hAnsi="Arial"/>
          <w:sz w:val="18"/>
          <w:szCs w:val="18"/>
          <w:b w:val="1"/>
          <w:bCs w:val="1"/>
          <w:color w:val="auto"/>
        </w:rPr>
        <w:t>Closing Date</w:t>
      </w:r>
      <w:r>
        <w:rPr>
          <w:rFonts w:ascii="Arial" w:cs="Arial" w:eastAsia="Arial" w:hAnsi="Arial"/>
          <w:sz w:val="18"/>
          <w:szCs w:val="18"/>
          <w:color w:val="auto"/>
        </w:rPr>
        <w:t>”), or at least three business days before such other date, not later than seven calendar days after the foregoing date, as shall be agreed upon by the Representative and the Issuer (such time and date of payment being herein called the “</w:t>
      </w:r>
      <w:r>
        <w:rPr>
          <w:rFonts w:ascii="Arial" w:cs="Arial" w:eastAsia="Arial" w:hAnsi="Arial"/>
          <w:sz w:val="18"/>
          <w:szCs w:val="18"/>
          <w:b w:val="1"/>
          <w:bCs w:val="1"/>
          <w:color w:val="auto"/>
        </w:rPr>
        <w:t>Closing Time</w:t>
      </w:r>
      <w:r>
        <w:rPr>
          <w:rFonts w:ascii="Arial" w:cs="Arial" w:eastAsia="Arial" w:hAnsi="Arial"/>
          <w:sz w:val="18"/>
          <w:szCs w:val="18"/>
          <w:color w:val="auto"/>
        </w:rPr>
        <w:t>”).</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Payment shall be made to the Issuer against delivery to the Initial Purchasers for the respective accounts of the Initial Purchasers or the accounts of the persons procured by the Initial Purchasers to purchase the Notes. Each Initial Purchaser shall accept delivery of, receipt for, and make payment of the Purchase Price for, the Notes which it has agreed to purchase, or procure the purchase of. Each of the Initial Purchasers may (but shall not be obligated to) make payment of the Purchase Price for the Notes to be purchased by any persons procured by such Initial Purchaser whose funds have not been received by the Closing Time.</w:t>
      </w:r>
    </w:p>
    <w:p>
      <w:pPr>
        <w:spacing w:after="0" w:line="80" w:lineRule="exact"/>
        <w:rPr>
          <w:sz w:val="20"/>
          <w:szCs w:val="20"/>
          <w:color w:val="auto"/>
        </w:rPr>
      </w:pPr>
    </w:p>
    <w:p>
      <w:pPr>
        <w:ind w:right="40" w:firstLine="444"/>
        <w:spacing w:after="0" w:line="287" w:lineRule="auto"/>
        <w:tabs>
          <w:tab w:leader="none" w:pos="685" w:val="left"/>
        </w:tabs>
        <w:numPr>
          <w:ilvl w:val="0"/>
          <w:numId w:val="720"/>
        </w:numPr>
        <w:rPr>
          <w:rFonts w:ascii="Arial" w:cs="Arial" w:eastAsia="Arial" w:hAnsi="Arial"/>
          <w:sz w:val="16"/>
          <w:szCs w:val="16"/>
          <w:color w:val="auto"/>
        </w:rPr>
      </w:pPr>
      <w:r>
        <w:rPr>
          <w:rFonts w:ascii="Arial" w:cs="Arial" w:eastAsia="Arial" w:hAnsi="Arial"/>
          <w:sz w:val="16"/>
          <w:szCs w:val="16"/>
          <w:i w:val="1"/>
          <w:iCs w:val="1"/>
          <w:color w:val="auto"/>
        </w:rPr>
        <w:t xml:space="preserve">Delivery. </w:t>
      </w:r>
      <w:r>
        <w:rPr>
          <w:rFonts w:ascii="Arial" w:cs="Arial" w:eastAsia="Arial" w:hAnsi="Arial"/>
          <w:sz w:val="16"/>
          <w:szCs w:val="16"/>
          <w:color w:val="auto"/>
        </w:rPr>
        <w:t>The Issuer will deliver to the Initial Purchasers, against payment of the Purchase Price thereof pursuant to Section 2(b) above,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to be purchased by the Initial Purchasers hereunder and to be offered and sold by the Initial Purchasers in reliance on Regulation S in the form of one or more global notes (the “</w:t>
      </w:r>
      <w:r>
        <w:rPr>
          <w:rFonts w:ascii="Arial" w:cs="Arial" w:eastAsia="Arial" w:hAnsi="Arial"/>
          <w:sz w:val="16"/>
          <w:szCs w:val="16"/>
          <w:b w:val="1"/>
          <w:bCs w:val="1"/>
          <w:color w:val="auto"/>
        </w:rPr>
        <w:t>Regulation S Global Notes</w:t>
      </w:r>
      <w:r>
        <w:rPr>
          <w:rFonts w:ascii="Arial" w:cs="Arial" w:eastAsia="Arial" w:hAnsi="Arial"/>
          <w:sz w:val="16"/>
          <w:szCs w:val="16"/>
          <w:color w:val="auto"/>
        </w:rPr>
        <w:t>”) registered in the name of Cede &amp; Co., as nominee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deposited with the Trustee as custodian for DTC for the respective accounts of the DTC participants for Euroclear Bank SA/NV (“</w:t>
      </w:r>
      <w:r>
        <w:rPr>
          <w:rFonts w:ascii="Arial" w:cs="Arial" w:eastAsia="Arial" w:hAnsi="Arial"/>
          <w:sz w:val="16"/>
          <w:szCs w:val="16"/>
          <w:b w:val="1"/>
          <w:bCs w:val="1"/>
          <w:color w:val="auto"/>
        </w:rPr>
        <w:t>Euroclear</w:t>
      </w:r>
      <w:r>
        <w:rPr>
          <w:rFonts w:ascii="Arial" w:cs="Arial" w:eastAsia="Arial" w:hAnsi="Arial"/>
          <w:sz w:val="16"/>
          <w:szCs w:val="16"/>
          <w:color w:val="auto"/>
        </w:rPr>
        <w:t>”) and Clearstream Banking S.A. (“</w:t>
      </w:r>
      <w:r>
        <w:rPr>
          <w:rFonts w:ascii="Arial" w:cs="Arial" w:eastAsia="Arial" w:hAnsi="Arial"/>
          <w:sz w:val="16"/>
          <w:szCs w:val="16"/>
          <w:b w:val="1"/>
          <w:bCs w:val="1"/>
          <w:color w:val="auto"/>
        </w:rPr>
        <w:t>Clearstream</w:t>
      </w:r>
      <w:r>
        <w:rPr>
          <w:rFonts w:ascii="Arial" w:cs="Arial" w:eastAsia="Arial" w:hAnsi="Arial"/>
          <w:sz w:val="16"/>
          <w:szCs w:val="16"/>
          <w:color w:val="auto"/>
        </w:rPr>
        <w:t>”). The Issuer will deliver to the Initial Purchasers against payment of the Purchase Price thereof the Notes to be purchased by the Initial Purchasers hereunder and to be offered and sold by the Initial Purchasers in reliance on Rule 144A in the form of one or more global notes (the “</w:t>
      </w:r>
      <w:r>
        <w:rPr>
          <w:rFonts w:ascii="Arial" w:cs="Arial" w:eastAsia="Arial" w:hAnsi="Arial"/>
          <w:sz w:val="16"/>
          <w:szCs w:val="16"/>
          <w:b w:val="1"/>
          <w:bCs w:val="1"/>
          <w:color w:val="auto"/>
        </w:rPr>
        <w:t>Rule 144A Global Notes</w:t>
      </w:r>
      <w:r>
        <w:rPr>
          <w:rFonts w:ascii="Arial" w:cs="Arial" w:eastAsia="Arial" w:hAnsi="Arial"/>
          <w:sz w:val="16"/>
          <w:szCs w:val="16"/>
          <w:color w:val="auto"/>
        </w:rPr>
        <w:t>”) deposited with the Trustee as custodian for DTC and registered in the name of Cede &amp; Co., as nominee for DTC. The Regulation S Global Notes and the Rule 144A Global Notes shall be assigned separate CUSIP numbers. The Regulation S Global Notes and the Rule 144A Global Notes shall include the legend regarding restrictions on transfer set forth under “Transfer Restrictions” in the Offering Memorandum. Interests in the Regulation S Global Notes and the Rule 144A Global Notes will be held only in book-entry form through DTC except in the limited circumstances described in the Indenture when they may be exchanged for definitive certificated Notes.</w:t>
      </w:r>
    </w:p>
    <w:p>
      <w:pPr>
        <w:spacing w:after="0" w:line="64" w:lineRule="exact"/>
        <w:rPr>
          <w:rFonts w:ascii="Arial" w:cs="Arial" w:eastAsia="Arial" w:hAnsi="Arial"/>
          <w:sz w:val="16"/>
          <w:szCs w:val="16"/>
          <w:color w:val="auto"/>
        </w:rPr>
      </w:pPr>
    </w:p>
    <w:p>
      <w:pPr>
        <w:ind w:firstLine="444"/>
        <w:spacing w:after="0" w:line="259" w:lineRule="auto"/>
        <w:tabs>
          <w:tab w:leader="none" w:pos="695" w:val="left"/>
        </w:tabs>
        <w:numPr>
          <w:ilvl w:val="0"/>
          <w:numId w:val="720"/>
        </w:numPr>
        <w:rPr>
          <w:rFonts w:ascii="Arial" w:cs="Arial" w:eastAsia="Arial" w:hAnsi="Arial"/>
          <w:sz w:val="18"/>
          <w:szCs w:val="18"/>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Deutsche Bank AG, Singapore Branch, as Stabilizing Coordinator (or any person duly appointed as acting for the Stabilizing</w:t>
      </w:r>
      <w:r>
        <w:rPr>
          <w:rFonts w:ascii="Arial" w:cs="Arial" w:eastAsia="Arial" w:hAnsi="Arial"/>
          <w:sz w:val="18"/>
          <w:szCs w:val="18"/>
          <w:i w:val="1"/>
          <w:iCs w:val="1"/>
          <w:color w:val="auto"/>
        </w:rPr>
        <w:t xml:space="preserve"> </w:t>
      </w:r>
      <w:r>
        <w:rPr>
          <w:rFonts w:ascii="Arial" w:cs="Arial" w:eastAsia="Arial" w:hAnsi="Arial"/>
          <w:sz w:val="18"/>
          <w:szCs w:val="18"/>
          <w:color w:val="auto"/>
        </w:rPr>
        <w:t>Coordinator) may, to the extent permitted by applicable laws and regulations, over-allot Notes or effect transactions with a view to supporting the market price of the Notes at a level higher than that which might otherwise prevail, but in doing so the Stabilizing Coordinator shall act as principal and not as agent of the Issuer.</w:t>
      </w:r>
    </w:p>
    <w:p>
      <w:pPr>
        <w:spacing w:after="0" w:line="18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Issuer and the Subsidiary Guarantors.</w:t>
      </w:r>
      <w:r>
        <w:rPr>
          <w:rFonts w:ascii="Arial" w:cs="Arial" w:eastAsia="Arial" w:hAnsi="Arial"/>
          <w:sz w:val="18"/>
          <w:szCs w:val="18"/>
          <w:color w:val="auto"/>
        </w:rPr>
        <w:t xml:space="preserve"> Each of the Issuer and the Subsidiary Guarantors, jointly and severally, covenants with each Initial Purchaser as follows:</w:t>
      </w:r>
    </w:p>
    <w:p>
      <w:pPr>
        <w:spacing w:after="0" w:line="62" w:lineRule="exact"/>
        <w:rPr>
          <w:sz w:val="20"/>
          <w:szCs w:val="20"/>
          <w:color w:val="auto"/>
        </w:rPr>
      </w:pPr>
    </w:p>
    <w:p>
      <w:pPr>
        <w:ind w:right="160" w:firstLine="444"/>
        <w:spacing w:after="0" w:line="286" w:lineRule="auto"/>
        <w:tabs>
          <w:tab w:leader="none" w:pos="685" w:val="left"/>
        </w:tabs>
        <w:numPr>
          <w:ilvl w:val="0"/>
          <w:numId w:val="721"/>
        </w:numPr>
        <w:rPr>
          <w:rFonts w:ascii="Arial" w:cs="Arial" w:eastAsia="Arial" w:hAnsi="Arial"/>
          <w:sz w:val="17"/>
          <w:szCs w:val="17"/>
          <w:color w:val="auto"/>
        </w:rPr>
      </w:pPr>
      <w:r>
        <w:rPr>
          <w:rFonts w:ascii="Arial" w:cs="Arial" w:eastAsia="Arial" w:hAnsi="Arial"/>
          <w:sz w:val="17"/>
          <w:szCs w:val="17"/>
          <w:i w:val="1"/>
          <w:iCs w:val="1"/>
          <w:color w:val="auto"/>
        </w:rPr>
        <w:t>Disclosure Package and Offering Memorandum</w:t>
      </w:r>
      <w:r>
        <w:rPr>
          <w:rFonts w:ascii="Arial" w:cs="Arial" w:eastAsia="Arial" w:hAnsi="Arial"/>
          <w:sz w:val="17"/>
          <w:szCs w:val="17"/>
          <w:color w:val="auto"/>
        </w:rPr>
        <w:t>. During the period from the date hereof to that indicated in Section 3(b)(ii) below, the Issuer,</w:t>
      </w:r>
      <w:r>
        <w:rPr>
          <w:rFonts w:ascii="Arial" w:cs="Arial" w:eastAsia="Arial" w:hAnsi="Arial"/>
          <w:sz w:val="17"/>
          <w:szCs w:val="17"/>
          <w:i w:val="1"/>
          <w:iCs w:val="1"/>
          <w:color w:val="auto"/>
        </w:rPr>
        <w:t xml:space="preserve"> </w:t>
      </w:r>
      <w:r>
        <w:rPr>
          <w:rFonts w:ascii="Arial" w:cs="Arial" w:eastAsia="Arial" w:hAnsi="Arial"/>
          <w:sz w:val="17"/>
          <w:szCs w:val="17"/>
          <w:color w:val="auto"/>
        </w:rPr>
        <w:t>as promptly as practicable, will furnish to each Initial Purchaser, without charge, such number of copies of the Disclosure Package and the Final Offering Memorandum and any amendments and supplements thereto as such Initial Purchaser may reasonably request.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537" w:name="page538"/>
    <w:bookmarkEnd w:id="537"/>
    <w:p>
      <w:pPr>
        <w:ind w:left="-20" w:firstLine="444"/>
        <w:spacing w:after="0" w:line="285" w:lineRule="auto"/>
        <w:tabs>
          <w:tab w:leader="none" w:pos="675" w:val="left"/>
        </w:tabs>
        <w:numPr>
          <w:ilvl w:val="0"/>
          <w:numId w:val="7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and Effect of Material Events</w:t>
      </w:r>
      <w:r>
        <w:rPr>
          <w:rFonts w:ascii="Arial" w:cs="Arial" w:eastAsia="Arial" w:hAnsi="Arial"/>
          <w:sz w:val="16"/>
          <w:szCs w:val="16"/>
          <w:color w:val="auto"/>
        </w:rPr>
        <w:t>. The Issuer will promptly notify each Initial Purchaser, and confirm such notice in writing, of (i) any</w:t>
      </w:r>
      <w:r>
        <w:rPr>
          <w:rFonts w:ascii="Arial" w:cs="Arial" w:eastAsia="Arial" w:hAnsi="Arial"/>
          <w:sz w:val="16"/>
          <w:szCs w:val="16"/>
          <w:i w:val="1"/>
          <w:iCs w:val="1"/>
          <w:color w:val="auto"/>
        </w:rPr>
        <w:t xml:space="preserve"> </w:t>
      </w:r>
      <w:r>
        <w:rPr>
          <w:rFonts w:ascii="Arial" w:cs="Arial" w:eastAsia="Arial" w:hAnsi="Arial"/>
          <w:sz w:val="16"/>
          <w:szCs w:val="16"/>
          <w:color w:val="auto"/>
        </w:rPr>
        <w:t>filing made by the Issuer of information relating to the Offering with any securities exchange or any other regulatory body in any applicable jurisdiction, and (ii) at any time prior to the earlier of (A) two months after the Closing Date and (B) the completion of the resale of the Notes by the Initial Purchasers (which the Initial Purchasers shall provide prompt notice thereof to the Issuer), any material changes in or affecting the condition, financial or otherwise, or the earnings, business affairs or business prospects of the Issuer and its subsidiaries considered as one enterprise which (x) make any statement in the Disclosure Package, any Offering Memorandum or any Supplemental Offering Material false or misleading or (y) are not disclosed in the Disclosure Package or Offering Memorandum. During such time as described in clause (ii) of the preceding sentence, if any event shall occur or condition exist as a result of which it is necessary to amend or supplement the Offering Memorandum in order that the Offering Memorandum not include any untrue statement of a material fact or omit to state a material fact necessary in order to make the statements therein not misleading in the light of the circumstances under which they were made and then existing, or if in the reasonable opinion of the Initial Purchasers or counsel for the Initial Purchasers it is otherwise necessary to amend or supplement the Offering Memorandum to comply with law, the Issuer will, upon receiving reasonable request from the Representative, amend or supplement the Offering Memorandum by promptly preparing and furnishing, at its own expense, to each Initial Purchaser an amendment or amendments of, or a supplement or supplements to, the Offering Memorandum (in form and substance satisfactory in the reasonable opinion of counsel for the Initial Purchasers) so that, as so amended or supplemented, the Offering Memorandum will not include an untrue statement of a material fact or omit to state a material fact necessary in order to make the statements therein, in the light of the circumstances under which they were made and existing at the time it is furnished to the Initial Purchasers, not misleading or so that the Offering Memorandum, as amended or supplemented, will comply with law.</w:t>
      </w:r>
    </w:p>
    <w:p>
      <w:pPr>
        <w:spacing w:after="0" w:line="67" w:lineRule="exact"/>
        <w:rPr>
          <w:rFonts w:ascii="Arial" w:cs="Arial" w:eastAsia="Arial" w:hAnsi="Arial"/>
          <w:sz w:val="16"/>
          <w:szCs w:val="16"/>
          <w:color w:val="auto"/>
        </w:rPr>
      </w:pPr>
    </w:p>
    <w:p>
      <w:pPr>
        <w:ind w:left="-20" w:firstLine="444"/>
        <w:spacing w:after="0" w:line="273" w:lineRule="auto"/>
        <w:tabs>
          <w:tab w:leader="none" w:pos="665" w:val="left"/>
        </w:tabs>
        <w:numPr>
          <w:ilvl w:val="0"/>
          <w:numId w:val="722"/>
        </w:numPr>
        <w:rPr>
          <w:rFonts w:ascii="Arial" w:cs="Arial" w:eastAsia="Arial" w:hAnsi="Arial"/>
          <w:sz w:val="17"/>
          <w:szCs w:val="17"/>
          <w:color w:val="auto"/>
        </w:rPr>
      </w:pPr>
      <w:r>
        <w:rPr>
          <w:rFonts w:ascii="Arial" w:cs="Arial" w:eastAsia="Arial" w:hAnsi="Arial"/>
          <w:sz w:val="17"/>
          <w:szCs w:val="17"/>
          <w:i w:val="1"/>
          <w:iCs w:val="1"/>
          <w:color w:val="auto"/>
        </w:rPr>
        <w:t>Amendments and Supplements to the Offering Memorandum; Preparation of Pricing Supplement; Supplemental Offering Materials</w:t>
      </w:r>
      <w:r>
        <w:rPr>
          <w:rFonts w:ascii="Arial" w:cs="Arial" w:eastAsia="Arial" w:hAnsi="Arial"/>
          <w:sz w:val="17"/>
          <w:szCs w:val="17"/>
          <w:color w:val="auto"/>
        </w:rPr>
        <w:t>. The Issuer</w:t>
      </w:r>
      <w:r>
        <w:rPr>
          <w:rFonts w:ascii="Arial" w:cs="Arial" w:eastAsia="Arial" w:hAnsi="Arial"/>
          <w:sz w:val="17"/>
          <w:szCs w:val="17"/>
          <w:i w:val="1"/>
          <w:iCs w:val="1"/>
          <w:color w:val="auto"/>
        </w:rPr>
        <w:t xml:space="preserve"> </w:t>
      </w:r>
      <w:r>
        <w:rPr>
          <w:rFonts w:ascii="Arial" w:cs="Arial" w:eastAsia="Arial" w:hAnsi="Arial"/>
          <w:sz w:val="17"/>
          <w:szCs w:val="17"/>
          <w:color w:val="auto"/>
        </w:rPr>
        <w:t>will promptly submit for review and approval to each Initial Purchaser any proposed amendment or supplement to the Disclosure Package and Offering Memorandum, such approval not to be unreasonably withheld or delayed. Neither the approval of the Initial Purchasers, nor the Initial Purchasers’ delivery of any such amendment or supplement, shall constitute a waiver of any of the conditions set forth in Section 5 hereof. The Issuer represents that it has not made, and agrees that unless it obtains the prior consent of the Representative it will not make, any offer relating to the Notes by means of any Supplemental Offering Materials other than the road show presentation dated January 2019 relating to the Notes.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3" w:right="459" w:bottom="1440" w:gutter="0" w:footer="0" w:header="0"/>
        </w:sectPr>
      </w:pPr>
    </w:p>
    <w:bookmarkStart w:id="538" w:name="page539"/>
    <w:bookmarkEnd w:id="538"/>
    <w:p>
      <w:pPr>
        <w:ind w:left="-40" w:right="60" w:firstLine="444"/>
        <w:spacing w:after="0" w:line="270" w:lineRule="auto"/>
        <w:tabs>
          <w:tab w:leader="none" w:pos="655" w:val="left"/>
        </w:tabs>
        <w:numPr>
          <w:ilvl w:val="0"/>
          <w:numId w:val="72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Qualification of Notes for Offer and Sale</w:t>
      </w:r>
      <w:r>
        <w:rPr>
          <w:rFonts w:ascii="Arial" w:cs="Arial" w:eastAsia="Arial" w:hAnsi="Arial"/>
          <w:sz w:val="17"/>
          <w:szCs w:val="17"/>
          <w:color w:val="auto"/>
        </w:rPr>
        <w:t>. The Issuer and the Subsidiary Guarantors will use their commercially reasonable best efforts,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cooperation with the Initial Purchasers and counsel for the Initial Purchasers, to qualify the Notes for offering and sale under the applicable securities laws of such states and other jurisdictions as the Initial Purchasers may designate and will maintain such qualifications in effect as long as required for the sale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the Issuer nor any Subsidiary Guarantor shall be obligated to file any general consent to service of process or to qualify as a foreign corporation or as a dealer in securities or take any other action in any jurisdiction in which it is not so qualified or to subject itself to taxation in respect of doing business in any jurisdiction in which it is not otherwise so subject. The Issuer will advise the Initial Purchasers promptly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Issuer shall use its commercially reasonable best efforts to obtain the withdrawal thereof as soon as practicable.</w:t>
      </w:r>
    </w:p>
    <w:p>
      <w:pPr>
        <w:spacing w:after="0" w:line="69" w:lineRule="exact"/>
        <w:rPr>
          <w:rFonts w:ascii="Arial" w:cs="Arial" w:eastAsia="Arial" w:hAnsi="Arial"/>
          <w:sz w:val="17"/>
          <w:szCs w:val="17"/>
          <w:color w:val="auto"/>
        </w:rPr>
      </w:pPr>
    </w:p>
    <w:p>
      <w:pPr>
        <w:ind w:left="-40" w:right="240" w:firstLine="444"/>
        <w:spacing w:after="0" w:line="264" w:lineRule="auto"/>
        <w:tabs>
          <w:tab w:leader="none" w:pos="645" w:val="left"/>
        </w:tabs>
        <w:numPr>
          <w:ilvl w:val="0"/>
          <w:numId w:val="723"/>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Issuer and the Subsidiary Guarantors will cooperate with the Initial Purchasers and use their best efforts to permit the Notes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clearance and settlement through the facilities of DTC and will assist the Initial Purchasers in obtaining the approval of DTC for “book-entry” transfer of the Notes in global form.</w:t>
      </w:r>
    </w:p>
    <w:p>
      <w:pPr>
        <w:spacing w:after="0" w:line="73" w:lineRule="exact"/>
        <w:rPr>
          <w:rFonts w:ascii="Arial" w:cs="Arial" w:eastAsia="Arial" w:hAnsi="Arial"/>
          <w:sz w:val="18"/>
          <w:szCs w:val="18"/>
          <w:color w:val="auto"/>
        </w:rPr>
      </w:pPr>
    </w:p>
    <w:p>
      <w:pPr>
        <w:jc w:val="both"/>
        <w:ind w:left="-40" w:right="240" w:firstLine="444"/>
        <w:spacing w:after="0" w:line="264" w:lineRule="auto"/>
        <w:tabs>
          <w:tab w:leader="none" w:pos="625" w:val="left"/>
        </w:tabs>
        <w:numPr>
          <w:ilvl w:val="0"/>
          <w:numId w:val="723"/>
        </w:numPr>
        <w:rPr>
          <w:rFonts w:ascii="Arial" w:cs="Arial" w:eastAsia="Arial" w:hAnsi="Arial"/>
          <w:sz w:val="18"/>
          <w:szCs w:val="18"/>
          <w:color w:val="auto"/>
        </w:rPr>
      </w:pPr>
      <w:r>
        <w:rPr>
          <w:rFonts w:ascii="Arial" w:cs="Arial" w:eastAsia="Arial" w:hAnsi="Arial"/>
          <w:sz w:val="18"/>
          <w:szCs w:val="18"/>
          <w:i w:val="1"/>
          <w:iCs w:val="1"/>
          <w:color w:val="auto"/>
        </w:rPr>
        <w:t xml:space="preserve">Euroclear and Clearstream. </w:t>
      </w:r>
      <w:r>
        <w:rPr>
          <w:rFonts w:ascii="Arial" w:cs="Arial" w:eastAsia="Arial" w:hAnsi="Arial"/>
          <w:sz w:val="18"/>
          <w:szCs w:val="18"/>
          <w:color w:val="auto"/>
        </w:rPr>
        <w:t>The Issuer and the Subsidiary Guarantors will cooperate with the Initial Purchasers and use their best efforts to</w:t>
      </w:r>
      <w:r>
        <w:rPr>
          <w:rFonts w:ascii="Arial" w:cs="Arial" w:eastAsia="Arial" w:hAnsi="Arial"/>
          <w:sz w:val="18"/>
          <w:szCs w:val="18"/>
          <w:i w:val="1"/>
          <w:iCs w:val="1"/>
          <w:color w:val="auto"/>
        </w:rPr>
        <w:t xml:space="preserve"> </w:t>
      </w:r>
      <w:r>
        <w:rPr>
          <w:rFonts w:ascii="Arial" w:cs="Arial" w:eastAsia="Arial" w:hAnsi="Arial"/>
          <w:sz w:val="18"/>
          <w:szCs w:val="18"/>
          <w:color w:val="auto"/>
        </w:rPr>
        <w:t>permit the Notes to be eligible for clearance and settlement through the facilities of Euroclear and Clearstream and will assist the Initial Purchasers in obtaining the approval of Euroclear and Clearstream for “book-entry” transfer of the Notes in global form.</w:t>
      </w:r>
    </w:p>
    <w:p>
      <w:pPr>
        <w:spacing w:after="0" w:line="73" w:lineRule="exact"/>
        <w:rPr>
          <w:rFonts w:ascii="Arial" w:cs="Arial" w:eastAsia="Arial" w:hAnsi="Arial"/>
          <w:sz w:val="18"/>
          <w:szCs w:val="18"/>
          <w:color w:val="auto"/>
        </w:rPr>
      </w:pPr>
    </w:p>
    <w:p>
      <w:pPr>
        <w:ind w:left="-40" w:right="60" w:firstLine="444"/>
        <w:spacing w:after="0" w:line="272" w:lineRule="auto"/>
        <w:tabs>
          <w:tab w:leader="none" w:pos="655" w:val="left"/>
        </w:tabs>
        <w:numPr>
          <w:ilvl w:val="0"/>
          <w:numId w:val="723"/>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Issuer will apply the net proceeds received by it from the sale of the Notes in the manner specified in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Package and the Final Offering Memorandum under “Use of Proceeds” and will not directly or indirectly use, lend, contribute or otherwise make available to any subsidiary, joint venture partner or other person or entity, such net proceeds (i) to fund or facilitate any activities of or business with persons that, at the time of such funding or facilitation, is a Sanction Target, (ii) to fund or facilitate any activities of or business in any Sanctioned Country, or (iii) in any other manner that will result in a violation by any person (including any person participating in the transaction, whether as initial purchaser, advisor, investor or otherwise) of any Sanctions. The proceeds from the sale of the Notes will not be used, directly or indirectly, for any purpose in violation of the Anti-Bribery Laws or anti-money laundering laws.</w:t>
      </w:r>
    </w:p>
    <w:p>
      <w:pPr>
        <w:spacing w:after="0" w:line="69" w:lineRule="exact"/>
        <w:rPr>
          <w:rFonts w:ascii="Arial" w:cs="Arial" w:eastAsia="Arial" w:hAnsi="Arial"/>
          <w:sz w:val="17"/>
          <w:szCs w:val="17"/>
          <w:color w:val="auto"/>
        </w:rPr>
      </w:pPr>
    </w:p>
    <w:p>
      <w:pPr>
        <w:ind w:left="-40" w:firstLine="444"/>
        <w:spacing w:after="0" w:line="276" w:lineRule="auto"/>
        <w:tabs>
          <w:tab w:leader="none" w:pos="655" w:val="left"/>
        </w:tabs>
        <w:numPr>
          <w:ilvl w:val="0"/>
          <w:numId w:val="723"/>
        </w:numPr>
        <w:rPr>
          <w:rFonts w:ascii="Arial" w:cs="Arial" w:eastAsia="Arial" w:hAnsi="Arial"/>
          <w:sz w:val="17"/>
          <w:szCs w:val="17"/>
          <w:color w:val="auto"/>
        </w:rPr>
      </w:pPr>
      <w:r>
        <w:rPr>
          <w:rFonts w:ascii="Arial" w:cs="Arial" w:eastAsia="Arial" w:hAnsi="Arial"/>
          <w:sz w:val="17"/>
          <w:szCs w:val="17"/>
          <w:i w:val="1"/>
          <w:iCs w:val="1"/>
          <w:color w:val="auto"/>
        </w:rPr>
        <w:t xml:space="preserve">Restriction on Sale of Securities. </w:t>
      </w:r>
      <w:r>
        <w:rPr>
          <w:rFonts w:ascii="Arial" w:cs="Arial" w:eastAsia="Arial" w:hAnsi="Arial"/>
          <w:sz w:val="17"/>
          <w:szCs w:val="17"/>
          <w:color w:val="auto"/>
        </w:rPr>
        <w:t>For a period of 90 days from the date of this Agreement, each of the Issuer and the Subsidiary Guarantors</w:t>
      </w:r>
      <w:r>
        <w:rPr>
          <w:rFonts w:ascii="Arial" w:cs="Arial" w:eastAsia="Arial" w:hAnsi="Arial"/>
          <w:sz w:val="17"/>
          <w:szCs w:val="17"/>
          <w:i w:val="1"/>
          <w:iCs w:val="1"/>
          <w:color w:val="auto"/>
        </w:rPr>
        <w:t xml:space="preserve"> </w:t>
      </w:r>
      <w:r>
        <w:rPr>
          <w:rFonts w:ascii="Arial" w:cs="Arial" w:eastAsia="Arial" w:hAnsi="Arial"/>
          <w:sz w:val="17"/>
          <w:szCs w:val="17"/>
          <w:color w:val="auto"/>
        </w:rPr>
        <w:t>agrees not to, directly or indirectly, sell, offer to sell, contract to sell, grant any option to purchase, issue any instrument convertible into or exchangeable for, or otherwise transfer or dispose of (or enter into any transaction or device which is designed to, or could be expected to, result in the disposition in the future of), any debt securities of the Issuer or any of the Subsidiary Guarantors with terms substantially similar (including having equal rank) to the Notes (other than the Notes), except with the prior consent of the Representative.</w:t>
      </w:r>
    </w:p>
    <w:p>
      <w:pPr>
        <w:spacing w:after="0" w:line="64" w:lineRule="exact"/>
        <w:rPr>
          <w:rFonts w:ascii="Arial" w:cs="Arial" w:eastAsia="Arial" w:hAnsi="Arial"/>
          <w:sz w:val="17"/>
          <w:szCs w:val="17"/>
          <w:color w:val="auto"/>
        </w:rPr>
      </w:pPr>
    </w:p>
    <w:p>
      <w:pPr>
        <w:ind w:left="-40" w:right="460" w:firstLine="444"/>
        <w:spacing w:after="0" w:line="277" w:lineRule="auto"/>
        <w:tabs>
          <w:tab w:leader="none" w:pos="615" w:val="left"/>
        </w:tabs>
        <w:numPr>
          <w:ilvl w:val="0"/>
          <w:numId w:val="723"/>
        </w:numPr>
        <w:rPr>
          <w:rFonts w:ascii="Arial" w:cs="Arial" w:eastAsia="Arial" w:hAnsi="Arial"/>
          <w:sz w:val="18"/>
          <w:szCs w:val="18"/>
          <w:color w:val="auto"/>
        </w:rPr>
      </w:pPr>
      <w:r>
        <w:rPr>
          <w:rFonts w:ascii="Arial" w:cs="Arial" w:eastAsia="Arial" w:hAnsi="Arial"/>
          <w:sz w:val="18"/>
          <w:szCs w:val="18"/>
          <w:i w:val="1"/>
          <w:iCs w:val="1"/>
          <w:color w:val="auto"/>
        </w:rPr>
        <w:t xml:space="preserve">Listing on Securities Exchange. </w:t>
      </w:r>
      <w:r>
        <w:rPr>
          <w:rFonts w:ascii="Arial" w:cs="Arial" w:eastAsia="Arial" w:hAnsi="Arial"/>
          <w:sz w:val="18"/>
          <w:szCs w:val="18"/>
          <w:color w:val="auto"/>
        </w:rPr>
        <w:t>The Issuer will use commercially reasonable efforts to have the Notes listed or admitted to trading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SGX-ST.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80" w:top="273" w:right="459" w:bottom="1440" w:gutter="0" w:footer="0" w:header="0"/>
        </w:sectPr>
      </w:pPr>
    </w:p>
    <w:bookmarkStart w:id="539" w:name="page540"/>
    <w:bookmarkEnd w:id="539"/>
    <w:p>
      <w:pPr>
        <w:ind w:firstLine="444"/>
        <w:spacing w:after="0" w:line="257" w:lineRule="auto"/>
        <w:tabs>
          <w:tab w:leader="none" w:pos="655" w:val="left"/>
        </w:tabs>
        <w:numPr>
          <w:ilvl w:val="0"/>
          <w:numId w:val="7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Stabilization and Manipulation</w:t>
      </w:r>
      <w:r>
        <w:rPr>
          <w:rFonts w:ascii="Arial" w:cs="Arial" w:eastAsia="Arial" w:hAnsi="Arial"/>
          <w:sz w:val="18"/>
          <w:szCs w:val="18"/>
          <w:color w:val="auto"/>
        </w:rPr>
        <w:t>. In connection with the issuance and sale of the Notes, until the Initial Purchasers have notified the Issuer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placement and resales of the Notes by the Initial Purchasers (which notice the Initial Purchasers shall provide promptly after such completion), none of the Issuer, any Subsidiary Guarantor or any of their respective Affiliates has taken or will take, directly or indirectly, any action designed to or that might reasonably be expected to cause or result in stabilization or manipulation of the price of the Notes to facilitate the sale or resale of the Notes.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The Issuer and the Subsidiary Guarantors agree to reimburse the Initial Purchasers upon request for all fees, stamp duty (if any), expenses and other costs reasonably and properly incurred in connection with the Offering, including, without limitation, telecommunications, postage, document production and other pre-agreed out-of-pocket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otherwise provided for in Section 13 hereof, the fees and expenses of the Initial Purchasers’ legal advisors shall not be reimbursed by the Issuer.</w:t>
      </w:r>
    </w:p>
    <w:p>
      <w:pPr>
        <w:spacing w:after="0" w:line="187"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The Issuer must pay for its own fees, expenses and other costs incurred in connection with the Offering (or reimburse any Initial Purchaser to the extent that such Initial Purchaser incurs such costs on the Issuer’s behalf) including, without limitation, (i) its own legal, accounting and auditors’ fees and expenses, (ii) the fees and expenses (including legal fees) of the Trustee, rating agencies, the paying agent(s), the listing agent and all other agents involved in the Offering, (iii) all listing fees and other listing costs payable to the relevant stock exchange and/or any other relevant competent authority in connection with the listing, (iv) the cost of roadshows and any other presentations to investors prepared in connection with the Offering, printing and distribution of the Offering Memorandum and any other marketing materials for the Notes other than the Initial Purchasers’ travel expenses (and each Initial Purchaser shall be responsible for its own travel expenses), (v) the cost of printing, authenticating and distributing any Notes in definitive form, and (vi) the cost of publishing any notices.</w:t>
      </w:r>
    </w:p>
    <w:p>
      <w:pPr>
        <w:spacing w:after="0" w:line="17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Unless set out otherwise in this Agreement, all payments under this Agreement must be made: (i) on the due date in accordance with the payment instructions of the Initial Purchasers or within 30 days of the invoice (as the case may be), (ii) together with any applicable VAT, sales and any similar taxes which will be invoiced to or otherwise payable by the Issuer, and (iii) in full without set-off, condition, restriction, counterclaim, deduction or withholding, unless required by law. If any deduction or withholding is required by any applicable law in connection with any such payment, the Issuer will increase the amount paid so that the full amount of such payment is received by the Initial Purchasers as if no such deduction or withholding had been made.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Initial Purchasers’ Obligations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obligations of the several Initial Purchasers to purchase and pay for, or procure the purchase of and payment for, the Notes hereunder are subject to the accuracy of the representations and warranties of the Issuer and the Subsidiary Guarantors contained in Section 1 hereof, as of the date hereof and as of the Closing Date, or in certificates of any officer or director of the Issuer and the Subsidiary Guarantors, delivered pursuant to the provisions hereof, to the performance by the Issuer and the Subsidiary Guarantors of its covenants and other obligations hereunder, and to the following further conditions (any of which may be waived by the Representative):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540" w:name="page541"/>
    <w:bookmarkEnd w:id="540"/>
    <w:p>
      <w:pPr>
        <w:ind w:left="-4" w:firstLine="444"/>
        <w:spacing w:after="0" w:line="259" w:lineRule="auto"/>
        <w:tabs>
          <w:tab w:leader="none" w:pos="681" w:val="left"/>
        </w:tabs>
        <w:numPr>
          <w:ilvl w:val="1"/>
          <w:numId w:val="7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Opinion of U.S. Counsel for the Issuer and the Subsidiary Guarantors. </w:t>
      </w:r>
      <w:r>
        <w:rPr>
          <w:rFonts w:ascii="Arial" w:cs="Arial" w:eastAsia="Arial" w:hAnsi="Arial"/>
          <w:sz w:val="18"/>
          <w:szCs w:val="18"/>
          <w:color w:val="auto"/>
        </w:rPr>
        <w:t>At the Closing Time, the Representative on behalf of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shall have received (x) the opinion</w:t>
      </w:r>
      <w:r>
        <w:rPr>
          <w:rFonts w:ascii="Arial" w:cs="Arial" w:eastAsia="Arial" w:hAnsi="Arial"/>
          <w:sz w:val="15"/>
          <w:szCs w:val="15"/>
          <w:color w:val="auto"/>
        </w:rPr>
        <w:t>1</w:t>
      </w:r>
      <w:r>
        <w:rPr>
          <w:rFonts w:ascii="Arial" w:cs="Arial" w:eastAsia="Arial" w:hAnsi="Arial"/>
          <w:sz w:val="18"/>
          <w:szCs w:val="18"/>
          <w:color w:val="auto"/>
        </w:rPr>
        <w:t xml:space="preserve"> and (y) the tax opinion and (z) the 10b-5 disclosure letter, dated as of the Closing Date, of Ashurst LLP, special U.S. counsel for the Issuer and the Subsidiary Guarantors, in each case substantially in the form as attached hereto as Exhibits A-1, A-2 and A-3, respectively.</w:t>
      </w:r>
    </w:p>
    <w:p>
      <w:pPr>
        <w:spacing w:after="0" w:line="78" w:lineRule="exact"/>
        <w:rPr>
          <w:rFonts w:ascii="Arial" w:cs="Arial" w:eastAsia="Arial" w:hAnsi="Arial"/>
          <w:sz w:val="18"/>
          <w:szCs w:val="18"/>
          <w:color w:val="auto"/>
        </w:rPr>
      </w:pPr>
    </w:p>
    <w:p>
      <w:pPr>
        <w:ind w:left="-4" w:right="40" w:firstLine="444"/>
        <w:spacing w:after="0" w:line="286" w:lineRule="auto"/>
        <w:tabs>
          <w:tab w:leader="none" w:pos="692" w:val="left"/>
        </w:tabs>
        <w:numPr>
          <w:ilvl w:val="1"/>
          <w:numId w:val="725"/>
        </w:numPr>
        <w:rPr>
          <w:rFonts w:ascii="Arial" w:cs="Arial" w:eastAsia="Arial" w:hAnsi="Arial"/>
          <w:sz w:val="17"/>
          <w:szCs w:val="17"/>
          <w:color w:val="auto"/>
        </w:rPr>
      </w:pPr>
      <w:r>
        <w:rPr>
          <w:rFonts w:ascii="Arial" w:cs="Arial" w:eastAsia="Arial" w:hAnsi="Arial"/>
          <w:sz w:val="17"/>
          <w:szCs w:val="17"/>
          <w:i w:val="1"/>
          <w:iCs w:val="1"/>
          <w:color w:val="auto"/>
        </w:rPr>
        <w:t xml:space="preserve">Opinion of British Virgin Islands Counsel for the Issuer. </w:t>
      </w:r>
      <w:r>
        <w:rPr>
          <w:rFonts w:ascii="Arial" w:cs="Arial" w:eastAsia="Arial" w:hAnsi="Arial"/>
          <w:sz w:val="17"/>
          <w:szCs w:val="17"/>
          <w:color w:val="auto"/>
        </w:rPr>
        <w:t>At the Closing Time, the Representative on behalf of the Initial Purchasers,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the opinion, dated as of the Closing Date, of Harney Westwood &amp; Riegels, special British Virgin Islands counsel for the Issuer and the Subsidiary Guarantors incorporated under the laws of the British Virgin Islands, substantially in the form as attached hereto as Exhibit B.</w:t>
      </w:r>
    </w:p>
    <w:p>
      <w:pPr>
        <w:spacing w:after="0" w:line="57" w:lineRule="exact"/>
        <w:rPr>
          <w:rFonts w:ascii="Arial" w:cs="Arial" w:eastAsia="Arial" w:hAnsi="Arial"/>
          <w:sz w:val="17"/>
          <w:szCs w:val="17"/>
          <w:color w:val="auto"/>
        </w:rPr>
      </w:pPr>
    </w:p>
    <w:p>
      <w:pPr>
        <w:ind w:left="-4" w:right="180" w:firstLine="444"/>
        <w:spacing w:after="0" w:line="264" w:lineRule="auto"/>
        <w:tabs>
          <w:tab w:leader="none" w:pos="681" w:val="left"/>
        </w:tabs>
        <w:numPr>
          <w:ilvl w:val="1"/>
          <w:numId w:val="725"/>
        </w:numPr>
        <w:rPr>
          <w:rFonts w:ascii="Arial" w:cs="Arial" w:eastAsia="Arial" w:hAnsi="Arial"/>
          <w:sz w:val="18"/>
          <w:szCs w:val="18"/>
          <w:color w:val="auto"/>
        </w:rPr>
      </w:pPr>
      <w:r>
        <w:rPr>
          <w:rFonts w:ascii="Arial" w:cs="Arial" w:eastAsia="Arial" w:hAnsi="Arial"/>
          <w:sz w:val="18"/>
          <w:szCs w:val="18"/>
          <w:i w:val="1"/>
          <w:iCs w:val="1"/>
          <w:color w:val="auto"/>
        </w:rPr>
        <w:t xml:space="preserve">Opinion of Macau Counsel for the Issuer. </w:t>
      </w:r>
      <w:r>
        <w:rPr>
          <w:rFonts w:ascii="Arial" w:cs="Arial" w:eastAsia="Arial" w:hAnsi="Arial"/>
          <w:sz w:val="18"/>
          <w:szCs w:val="18"/>
          <w:color w:val="auto"/>
        </w:rPr>
        <w:t>At the Closing Time, the Representative on behalf of the Initial Purchasers, shall have received the</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dated as of the Closing Date, of Manuela António Lawyer and Notaries, special Macau counsel for the Issuer and the Subsidiary Guarantors incorporated under the laws of Macau, substantially in the form as attached hereto as Exhibit C.</w:t>
      </w:r>
    </w:p>
    <w:p>
      <w:pPr>
        <w:spacing w:after="0" w:line="73" w:lineRule="exact"/>
        <w:rPr>
          <w:rFonts w:ascii="Arial" w:cs="Arial" w:eastAsia="Arial" w:hAnsi="Arial"/>
          <w:sz w:val="18"/>
          <w:szCs w:val="18"/>
          <w:color w:val="auto"/>
        </w:rPr>
      </w:pPr>
    </w:p>
    <w:p>
      <w:pPr>
        <w:jc w:val="both"/>
        <w:ind w:left="-4" w:right="60" w:firstLine="444"/>
        <w:spacing w:after="0" w:line="264" w:lineRule="auto"/>
        <w:tabs>
          <w:tab w:leader="none" w:pos="692" w:val="left"/>
        </w:tabs>
        <w:numPr>
          <w:ilvl w:val="1"/>
          <w:numId w:val="725"/>
        </w:numPr>
        <w:rPr>
          <w:rFonts w:ascii="Arial" w:cs="Arial" w:eastAsia="Arial" w:hAnsi="Arial"/>
          <w:sz w:val="18"/>
          <w:szCs w:val="18"/>
          <w:color w:val="auto"/>
        </w:rPr>
      </w:pPr>
      <w:r>
        <w:rPr>
          <w:rFonts w:ascii="Arial" w:cs="Arial" w:eastAsia="Arial" w:hAnsi="Arial"/>
          <w:sz w:val="18"/>
          <w:szCs w:val="18"/>
          <w:i w:val="1"/>
          <w:iCs w:val="1"/>
          <w:color w:val="auto"/>
        </w:rPr>
        <w:t xml:space="preserve">Opinion of Hong Kong Counsel for the Issuer. </w:t>
      </w:r>
      <w:r>
        <w:rPr>
          <w:rFonts w:ascii="Arial" w:cs="Arial" w:eastAsia="Arial" w:hAnsi="Arial"/>
          <w:sz w:val="18"/>
          <w:szCs w:val="18"/>
          <w:color w:val="auto"/>
        </w:rPr>
        <w:t>At the Closing Time, the Representative on behalf of the Initial Purchasers, shall have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the opinion, dated as of the Closing Date, of Ashurst Hong Kong, special Hong Kong counsel for the Issuer and the Subsidiary Guarantors incorporated under the laws of Hong Kong, substantially in the form as attached hereto as Exhibit D.</w:t>
      </w:r>
    </w:p>
    <w:p>
      <w:pPr>
        <w:spacing w:after="0" w:line="73" w:lineRule="exact"/>
        <w:rPr>
          <w:rFonts w:ascii="Arial" w:cs="Arial" w:eastAsia="Arial" w:hAnsi="Arial"/>
          <w:sz w:val="18"/>
          <w:szCs w:val="18"/>
          <w:color w:val="auto"/>
        </w:rPr>
      </w:pPr>
    </w:p>
    <w:p>
      <w:pPr>
        <w:jc w:val="both"/>
        <w:ind w:left="-4" w:right="100" w:firstLine="444"/>
        <w:spacing w:after="0" w:line="291" w:lineRule="auto"/>
        <w:tabs>
          <w:tab w:leader="none" w:pos="681" w:val="left"/>
        </w:tabs>
        <w:numPr>
          <w:ilvl w:val="1"/>
          <w:numId w:val="725"/>
        </w:numPr>
        <w:rPr>
          <w:rFonts w:ascii="Arial" w:cs="Arial" w:eastAsia="Arial" w:hAnsi="Arial"/>
          <w:sz w:val="16"/>
          <w:szCs w:val="16"/>
          <w:color w:val="auto"/>
        </w:rPr>
      </w:pPr>
      <w:r>
        <w:rPr>
          <w:rFonts w:ascii="Arial" w:cs="Arial" w:eastAsia="Arial" w:hAnsi="Arial"/>
          <w:sz w:val="16"/>
          <w:szCs w:val="16"/>
          <w:i w:val="1"/>
          <w:iCs w:val="1"/>
          <w:color w:val="auto"/>
        </w:rPr>
        <w:t>Opinion of English Counsel for the Issuer</w:t>
      </w:r>
      <w:r>
        <w:rPr>
          <w:rFonts w:ascii="Arial" w:cs="Arial" w:eastAsia="Arial" w:hAnsi="Arial"/>
          <w:sz w:val="16"/>
          <w:szCs w:val="16"/>
          <w:color w:val="auto"/>
        </w:rPr>
        <w:t>. At the Closing Time, the Representative on behalf of the Initial Purchasers, shall have received the</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dated as of the Closing Date, of Ashurst LLP, special English counsel for the Issuer, substantially in the form as attached hereto as Exhibit E</w:t>
      </w:r>
      <w:r>
        <w:rPr>
          <w:rFonts w:ascii="Arial" w:cs="Arial" w:eastAsia="Arial" w:hAnsi="Arial"/>
          <w:sz w:val="13"/>
          <w:szCs w:val="13"/>
          <w:color w:val="auto"/>
        </w:rPr>
        <w:t>2</w:t>
      </w:r>
      <w:r>
        <w:rPr>
          <w:rFonts w:ascii="Arial" w:cs="Arial" w:eastAsia="Arial" w:hAnsi="Arial"/>
          <w:sz w:val="16"/>
          <w:szCs w:val="16"/>
          <w:color w:val="auto"/>
        </w:rPr>
        <w:t>.</w:t>
      </w:r>
    </w:p>
    <w:p>
      <w:pPr>
        <w:ind w:left="216" w:hanging="216"/>
        <w:spacing w:after="0"/>
        <w:tabs>
          <w:tab w:leader="none" w:pos="216" w:val="left"/>
        </w:tabs>
        <w:numPr>
          <w:ilvl w:val="0"/>
          <w:numId w:val="726"/>
        </w:numPr>
        <w:rPr>
          <w:rFonts w:ascii="Arial" w:cs="Arial" w:eastAsia="Arial" w:hAnsi="Arial"/>
          <w:sz w:val="16"/>
          <w:szCs w:val="16"/>
          <w:color w:val="auto"/>
        </w:rPr>
      </w:pPr>
      <w:r>
        <w:rPr>
          <w:rFonts w:ascii="Arial" w:cs="Arial" w:eastAsia="Arial" w:hAnsi="Arial"/>
          <w:sz w:val="16"/>
          <w:szCs w:val="16"/>
          <w:i w:val="1"/>
          <w:iCs w:val="1"/>
          <w:color w:val="auto"/>
        </w:rPr>
        <w:t xml:space="preserve">Opinion of U.S. Counsel for the Initial Purchasers. </w:t>
      </w:r>
      <w:r>
        <w:rPr>
          <w:rFonts w:ascii="Arial" w:cs="Arial" w:eastAsia="Arial" w:hAnsi="Arial"/>
          <w:sz w:val="16"/>
          <w:szCs w:val="16"/>
          <w:color w:val="auto"/>
        </w:rPr>
        <w:t>At the Closing Time, the Representative on behalf of the Initial Purchasers, shall have received</w:t>
      </w:r>
    </w:p>
    <w:p>
      <w:pPr>
        <w:spacing w:after="0" w:line="32" w:lineRule="exact"/>
        <w:rPr>
          <w:rFonts w:ascii="Arial" w:cs="Arial" w:eastAsia="Arial" w:hAnsi="Arial"/>
          <w:sz w:val="16"/>
          <w:szCs w:val="16"/>
          <w:color w:val="auto"/>
        </w:rPr>
      </w:pPr>
    </w:p>
    <w:p>
      <w:pPr>
        <w:ind w:left="-4" w:firstLine="4"/>
        <w:spacing w:after="0" w:line="261" w:lineRule="auto"/>
        <w:tabs>
          <w:tab w:leader="none" w:pos="251" w:val="left"/>
        </w:tabs>
        <w:numPr>
          <w:ilvl w:val="0"/>
          <w:numId w:val="727"/>
        </w:numPr>
        <w:rPr>
          <w:rFonts w:ascii="Arial" w:cs="Arial" w:eastAsia="Arial" w:hAnsi="Arial"/>
          <w:sz w:val="18"/>
          <w:szCs w:val="18"/>
          <w:color w:val="auto"/>
        </w:rPr>
      </w:pPr>
      <w:r>
        <w:rPr>
          <w:rFonts w:ascii="Arial" w:cs="Arial" w:eastAsia="Arial" w:hAnsi="Arial"/>
          <w:sz w:val="18"/>
          <w:szCs w:val="18"/>
          <w:color w:val="auto"/>
        </w:rPr>
        <w:t>the opinion and (y) the 10b-5 disclosure letter, dated as of the Closing Date, of White &amp; Case, U.S. counsel for the Initial Purchasers, in the form and substance satisfactory to the Representative.</w:t>
      </w:r>
    </w:p>
    <w:p>
      <w:pPr>
        <w:spacing w:after="0" w:line="75" w:lineRule="exact"/>
        <w:rPr>
          <w:rFonts w:ascii="Arial" w:cs="Arial" w:eastAsia="Arial" w:hAnsi="Arial"/>
          <w:sz w:val="18"/>
          <w:szCs w:val="18"/>
          <w:color w:val="auto"/>
        </w:rPr>
      </w:pPr>
    </w:p>
    <w:p>
      <w:pPr>
        <w:ind w:left="-4" w:right="20" w:firstLine="444"/>
        <w:spacing w:after="0" w:line="264" w:lineRule="auto"/>
        <w:tabs>
          <w:tab w:leader="none" w:pos="692" w:val="left"/>
        </w:tabs>
        <w:numPr>
          <w:ilvl w:val="1"/>
          <w:numId w:val="727"/>
        </w:numPr>
        <w:rPr>
          <w:rFonts w:ascii="Arial" w:cs="Arial" w:eastAsia="Arial" w:hAnsi="Arial"/>
          <w:sz w:val="18"/>
          <w:szCs w:val="18"/>
          <w:color w:val="auto"/>
        </w:rPr>
      </w:pPr>
      <w:r>
        <w:rPr>
          <w:rFonts w:ascii="Arial" w:cs="Arial" w:eastAsia="Arial" w:hAnsi="Arial"/>
          <w:sz w:val="18"/>
          <w:szCs w:val="18"/>
          <w:i w:val="1"/>
          <w:iCs w:val="1"/>
          <w:color w:val="auto"/>
        </w:rPr>
        <w:t xml:space="preserve">Opinion of British Virgin Islands Counsel for the Initial Purchasers. </w:t>
      </w:r>
      <w:r>
        <w:rPr>
          <w:rFonts w:ascii="Arial" w:cs="Arial" w:eastAsia="Arial" w:hAnsi="Arial"/>
          <w:sz w:val="18"/>
          <w:szCs w:val="18"/>
          <w:color w:val="auto"/>
        </w:rPr>
        <w:t>At the Closing Time, the Representative on behalf of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shall have received the opinion, dated as of the Closing Date, of Maples and Calder (Hong Kong) LLP, British Virgin Islands counsel for the Initial Purchasers, in form and substance satisfactory to the Representative.</w:t>
      </w:r>
    </w:p>
    <w:p>
      <w:pPr>
        <w:spacing w:after="0" w:line="73" w:lineRule="exact"/>
        <w:rPr>
          <w:rFonts w:ascii="Arial" w:cs="Arial" w:eastAsia="Arial" w:hAnsi="Arial"/>
          <w:sz w:val="18"/>
          <w:szCs w:val="18"/>
          <w:color w:val="auto"/>
        </w:rPr>
      </w:pPr>
    </w:p>
    <w:p>
      <w:pPr>
        <w:ind w:left="-4" w:right="200" w:firstLine="444"/>
        <w:spacing w:after="0" w:line="264" w:lineRule="auto"/>
        <w:tabs>
          <w:tab w:leader="none" w:pos="692" w:val="left"/>
        </w:tabs>
        <w:numPr>
          <w:ilvl w:val="1"/>
          <w:numId w:val="727"/>
        </w:numPr>
        <w:rPr>
          <w:rFonts w:ascii="Arial" w:cs="Arial" w:eastAsia="Arial" w:hAnsi="Arial"/>
          <w:sz w:val="18"/>
          <w:szCs w:val="18"/>
          <w:color w:val="auto"/>
        </w:rPr>
      </w:pPr>
      <w:r>
        <w:rPr>
          <w:rFonts w:ascii="Arial" w:cs="Arial" w:eastAsia="Arial" w:hAnsi="Arial"/>
          <w:sz w:val="18"/>
          <w:szCs w:val="18"/>
          <w:i w:val="1"/>
          <w:iCs w:val="1"/>
          <w:color w:val="auto"/>
        </w:rPr>
        <w:t xml:space="preserve">Opinion of Macau Counsel for the Initial Purchasers. </w:t>
      </w:r>
      <w:r>
        <w:rPr>
          <w:rFonts w:ascii="Arial" w:cs="Arial" w:eastAsia="Arial" w:hAnsi="Arial"/>
          <w:sz w:val="18"/>
          <w:szCs w:val="18"/>
          <w:color w:val="auto"/>
        </w:rPr>
        <w:t>At the Closing Time, the Representative on behalf of the Initial Purchasers,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the opinion, dated as of the Closing Date, of Henrique Saldanha, Advogados e Notàrios, special Macau counsel for the Initial Purchasers, in form and substance satisfactory to the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6946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4" w:lineRule="exact"/>
        <w:rPr>
          <w:sz w:val="20"/>
          <w:szCs w:val="20"/>
          <w:color w:val="auto"/>
        </w:rPr>
      </w:pPr>
    </w:p>
    <w:p>
      <w:pPr>
        <w:ind w:left="436" w:hanging="436"/>
        <w:spacing w:after="0"/>
        <w:tabs>
          <w:tab w:leader="none" w:pos="436" w:val="left"/>
        </w:tabs>
        <w:numPr>
          <w:ilvl w:val="0"/>
          <w:numId w:val="728"/>
        </w:numPr>
        <w:rPr>
          <w:rFonts w:ascii="Arial" w:cs="Arial" w:eastAsia="Arial" w:hAnsi="Arial"/>
          <w:sz w:val="15"/>
          <w:szCs w:val="15"/>
          <w:color w:val="auto"/>
        </w:rPr>
      </w:pPr>
      <w:r>
        <w:rPr>
          <w:rFonts w:ascii="Arial" w:cs="Arial" w:eastAsia="Arial" w:hAnsi="Arial"/>
          <w:sz w:val="18"/>
          <w:szCs w:val="18"/>
          <w:color w:val="auto"/>
        </w:rPr>
        <w:t>Note to Ashurst: Please include a no-contravention opinion with respect to the existing Studio City Company notes.</w:t>
      </w:r>
    </w:p>
    <w:p>
      <w:pPr>
        <w:spacing w:after="0" w:line="22" w:lineRule="exact"/>
        <w:rPr>
          <w:sz w:val="20"/>
          <w:szCs w:val="20"/>
          <w:color w:val="auto"/>
        </w:rPr>
      </w:pPr>
    </w:p>
    <w:p>
      <w:pPr>
        <w:ind w:left="5356" w:right="2540" w:hanging="5356"/>
        <w:spacing w:after="0" w:line="434" w:lineRule="auto"/>
        <w:tabs>
          <w:tab w:leader="none" w:pos="428" w:val="left"/>
        </w:tabs>
        <w:numPr>
          <w:ilvl w:val="0"/>
          <w:numId w:val="729"/>
        </w:numPr>
        <w:rPr>
          <w:rFonts w:ascii="Arial" w:cs="Arial" w:eastAsia="Arial" w:hAnsi="Arial"/>
          <w:sz w:val="15"/>
          <w:szCs w:val="15"/>
          <w:color w:val="auto"/>
        </w:rPr>
      </w:pPr>
      <w:r>
        <w:rPr>
          <w:rFonts w:ascii="Arial" w:cs="Arial" w:eastAsia="Arial" w:hAnsi="Arial"/>
          <w:sz w:val="18"/>
          <w:szCs w:val="18"/>
          <w:color w:val="auto"/>
        </w:rPr>
        <w:t>Note to Ashurst: Please include a no-contravention opinion with respect to the Senior Secured Credit Facilities. -18-</w:t>
      </w:r>
    </w:p>
    <w:p>
      <w:pPr>
        <w:sectPr>
          <w:pgSz w:w="11900" w:h="16838" w:orient="portrait"/>
          <w:cols w:equalWidth="0" w:num="1">
            <w:col w:w="10996"/>
          </w:cols>
          <w:pgMar w:left="444" w:top="274" w:right="459" w:bottom="1440" w:gutter="0" w:footer="0" w:header="0"/>
        </w:sectPr>
      </w:pPr>
    </w:p>
    <w:bookmarkStart w:id="541" w:name="page542"/>
    <w:bookmarkEnd w:id="541"/>
    <w:p>
      <w:pPr>
        <w:ind w:firstLine="444"/>
        <w:spacing w:after="0" w:line="290" w:lineRule="auto"/>
        <w:tabs>
          <w:tab w:leader="none" w:pos="655" w:val="left"/>
        </w:tabs>
        <w:numPr>
          <w:ilvl w:val="0"/>
          <w:numId w:val="73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Certificate of the Issuer and the Subsidiary Guarantors. </w:t>
      </w:r>
      <w:r>
        <w:rPr>
          <w:rFonts w:ascii="Arial" w:cs="Arial" w:eastAsia="Arial" w:hAnsi="Arial"/>
          <w:sz w:val="16"/>
          <w:szCs w:val="16"/>
          <w:color w:val="auto"/>
        </w:rPr>
        <w:t>At the Closing Time, the Representative on behalf of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Purchasers, shall have received a certificate signed by an executive officer or director of the Issuer and the Subsidiary Guarantors, dated as of the Closing Date, to the effect that (i) since the respective dates as of which information is given in the Disclosure Package and the Final Offering Memorandum, except as disclosed in or contemplated by the Disclosure Package and the Final Offering Memorandum, there shall have been no event or development, and no information shall have become known, that, individually or in the aggregate, has a Material Adverse Effect, (ii) the representations and warranties of the Issuer and the Subsidiary Guarantors in Section 1 hereof are true and correct in all material respects with the same force and effect as though expressly made at and as of the Closing Time, and (iii) the Issuer and the Subsidiary Guarantors have complied in all material respects with all agreements and satisfied all conditions on its part to be performed or satisfied hereunder at or prior to the Closing Time.</w:t>
      </w:r>
    </w:p>
    <w:p>
      <w:pPr>
        <w:spacing w:after="0" w:line="58" w:lineRule="exact"/>
        <w:rPr>
          <w:rFonts w:ascii="Arial" w:cs="Arial" w:eastAsia="Arial" w:hAnsi="Arial"/>
          <w:sz w:val="16"/>
          <w:szCs w:val="16"/>
          <w:color w:val="auto"/>
        </w:rPr>
      </w:pPr>
    </w:p>
    <w:p>
      <w:pPr>
        <w:jc w:val="both"/>
        <w:ind w:right="20" w:firstLine="444"/>
        <w:spacing w:after="0" w:line="302" w:lineRule="auto"/>
        <w:tabs>
          <w:tab w:leader="none" w:pos="655" w:val="left"/>
        </w:tabs>
        <w:numPr>
          <w:ilvl w:val="0"/>
          <w:numId w:val="730"/>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 of the Accountants. </w:t>
      </w:r>
      <w:r>
        <w:rPr>
          <w:rFonts w:ascii="Arial" w:cs="Arial" w:eastAsia="Arial" w:hAnsi="Arial"/>
          <w:sz w:val="16"/>
          <w:szCs w:val="16"/>
          <w:color w:val="auto"/>
        </w:rPr>
        <w:t>At the time of the execution of this Agreement, the Representative on behalf of the Initial Purchasers,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received from E&amp;Y a letter dated the date hereof, in form and substance satisfactory to the Representative, containing statements and information of the type ordinarily included in accountants’ “comfort letters” to the Initial Purchasers, delivered according to Statement of Auditing Standards No. 72 (or any successor bulletins), with respect to the financial statements and certain financial information contained in the Disclosure Package.</w:t>
      </w:r>
    </w:p>
    <w:p>
      <w:pPr>
        <w:spacing w:after="0" w:line="46" w:lineRule="exact"/>
        <w:rPr>
          <w:rFonts w:ascii="Arial" w:cs="Arial" w:eastAsia="Arial" w:hAnsi="Arial"/>
          <w:sz w:val="16"/>
          <w:szCs w:val="16"/>
          <w:color w:val="auto"/>
        </w:rPr>
      </w:pPr>
    </w:p>
    <w:p>
      <w:pPr>
        <w:ind w:firstLine="444"/>
        <w:spacing w:after="0" w:line="259" w:lineRule="auto"/>
        <w:tabs>
          <w:tab w:leader="none" w:pos="695" w:val="left"/>
        </w:tabs>
        <w:numPr>
          <w:ilvl w:val="0"/>
          <w:numId w:val="730"/>
        </w:numPr>
        <w:rPr>
          <w:rFonts w:ascii="Arial" w:cs="Arial" w:eastAsia="Arial" w:hAnsi="Arial"/>
          <w:sz w:val="18"/>
          <w:szCs w:val="18"/>
          <w:color w:val="auto"/>
        </w:rPr>
      </w:pPr>
      <w:r>
        <w:rPr>
          <w:rFonts w:ascii="Arial" w:cs="Arial" w:eastAsia="Arial" w:hAnsi="Arial"/>
          <w:sz w:val="18"/>
          <w:szCs w:val="18"/>
          <w:i w:val="1"/>
          <w:iCs w:val="1"/>
          <w:color w:val="auto"/>
        </w:rPr>
        <w:t xml:space="preserve">Bring-down Comfort Letter. </w:t>
      </w:r>
      <w:r>
        <w:rPr>
          <w:rFonts w:ascii="Arial" w:cs="Arial" w:eastAsia="Arial" w:hAnsi="Arial"/>
          <w:sz w:val="18"/>
          <w:szCs w:val="18"/>
          <w:color w:val="auto"/>
        </w:rPr>
        <w:t>At the Closing Time, the Representative on behalf of the Initial Purchasers, shall have received from E&amp;Y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as of the Closing Date, to the effect that E&amp;Y reaffirms the statements made in its letter furnished pursuant to subsection (h) of this Section 5, except that (i) it shall cover the financial statements and certain financial information contained in the Final Offering Memorandum and (ii) the specified date referred to shall be a date not more than three business days prior to the Closing Time.</w:t>
      </w:r>
    </w:p>
    <w:p>
      <w:pPr>
        <w:spacing w:after="0" w:line="78" w:lineRule="exact"/>
        <w:rPr>
          <w:rFonts w:ascii="Arial" w:cs="Arial" w:eastAsia="Arial" w:hAnsi="Arial"/>
          <w:sz w:val="18"/>
          <w:szCs w:val="18"/>
          <w:color w:val="auto"/>
        </w:rPr>
      </w:pPr>
    </w:p>
    <w:p>
      <w:pPr>
        <w:ind w:right="260" w:firstLine="444"/>
        <w:spacing w:after="0" w:line="277" w:lineRule="auto"/>
        <w:tabs>
          <w:tab w:leader="none" w:pos="655" w:val="left"/>
        </w:tabs>
        <w:numPr>
          <w:ilvl w:val="0"/>
          <w:numId w:val="730"/>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Notes shall have been approved in principle for listing on the SGX-ST, subject only to official</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issuance.</w:t>
      </w:r>
    </w:p>
    <w:p>
      <w:pPr>
        <w:spacing w:after="0" w:line="62" w:lineRule="exact"/>
        <w:rPr>
          <w:rFonts w:ascii="Arial" w:cs="Arial" w:eastAsia="Arial" w:hAnsi="Arial"/>
          <w:sz w:val="18"/>
          <w:szCs w:val="18"/>
          <w:color w:val="auto"/>
        </w:rPr>
      </w:pPr>
    </w:p>
    <w:p>
      <w:pPr>
        <w:ind w:left="740" w:hanging="296"/>
        <w:spacing w:after="0"/>
        <w:tabs>
          <w:tab w:leader="none" w:pos="740" w:val="left"/>
        </w:tabs>
        <w:numPr>
          <w:ilvl w:val="0"/>
          <w:numId w:val="730"/>
        </w:numPr>
        <w:rPr>
          <w:rFonts w:ascii="Arial" w:cs="Arial" w:eastAsia="Arial" w:hAnsi="Arial"/>
          <w:sz w:val="16"/>
          <w:szCs w:val="16"/>
          <w:color w:val="auto"/>
        </w:rPr>
      </w:pPr>
      <w:r>
        <w:rPr>
          <w:rFonts w:ascii="Arial" w:cs="Arial" w:eastAsia="Arial" w:hAnsi="Arial"/>
          <w:sz w:val="16"/>
          <w:szCs w:val="16"/>
          <w:i w:val="1"/>
          <w:iCs w:val="1"/>
          <w:color w:val="auto"/>
        </w:rPr>
        <w:t>No Material Adverse Change or Ratings Agency Change</w:t>
      </w:r>
      <w:r>
        <w:rPr>
          <w:rFonts w:ascii="Arial" w:cs="Arial" w:eastAsia="Arial" w:hAnsi="Arial"/>
          <w:sz w:val="16"/>
          <w:szCs w:val="16"/>
          <w:color w:val="auto"/>
        </w:rPr>
        <w:t>. For the period from and after the date of this Agreement and prior to the 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right="80" w:firstLine="885"/>
        <w:spacing w:after="0" w:line="277" w:lineRule="auto"/>
        <w:tabs>
          <w:tab w:leader="none" w:pos="1096" w:val="left"/>
        </w:tabs>
        <w:numPr>
          <w:ilvl w:val="1"/>
          <w:numId w:val="730"/>
        </w:numPr>
        <w:rPr>
          <w:rFonts w:ascii="Arial" w:cs="Arial" w:eastAsia="Arial" w:hAnsi="Arial"/>
          <w:sz w:val="18"/>
          <w:szCs w:val="18"/>
          <w:color w:val="auto"/>
        </w:rPr>
      </w:pPr>
      <w:r>
        <w:rPr>
          <w:rFonts w:ascii="Arial" w:cs="Arial" w:eastAsia="Arial" w:hAnsi="Arial"/>
          <w:sz w:val="18"/>
          <w:szCs w:val="18"/>
          <w:color w:val="auto"/>
        </w:rPr>
        <w:t>in the judgment of the Initial Purchasers, there shall not have occurred any event or development, and no information shall have become known, that, individually or in the aggregate, would have a Material Adverse Effect (“</w:t>
      </w:r>
      <w:r>
        <w:rPr>
          <w:rFonts w:ascii="Arial" w:cs="Arial" w:eastAsia="Arial" w:hAnsi="Arial"/>
          <w:sz w:val="18"/>
          <w:szCs w:val="18"/>
          <w:b w:val="1"/>
          <w:bCs w:val="1"/>
          <w:color w:val="auto"/>
        </w:rPr>
        <w:t>Material Adverse Change</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20" w:firstLine="885"/>
        <w:spacing w:after="0" w:line="312" w:lineRule="auto"/>
        <w:tabs>
          <w:tab w:leader="none" w:pos="1146" w:val="left"/>
        </w:tabs>
        <w:numPr>
          <w:ilvl w:val="1"/>
          <w:numId w:val="730"/>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Issuer or any of its subsidiaries by any “nationally recognized statistical rating organization” as such term is defined in Section 3(a)(62) of the Exchange Act.</w:t>
      </w:r>
    </w:p>
    <w:p>
      <w:pPr>
        <w:spacing w:after="0" w:line="38" w:lineRule="exact"/>
        <w:rPr>
          <w:rFonts w:ascii="Arial" w:cs="Arial" w:eastAsia="Arial" w:hAnsi="Arial"/>
          <w:sz w:val="16"/>
          <w:szCs w:val="16"/>
          <w:color w:val="auto"/>
        </w:rPr>
      </w:pPr>
    </w:p>
    <w:p>
      <w:pPr>
        <w:ind w:left="700" w:hanging="256"/>
        <w:spacing w:after="0"/>
        <w:tabs>
          <w:tab w:leader="none" w:pos="700" w:val="left"/>
        </w:tabs>
        <w:numPr>
          <w:ilvl w:val="0"/>
          <w:numId w:val="730"/>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At the Closing Time, the Notes shall be eligible for clearance and settlement through DTC.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542" w:name="page543"/>
    <w:bookmarkEnd w:id="542"/>
    <w:p>
      <w:pPr>
        <w:ind w:right="100" w:firstLine="444"/>
        <w:spacing w:after="0" w:line="277" w:lineRule="auto"/>
        <w:tabs>
          <w:tab w:leader="none" w:pos="695" w:val="left"/>
        </w:tabs>
        <w:numPr>
          <w:ilvl w:val="0"/>
          <w:numId w:val="7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Operative Documents. </w:t>
      </w:r>
      <w:r>
        <w:rPr>
          <w:rFonts w:ascii="Arial" w:cs="Arial" w:eastAsia="Arial" w:hAnsi="Arial"/>
          <w:sz w:val="18"/>
          <w:szCs w:val="18"/>
          <w:color w:val="auto"/>
        </w:rPr>
        <w:t>Executed copies of the Operative Documents in form and substance reasonably satisfactory to the Representative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delivered to the Representative on behalf of the Initial Purchasers.</w:t>
      </w:r>
    </w:p>
    <w:p>
      <w:pPr>
        <w:spacing w:after="0" w:line="62" w:lineRule="exact"/>
        <w:rPr>
          <w:rFonts w:ascii="Arial" w:cs="Arial" w:eastAsia="Arial" w:hAnsi="Arial"/>
          <w:sz w:val="18"/>
          <w:szCs w:val="18"/>
          <w:color w:val="auto"/>
        </w:rPr>
      </w:pPr>
    </w:p>
    <w:p>
      <w:pPr>
        <w:ind w:firstLine="444"/>
        <w:spacing w:after="0" w:line="342" w:lineRule="auto"/>
        <w:tabs>
          <w:tab w:leader="none" w:pos="695" w:val="left"/>
        </w:tabs>
        <w:numPr>
          <w:ilvl w:val="0"/>
          <w:numId w:val="731"/>
        </w:numPr>
        <w:rPr>
          <w:rFonts w:ascii="Arial" w:cs="Arial" w:eastAsia="Arial" w:hAnsi="Arial"/>
          <w:sz w:val="16"/>
          <w:szCs w:val="16"/>
          <w:color w:val="auto"/>
        </w:rPr>
      </w:pPr>
      <w:r>
        <w:rPr>
          <w:rFonts w:ascii="Arial" w:cs="Arial" w:eastAsia="Arial" w:hAnsi="Arial"/>
          <w:sz w:val="16"/>
          <w:szCs w:val="16"/>
          <w:i w:val="1"/>
          <w:iCs w:val="1"/>
          <w:color w:val="auto"/>
        </w:rPr>
        <w:t xml:space="preserve">CFO Certificates. </w:t>
      </w:r>
      <w:r>
        <w:rPr>
          <w:rFonts w:ascii="Arial" w:cs="Arial" w:eastAsia="Arial" w:hAnsi="Arial"/>
          <w:sz w:val="16"/>
          <w:szCs w:val="16"/>
          <w:color w:val="auto"/>
        </w:rPr>
        <w:t>On each of the date hereof and the Closing Date, the Representative on behalf of the Initial Purchasers, shall have received a</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the Issuer, dated the date hereof and the Closing Date, respectively, substantially in the form as attached hereto as Exhibit F hereto.</w:t>
      </w:r>
    </w:p>
    <w:p>
      <w:pPr>
        <w:spacing w:after="0" w:line="15" w:lineRule="exact"/>
        <w:rPr>
          <w:rFonts w:ascii="Arial" w:cs="Arial" w:eastAsia="Arial" w:hAnsi="Arial"/>
          <w:sz w:val="16"/>
          <w:szCs w:val="16"/>
          <w:color w:val="auto"/>
        </w:rPr>
      </w:pPr>
    </w:p>
    <w:p>
      <w:pPr>
        <w:ind w:right="60" w:firstLine="444"/>
        <w:spacing w:after="0" w:line="259" w:lineRule="auto"/>
        <w:tabs>
          <w:tab w:leader="none" w:pos="695" w:val="left"/>
        </w:tabs>
        <w:numPr>
          <w:ilvl w:val="0"/>
          <w:numId w:val="731"/>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before the Closing Time, the Representative on behalf of the Initial Purchasers, or counsel for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shall have received such information, documents and opinions as they may reasonably require for the purpose of enabling them to pass upon the issuance and sale of the Notes as herein contemplated, or in order to evidence the accuracy of any of the representations or warranties, or the fulfillment of any of the conditions, herein contained.</w:t>
      </w:r>
    </w:p>
    <w:p>
      <w:pPr>
        <w:spacing w:after="0" w:line="78" w:lineRule="exact"/>
        <w:rPr>
          <w:rFonts w:ascii="Arial" w:cs="Arial" w:eastAsia="Arial" w:hAnsi="Arial"/>
          <w:sz w:val="18"/>
          <w:szCs w:val="18"/>
          <w:color w:val="auto"/>
        </w:rPr>
      </w:pPr>
    </w:p>
    <w:p>
      <w:pPr>
        <w:jc w:val="both"/>
        <w:ind w:firstLine="444"/>
        <w:spacing w:after="0" w:line="279" w:lineRule="auto"/>
        <w:tabs>
          <w:tab w:leader="none" w:pos="665" w:val="left"/>
        </w:tabs>
        <w:numPr>
          <w:ilvl w:val="0"/>
          <w:numId w:val="731"/>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Agreement. </w:t>
      </w:r>
      <w:r>
        <w:rPr>
          <w:rFonts w:ascii="Arial" w:cs="Arial" w:eastAsia="Arial" w:hAnsi="Arial"/>
          <w:sz w:val="17"/>
          <w:szCs w:val="17"/>
          <w:color w:val="auto"/>
        </w:rPr>
        <w:t>If any condition specified in this Section 5 shall not have been fulfilled in all material respects when and as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fulfilled, this Agreement may be terminated by the Representative on behalf of the Initial Purchasers, by notice to the Issuer at any time at or prior to the Closing Time, and such termination shall be without liability of any party to any other party except as provided in Section 4 hereof and except that Sections 7 and 8 hereof shall survive any such termination and remain in full force and effect.</w:t>
      </w:r>
    </w:p>
    <w:p>
      <w:pPr>
        <w:spacing w:after="0" w:line="171"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The documents required to be delivered by this Section 5 will be delivered at the offices of White &amp; Case, counsel for the Initial Purchasers, at 9th Floor, Central Tower, 28 Queen’s Road, Central, Hong Kong.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Offers and Sales of the Notes</w:t>
      </w:r>
      <w:r>
        <w:rPr>
          <w:rFonts w:ascii="Arial" w:cs="Arial" w:eastAsia="Arial" w:hAnsi="Arial"/>
          <w:sz w:val="18"/>
          <w:szCs w:val="18"/>
          <w:color w:val="auto"/>
        </w:rPr>
        <w:t>.</w:t>
      </w:r>
    </w:p>
    <w:p>
      <w:pPr>
        <w:spacing w:after="0" w:line="117" w:lineRule="exact"/>
        <w:rPr>
          <w:sz w:val="20"/>
          <w:szCs w:val="20"/>
          <w:color w:val="auto"/>
        </w:rPr>
      </w:pPr>
    </w:p>
    <w:p>
      <w:pPr>
        <w:ind w:right="360" w:firstLine="444"/>
        <w:spacing w:after="0" w:line="277" w:lineRule="auto"/>
        <w:tabs>
          <w:tab w:leader="none" w:pos="685" w:val="left"/>
        </w:tabs>
        <w:numPr>
          <w:ilvl w:val="0"/>
          <w:numId w:val="732"/>
        </w:numPr>
        <w:rPr>
          <w:rFonts w:ascii="Arial" w:cs="Arial" w:eastAsia="Arial" w:hAnsi="Arial"/>
          <w:sz w:val="18"/>
          <w:szCs w:val="18"/>
          <w:color w:val="auto"/>
        </w:rPr>
      </w:pPr>
      <w:r>
        <w:rPr>
          <w:rFonts w:ascii="Arial" w:cs="Arial" w:eastAsia="Arial" w:hAnsi="Arial"/>
          <w:sz w:val="18"/>
          <w:szCs w:val="18"/>
          <w:i w:val="1"/>
          <w:iCs w:val="1"/>
          <w:color w:val="auto"/>
        </w:rPr>
        <w:t xml:space="preserve">Offer and Sale Procedures. </w:t>
      </w:r>
      <w:r>
        <w:rPr>
          <w:rFonts w:ascii="Arial" w:cs="Arial" w:eastAsia="Arial" w:hAnsi="Arial"/>
          <w:sz w:val="18"/>
          <w:szCs w:val="18"/>
          <w:color w:val="auto"/>
        </w:rPr>
        <w:t>Each of the Initial Purchasers hereby, severally and not jointly, establishes and agrees to observe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in connection with the offer and sale of the Notes:</w:t>
      </w:r>
    </w:p>
    <w:p>
      <w:pPr>
        <w:spacing w:after="0" w:line="62" w:lineRule="exact"/>
        <w:rPr>
          <w:rFonts w:ascii="Arial" w:cs="Arial" w:eastAsia="Arial" w:hAnsi="Arial"/>
          <w:sz w:val="18"/>
          <w:szCs w:val="18"/>
          <w:color w:val="auto"/>
        </w:rPr>
      </w:pPr>
    </w:p>
    <w:p>
      <w:pPr>
        <w:ind w:right="120" w:firstLine="885"/>
        <w:spacing w:after="0" w:line="259" w:lineRule="auto"/>
        <w:tabs>
          <w:tab w:leader="none" w:pos="1096" w:val="left"/>
        </w:tabs>
        <w:numPr>
          <w:ilvl w:val="1"/>
          <w:numId w:val="732"/>
        </w:numPr>
        <w:rPr>
          <w:rFonts w:ascii="Arial" w:cs="Arial" w:eastAsia="Arial" w:hAnsi="Arial"/>
          <w:sz w:val="18"/>
          <w:szCs w:val="18"/>
          <w:color w:val="auto"/>
        </w:rPr>
      </w:pPr>
      <w:r>
        <w:rPr>
          <w:rFonts w:ascii="Arial" w:cs="Arial" w:eastAsia="Arial" w:hAnsi="Arial"/>
          <w:sz w:val="18"/>
          <w:szCs w:val="18"/>
          <w:u w:val="single" w:color="auto"/>
          <w:color w:val="auto"/>
        </w:rPr>
        <w:t>Offers and Sales only to Qualified Institutional Buyers in the United States or to Non-U.S. Persons</w:t>
      </w:r>
      <w:r>
        <w:rPr>
          <w:rFonts w:ascii="Arial" w:cs="Arial" w:eastAsia="Arial" w:hAnsi="Arial"/>
          <w:sz w:val="18"/>
          <w:szCs w:val="18"/>
          <w:color w:val="auto"/>
        </w:rPr>
        <w:t>. Initial offers and sales of the Notes shall only be made (A) by the U.S. registered broker-dealer affiliates of such Initial Purchaser to persons whom such Initial Purchaser reasonably believes to be qualified institutional buyers, as defined in Rule 144A (“</w:t>
      </w:r>
      <w:r>
        <w:rPr>
          <w:rFonts w:ascii="Arial" w:cs="Arial" w:eastAsia="Arial" w:hAnsi="Arial"/>
          <w:sz w:val="18"/>
          <w:szCs w:val="18"/>
          <w:b w:val="1"/>
          <w:bCs w:val="1"/>
          <w:color w:val="auto"/>
        </w:rPr>
        <w:t>QIBs</w:t>
      </w:r>
      <w:r>
        <w:rPr>
          <w:rFonts w:ascii="Arial" w:cs="Arial" w:eastAsia="Arial" w:hAnsi="Arial"/>
          <w:sz w:val="18"/>
          <w:szCs w:val="18"/>
          <w:color w:val="auto"/>
        </w:rPr>
        <w:t>”) in accordance with Rule 144A or (B) to non-U.S. persons (as defined in Regulation S) outside the United States in reliance upon Regulation S.</w:t>
      </w:r>
    </w:p>
    <w:p>
      <w:pPr>
        <w:spacing w:after="0" w:line="78" w:lineRule="exact"/>
        <w:rPr>
          <w:rFonts w:ascii="Arial" w:cs="Arial" w:eastAsia="Arial" w:hAnsi="Arial"/>
          <w:sz w:val="18"/>
          <w:szCs w:val="18"/>
          <w:color w:val="auto"/>
        </w:rPr>
      </w:pPr>
    </w:p>
    <w:p>
      <w:pPr>
        <w:ind w:left="1160" w:hanging="275"/>
        <w:spacing w:after="0"/>
        <w:tabs>
          <w:tab w:leader="none" w:pos="1160" w:val="left"/>
        </w:tabs>
        <w:numPr>
          <w:ilvl w:val="1"/>
          <w:numId w:val="732"/>
        </w:numPr>
        <w:rPr>
          <w:rFonts w:ascii="Arial" w:cs="Arial" w:eastAsia="Arial" w:hAnsi="Arial"/>
          <w:sz w:val="18"/>
          <w:szCs w:val="18"/>
          <w:color w:val="auto"/>
        </w:rPr>
      </w:pPr>
      <w:r>
        <w:rPr>
          <w:rFonts w:ascii="Arial" w:cs="Arial" w:eastAsia="Arial" w:hAnsi="Arial"/>
          <w:sz w:val="18"/>
          <w:szCs w:val="18"/>
          <w:color w:val="auto"/>
        </w:rPr>
        <w:t>Each of the Initial Purchasers hereby, severally and not jointly, represents and agrees that:</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2"/>
          <w:numId w:val="732"/>
        </w:numPr>
        <w:rPr>
          <w:rFonts w:ascii="Arial" w:cs="Arial" w:eastAsia="Arial" w:hAnsi="Arial"/>
          <w:sz w:val="16"/>
          <w:szCs w:val="16"/>
          <w:color w:val="auto"/>
        </w:rPr>
      </w:pPr>
      <w:r>
        <w:rPr>
          <w:rFonts w:ascii="Arial" w:cs="Arial" w:eastAsia="Arial" w:hAnsi="Arial"/>
          <w:sz w:val="16"/>
          <w:szCs w:val="16"/>
          <w:color w:val="auto"/>
        </w:rPr>
        <w:t>it, or the U.S. registered broker-dealer affiliates of such Initial Purchaser making sales pursuant to Rule 144A, is a QIB; and</w:t>
      </w:r>
    </w:p>
    <w:p>
      <w:pPr>
        <w:spacing w:after="0" w:line="153" w:lineRule="exact"/>
        <w:rPr>
          <w:rFonts w:ascii="Arial" w:cs="Arial" w:eastAsia="Arial" w:hAnsi="Arial"/>
          <w:sz w:val="16"/>
          <w:szCs w:val="16"/>
          <w:color w:val="auto"/>
        </w:rPr>
      </w:pPr>
    </w:p>
    <w:p>
      <w:pPr>
        <w:jc w:val="both"/>
        <w:ind w:left="1860" w:right="400" w:hanging="425"/>
        <w:spacing w:after="0" w:line="264" w:lineRule="auto"/>
        <w:tabs>
          <w:tab w:leader="none" w:pos="1860" w:val="left"/>
        </w:tabs>
        <w:numPr>
          <w:ilvl w:val="2"/>
          <w:numId w:val="732"/>
        </w:numPr>
        <w:rPr>
          <w:rFonts w:ascii="Arial" w:cs="Arial" w:eastAsia="Arial" w:hAnsi="Arial"/>
          <w:sz w:val="18"/>
          <w:szCs w:val="18"/>
          <w:color w:val="auto"/>
        </w:rPr>
      </w:pPr>
      <w:r>
        <w:rPr>
          <w:rFonts w:ascii="Arial" w:cs="Arial" w:eastAsia="Arial" w:hAnsi="Arial"/>
          <w:sz w:val="18"/>
          <w:szCs w:val="18"/>
          <w:color w:val="auto"/>
        </w:rPr>
        <w:t>if it is not a QIB, then it represents and agrees with the Issuer and the other Initial Purchaser that it shall offer and sell the Notes only outside the United States in offshore transactions to persons who are not U.S. persons (as defined in Rule 902 under the Securities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3" w:right="459" w:bottom="1440" w:gutter="0" w:footer="0" w:header="0"/>
        </w:sectPr>
      </w:pPr>
    </w:p>
    <w:bookmarkStart w:id="543" w:name="page544"/>
    <w:bookmarkEnd w:id="543"/>
    <w:p>
      <w:pPr>
        <w:ind w:left="-20" w:right="160" w:firstLine="885"/>
        <w:spacing w:after="0" w:line="264" w:lineRule="auto"/>
        <w:tabs>
          <w:tab w:leader="none" w:pos="1176" w:val="left"/>
        </w:tabs>
        <w:numPr>
          <w:ilvl w:val="1"/>
          <w:numId w:val="7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Directed Selling Efforts</w:t>
      </w:r>
      <w:r>
        <w:rPr>
          <w:rFonts w:ascii="Arial" w:cs="Arial" w:eastAsia="Arial" w:hAnsi="Arial"/>
          <w:sz w:val="18"/>
          <w:szCs w:val="18"/>
          <w:color w:val="auto"/>
        </w:rPr>
        <w:t>. Neither such Initial Purchaser nor its Affiliates nor any person acting on its or their behalf has engaged or will engage in any directed selling efforts within the meaning of Regulation S and such Initial Purchaser, its Affiliates and any person acting on its or their behalf has complied and will comply with the offering restrictions of Regulation S.</w:t>
      </w:r>
    </w:p>
    <w:p>
      <w:pPr>
        <w:spacing w:after="0" w:line="73" w:lineRule="exact"/>
        <w:rPr>
          <w:rFonts w:ascii="Arial" w:cs="Arial" w:eastAsia="Arial" w:hAnsi="Arial"/>
          <w:sz w:val="18"/>
          <w:szCs w:val="18"/>
          <w:color w:val="auto"/>
        </w:rPr>
      </w:pPr>
    </w:p>
    <w:p>
      <w:pPr>
        <w:ind w:left="-20" w:right="60" w:firstLine="885"/>
        <w:spacing w:after="0" w:line="277" w:lineRule="auto"/>
        <w:tabs>
          <w:tab w:leader="none" w:pos="1166" w:val="left"/>
        </w:tabs>
        <w:numPr>
          <w:ilvl w:val="1"/>
          <w:numId w:val="733"/>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No general solicitation or general advertising (within the meaning of Rule 502(c) under the Securities Act) has been or will be used in connection with the offering or sale of the Notes.</w:t>
      </w:r>
    </w:p>
    <w:p>
      <w:pPr>
        <w:spacing w:after="0" w:line="62" w:lineRule="exact"/>
        <w:rPr>
          <w:rFonts w:ascii="Arial" w:cs="Arial" w:eastAsia="Arial" w:hAnsi="Arial"/>
          <w:sz w:val="18"/>
          <w:szCs w:val="18"/>
          <w:color w:val="auto"/>
        </w:rPr>
      </w:pPr>
    </w:p>
    <w:p>
      <w:pPr>
        <w:ind w:left="-20" w:right="380" w:firstLine="885"/>
        <w:spacing w:after="0" w:line="342" w:lineRule="auto"/>
        <w:tabs>
          <w:tab w:leader="none" w:pos="1116" w:val="left"/>
        </w:tabs>
        <w:numPr>
          <w:ilvl w:val="1"/>
          <w:numId w:val="733"/>
        </w:numPr>
        <w:rPr>
          <w:rFonts w:ascii="Arial" w:cs="Arial" w:eastAsia="Arial" w:hAnsi="Arial"/>
          <w:sz w:val="16"/>
          <w:szCs w:val="16"/>
          <w:color w:val="auto"/>
        </w:rPr>
      </w:pPr>
      <w:r>
        <w:rPr>
          <w:rFonts w:ascii="Arial" w:cs="Arial" w:eastAsia="Arial" w:hAnsi="Arial"/>
          <w:sz w:val="16"/>
          <w:szCs w:val="16"/>
          <w:u w:val="single" w:color="auto"/>
          <w:color w:val="auto"/>
        </w:rPr>
        <w:t>Purchases by Non-Bank Fiduciaries</w:t>
      </w:r>
      <w:r>
        <w:rPr>
          <w:rFonts w:ascii="Arial" w:cs="Arial" w:eastAsia="Arial" w:hAnsi="Arial"/>
          <w:sz w:val="16"/>
          <w:szCs w:val="16"/>
          <w:color w:val="auto"/>
        </w:rPr>
        <w:t>. In the case of a non-bank Subsequent Purchaser of a Note acting as a fiduciary for one or more third parties, each third party shall, in the judgment of the Initial Purchasers, be a QIB or a non-U.S. person outside the United States.</w:t>
      </w:r>
    </w:p>
    <w:p>
      <w:pPr>
        <w:spacing w:after="0" w:line="15" w:lineRule="exact"/>
        <w:rPr>
          <w:rFonts w:ascii="Arial" w:cs="Arial" w:eastAsia="Arial" w:hAnsi="Arial"/>
          <w:sz w:val="16"/>
          <w:szCs w:val="16"/>
          <w:color w:val="auto"/>
        </w:rPr>
      </w:pPr>
    </w:p>
    <w:p>
      <w:pPr>
        <w:ind w:left="-20" w:right="60" w:firstLine="885"/>
        <w:spacing w:after="0" w:line="264" w:lineRule="auto"/>
        <w:tabs>
          <w:tab w:leader="none" w:pos="1166" w:val="left"/>
        </w:tabs>
        <w:numPr>
          <w:ilvl w:val="1"/>
          <w:numId w:val="73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selling and transfer restrictions and the other provisions set forth in the Offering Memorandum under the headings “Plan of Distribution” and “Transfer Restrictions” including, without limitation, the legend required thereby, shall apply to the Notes except as otherwise agreed by the Issuer and the Initial Purchasers.</w:t>
      </w:r>
    </w:p>
    <w:p>
      <w:pPr>
        <w:spacing w:after="0" w:line="73" w:lineRule="exact"/>
        <w:rPr>
          <w:rFonts w:ascii="Arial" w:cs="Arial" w:eastAsia="Arial" w:hAnsi="Arial"/>
          <w:sz w:val="18"/>
          <w:szCs w:val="18"/>
          <w:color w:val="auto"/>
        </w:rPr>
      </w:pPr>
    </w:p>
    <w:p>
      <w:pPr>
        <w:ind w:left="-20" w:right="20" w:firstLine="444"/>
        <w:spacing w:after="0" w:line="255" w:lineRule="auto"/>
        <w:tabs>
          <w:tab w:leader="none" w:pos="675" w:val="left"/>
        </w:tabs>
        <w:numPr>
          <w:ilvl w:val="0"/>
          <w:numId w:val="734"/>
        </w:numPr>
        <w:rPr>
          <w:rFonts w:ascii="Arial" w:cs="Arial" w:eastAsia="Arial" w:hAnsi="Arial"/>
          <w:sz w:val="18"/>
          <w:szCs w:val="18"/>
          <w:color w:val="auto"/>
        </w:rPr>
      </w:pPr>
      <w:r>
        <w:rPr>
          <w:rFonts w:ascii="Arial" w:cs="Arial" w:eastAsia="Arial" w:hAnsi="Arial"/>
          <w:sz w:val="18"/>
          <w:szCs w:val="18"/>
          <w:i w:val="1"/>
          <w:iCs w:val="1"/>
          <w:color w:val="auto"/>
        </w:rPr>
        <w:t>Restriction on Repurchases</w:t>
      </w:r>
      <w:r>
        <w:rPr>
          <w:rFonts w:ascii="Arial" w:cs="Arial" w:eastAsia="Arial" w:hAnsi="Arial"/>
          <w:sz w:val="18"/>
          <w:szCs w:val="18"/>
          <w:color w:val="auto"/>
        </w:rPr>
        <w:t>. Each of the Issuer and the Subsidiary Guarantors covenants with each Initial Purchaser that, until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after the later of the date of the original issuance of the Notes and the last date on which the Issuer or any of its Affiliates were the owner of Notes, neither the Issuer nor any of its subsidiaries will, and will cause persons acting on its or their behalf (other than the Initial Purchasers, as to whom no covenant is made), not to, resell any such Notes which are “restricted securities” (as such term is defined under Rule 144(a)(3) under the Securities Act), whether as beneficial owner or otherwise (except an agent acting as a securities broker on behalf of and for the account of customers in the ordinary course of business in unsolicited broker’s transactions).</w:t>
      </w:r>
    </w:p>
    <w:p>
      <w:pPr>
        <w:spacing w:after="0" w:line="85" w:lineRule="exact"/>
        <w:rPr>
          <w:rFonts w:ascii="Arial" w:cs="Arial" w:eastAsia="Arial" w:hAnsi="Arial"/>
          <w:sz w:val="18"/>
          <w:szCs w:val="18"/>
          <w:color w:val="auto"/>
        </w:rPr>
      </w:pPr>
    </w:p>
    <w:p>
      <w:pPr>
        <w:ind w:left="-20" w:firstLine="444"/>
        <w:spacing w:after="0" w:line="269" w:lineRule="auto"/>
        <w:tabs>
          <w:tab w:leader="none" w:pos="665" w:val="left"/>
        </w:tabs>
        <w:numPr>
          <w:ilvl w:val="0"/>
          <w:numId w:val="734"/>
        </w:numPr>
        <w:rPr>
          <w:rFonts w:ascii="Arial" w:cs="Arial" w:eastAsia="Arial" w:hAnsi="Arial"/>
          <w:sz w:val="17"/>
          <w:szCs w:val="17"/>
          <w:color w:val="auto"/>
        </w:rPr>
      </w:pPr>
      <w:r>
        <w:rPr>
          <w:rFonts w:ascii="Arial" w:cs="Arial" w:eastAsia="Arial" w:hAnsi="Arial"/>
          <w:sz w:val="17"/>
          <w:szCs w:val="17"/>
          <w:i w:val="1"/>
          <w:iCs w:val="1"/>
          <w:color w:val="auto"/>
        </w:rPr>
        <w:t xml:space="preserve">Resale Pursuant to Rule 903 of Regulation S or Rule 144A. </w:t>
      </w:r>
      <w:r>
        <w:rPr>
          <w:rFonts w:ascii="Arial" w:cs="Arial" w:eastAsia="Arial" w:hAnsi="Arial"/>
          <w:sz w:val="17"/>
          <w:szCs w:val="17"/>
          <w:color w:val="auto"/>
        </w:rPr>
        <w:t>Each Initial Purchaser understands that the Notes have not been and will not be</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under the Securities Act and may not be offered or sold within the United States or to, or for the account or benefit of, U.S. persons except in accordance with Regulation S or pursuant to an exemption from the registration requirements of the Securities Act. Each of the Initial Purchasers, severally and not jointly, represents and agrees, that, except as permitted by Section 6(a) above, it has not offered and sold Notes and will not offer and sell Notes (i) as part of their distribution at any time or (ii) otherwise until 40 days after the later of the date upon which the Offering commences and the Closing Time, except in accordance with Rule 903 of Regulation S, Rule 144A or another applicable exemption from the registration requirements of the Securities Act. Accordingly, none of such Initial Purchaser, its Affiliates or any persons acting on its or their behalf has engaged or will engage in any directed selling efforts with respect to Notes sold hereunder pursuant to Regulation S, and such Initial Purchaser, its Affiliates and any person acting on its or their behalf have complied and will comply with the offering restrictions of Regulation S. Each of the Initial Purchasers, severally and not jointly, agrees that, at or prior to confirmation of a sale of Notes pursuant to Regulation S, it will have sent to each distributor, dealer or person receiving a selling concession, fee or other remuneration that purchases Notes from it or through it during the restricted period a confirmation or notice to substantially the following effect: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60" w:top="273" w:right="439" w:bottom="1440" w:gutter="0" w:footer="0" w:header="0"/>
        </w:sectPr>
      </w:pPr>
    </w:p>
    <w:bookmarkStart w:id="544" w:name="page545"/>
    <w:bookmarkEnd w:id="544"/>
    <w:p>
      <w:pPr>
        <w:ind w:left="86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has not been and will not be registered under the U.S. Securities Act of 1933, as amended (the “Securities Act”), or with any securities regulatory authority of any jurisdiction and may not be reoffered, resold, pledged or otherwise transferred within the United States or to a U.S. person (as defined in Regulation S under the Securities Act) (i) as part of their distribution at any time or (ii) otherwise until 40 days after the later of the date upon which the offering commences and the closing date, except in accordance with Rule 903 of Regulation S, Rule 144A or another applicable exemption from registration under the Securities Act. The Issuer of this Note has agreed that this legend shall be deemed to have been removed on the 41st day following the later of the commencement of the offering of the Notes and the final delivery date with respect thereof.”</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20" w:firstLine="444"/>
        <w:spacing w:after="0" w:line="285" w:lineRule="auto"/>
        <w:tabs>
          <w:tab w:leader="none" w:pos="665" w:val="left"/>
        </w:tabs>
        <w:numPr>
          <w:ilvl w:val="0"/>
          <w:numId w:val="73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Initial Purchasers. </w:t>
      </w:r>
      <w:r>
        <w:rPr>
          <w:rFonts w:ascii="Arial" w:cs="Arial" w:eastAsia="Arial" w:hAnsi="Arial"/>
          <w:sz w:val="16"/>
          <w:szCs w:val="16"/>
          <w:color w:val="auto"/>
        </w:rPr>
        <w:t>Each of the Issuer and the Subsidiary Guarantors will, jointly and severally, indemnify and hold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harmless each Initial Purchaser, its partners, members, directors, officers, employees, agents, affiliates and each person, if any, who controls such Initial Purchaser within the meaning of Section 15 of the Securities Act or Section 20 of the Exchange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against any and all losses, claims, damages or liabilities, joint or several, to which such Indemnified Party may become subject, under the Securities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the Disclosure Package as of any time, the Final Offering Memorandum (or any amendment or supplement thereto) or any Supplemental Offering Materials, or arise out of or are based upon the omission or alleged omission to state therein a material fact required to be stated therein or necessary to make the statements therein not misleading, and will reimburse each Indemnified Party for any legal or other expenses reasonably incurred by such Indemnified Party in connection with investigating, defending against or appearing as a third party witness in connection with any such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Issuer nor any of the Subsidiary Guarantors shall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Issuer by any Initial Purchaser specifically for use therein, it being understood and agreed that the only such information furnished by any Initial Purchaser consists of the information described as such in subsection (b) below.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60" w:top="274" w:right="439" w:bottom="1440" w:gutter="0" w:footer="0" w:header="0"/>
        </w:sectPr>
      </w:pPr>
    </w:p>
    <w:bookmarkStart w:id="545" w:name="page546"/>
    <w:bookmarkEnd w:id="545"/>
    <w:p>
      <w:pPr>
        <w:ind w:left="-20" w:firstLine="444"/>
        <w:spacing w:after="0" w:line="285" w:lineRule="auto"/>
        <w:tabs>
          <w:tab w:leader="none" w:pos="675" w:val="left"/>
        </w:tabs>
        <w:numPr>
          <w:ilvl w:val="0"/>
          <w:numId w:val="7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Indemnification of Issuer and the Subsidiary Guarantors. </w:t>
      </w:r>
      <w:r>
        <w:rPr>
          <w:rFonts w:ascii="Arial" w:cs="Arial" w:eastAsia="Arial" w:hAnsi="Arial"/>
          <w:sz w:val="16"/>
          <w:szCs w:val="16"/>
          <w:color w:val="auto"/>
        </w:rPr>
        <w:t>Each Initial Purchaser will, severally and not jointly, indemnify and hold harmless</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Issuer, the Subsidiary Guarantors and each person, if any, who controls the Issuer and the Subsidiary Guarantors within the meaning of Section 15 of the Securities Act or Section 20 of the Exchange Act (each, an “</w:t>
      </w:r>
      <w:r>
        <w:rPr>
          <w:rFonts w:ascii="Arial" w:cs="Arial" w:eastAsia="Arial" w:hAnsi="Arial"/>
          <w:sz w:val="16"/>
          <w:szCs w:val="16"/>
          <w:b w:val="1"/>
          <w:bCs w:val="1"/>
          <w:color w:val="auto"/>
        </w:rPr>
        <w:t>Initial Purchaser Indemnified Party</w:t>
      </w:r>
      <w:r>
        <w:rPr>
          <w:rFonts w:ascii="Arial" w:cs="Arial" w:eastAsia="Arial" w:hAnsi="Arial"/>
          <w:sz w:val="16"/>
          <w:szCs w:val="16"/>
          <w:color w:val="auto"/>
        </w:rPr>
        <w:t>”), against any losses, claims, damages or liabilities to which such Initial Purchaser Indemnified Party may become subject, under the Securities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Disclosure Package as of any time, the Final Offering Memorandum (or any amendment or supplement thereto) or in any Supplemental Offering Materials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Issuer by such Initial Purchaser specifically for use therein, and will reimburse any legal or other expenses reasonably incurred by such Initial Purchaser Indemnified Party in connection with investigating or defending against any such loss, claim, damage, liability, action, litigation, investigation or proceeding whatsoever (whether or not such Initial Purchaser Indemnified Party is a party thereto), whether threatened or commenced, based upon any such untrue statement or omission, or any such alleged untrue statement or omission as such expenses are incurred, it being understood and agreed that the only such information furnished by any Initial Purchaser consists of the following information in the Offering Memorandum furnished on behalf of each Initial Purchaser: its name as set forth in the first sentence of the first paragraph under the section “Plan of Distribution—Price Stabilization and Short Positions” in the Disclosure Package and the Final Offering Memorandum.</w:t>
      </w:r>
    </w:p>
    <w:p>
      <w:pPr>
        <w:spacing w:after="0" w:line="69" w:lineRule="exact"/>
        <w:rPr>
          <w:rFonts w:ascii="Arial" w:cs="Arial" w:eastAsia="Arial" w:hAnsi="Arial"/>
          <w:sz w:val="16"/>
          <w:szCs w:val="16"/>
          <w:color w:val="auto"/>
        </w:rPr>
      </w:pPr>
    </w:p>
    <w:p>
      <w:pPr>
        <w:ind w:left="-20" w:right="40" w:firstLine="444"/>
        <w:spacing w:after="0" w:line="268" w:lineRule="auto"/>
        <w:tabs>
          <w:tab w:leader="none" w:pos="665" w:val="left"/>
        </w:tabs>
        <w:numPr>
          <w:ilvl w:val="0"/>
          <w:numId w:val="736"/>
        </w:numPr>
        <w:rPr>
          <w:rFonts w:ascii="Arial" w:cs="Arial" w:eastAsia="Arial" w:hAnsi="Arial"/>
          <w:sz w:val="17"/>
          <w:szCs w:val="17"/>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this Section 7 of notice of the commencement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action, such indemnified party will, if a claim in respect thereof is to be made against the indemnifying party under subsection (a) or (b) above hereafter,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7, as the case may be,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60" w:top="273" w:right="439" w:bottom="1440" w:gutter="0" w:footer="0" w:header="0"/>
        </w:sectPr>
      </w:pPr>
    </w:p>
    <w:bookmarkStart w:id="546" w:name="page547"/>
    <w:bookmarkEnd w:id="546"/>
    <w:p>
      <w:pPr>
        <w:ind w:right="20" w:firstLine="444"/>
        <w:spacing w:after="0" w:line="255" w:lineRule="auto"/>
        <w:tabs>
          <w:tab w:leader="none" w:pos="695" w:val="left"/>
        </w:tabs>
        <w:numPr>
          <w:ilvl w:val="0"/>
          <w:numId w:val="7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Persons</w:t>
      </w:r>
      <w:r>
        <w:rPr>
          <w:rFonts w:ascii="Arial" w:cs="Arial" w:eastAsia="Arial" w:hAnsi="Arial"/>
          <w:sz w:val="18"/>
          <w:szCs w:val="18"/>
          <w:color w:val="auto"/>
        </w:rPr>
        <w:t>. The obligations of the Issuer and the Subsidiary Guarantors under this Section 7 shall be in addition to any liability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Issuer and the Subsidiary Guarantors may otherwise have and shall extend, upon the same terms and conditions, to each person, if any, who controls any Initial Purchaser, within the meaning of the Securities Act; and the obligations of the Initial Purchasers under this Section 7 shall be in addition to any liability which the respective Initial Purchaser may otherwise have and shall extend, upon the same terms and conditions, to each director of the Issuer and the Subsidiary Guarantors and to each person, if any, who controls the Issuer and the Subsidiary Guarantors within the meaning of the Securities Act.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indemnification provided for in Section 7 is unavailable or insufficient to hold harmless an indemnified party under Section 7 (a) or</w:t>
      </w:r>
    </w:p>
    <w:p>
      <w:pPr>
        <w:spacing w:after="0" w:line="35" w:lineRule="exact"/>
        <w:rPr>
          <w:sz w:val="20"/>
          <w:szCs w:val="20"/>
          <w:color w:val="auto"/>
        </w:rPr>
      </w:pPr>
    </w:p>
    <w:p>
      <w:pPr>
        <w:ind w:firstLine="4"/>
        <w:spacing w:after="0" w:line="283" w:lineRule="auto"/>
        <w:tabs>
          <w:tab w:leader="none" w:pos="255" w:val="left"/>
        </w:tabs>
        <w:numPr>
          <w:ilvl w:val="0"/>
          <w:numId w:val="738"/>
        </w:numPr>
        <w:rPr>
          <w:rFonts w:ascii="Arial" w:cs="Arial" w:eastAsia="Arial" w:hAnsi="Arial"/>
          <w:sz w:val="16"/>
          <w:szCs w:val="16"/>
          <w:color w:val="auto"/>
        </w:rPr>
      </w:pPr>
      <w:r>
        <w:rPr>
          <w:rFonts w:ascii="Arial" w:cs="Arial" w:eastAsia="Arial" w:hAnsi="Arial"/>
          <w:sz w:val="16"/>
          <w:szCs w:val="16"/>
          <w:color w:val="auto"/>
        </w:rPr>
        <w:t>above, then each indemnifying party shall contribute to the amount paid or payable by such indemnified party as a result of the losses, claims, damages or liabilities referred to in Section 7 (a) or (b) above (i) in such proportion as is appropriate to reflect the relative benefits received by the Issuer on the one hand and the Initial Purchasers on the other from the Offering or (ii) if the allocation provided by clause (i) above is not permitted by applicable law, in such proportion as is appropriate to reflect not only the relative benefits referred to in clause (i) above but also the relative fault of the Issuer and the Subsidiary Guarantors on the one hand and the Initial Purchasers on the other in connection with the statements or omissions which resulted in such losses, claims, damages or liabilities as well as any other relevant equitable considerations. The relative benefits received by the Issuer and the Subsidiary Guarantors on the one hand and the Initial Purchasers on the other shall be deemed to be in the same proportion as the total net proceeds from the Offering (before deducting expenses) received by the Issuer and the Subsidiary Guarantors bear to the total underwriting discounts and commissions received by the Initial Purchasers. The relative fault shall be determined by reference to, among other things, whether the untrue or alleged untrue statement of a material fact or the omission or alleged omission to state a material fact relates to information supplied by the Issuer or the Initial Purchasers and the parties’ relative intent, knowledge, access to information and opportunity to correct or prevent such untrue statement or omission. The amount paid by an indemnified party as a result of the losses, claims, damages or liabilities referred to in the first sentence of this Section 8 shall be deemed to include any legal or other expenses reasonably incurred by such indemnified party in connection with investigating or defending any action or claim which is the subject of this Section 8. Notwithstanding the provisions of this Section 8, no Initial Purchaser shall be required to make contributions hereunder that in the aggregate exceed the total discounts, commissions and other compensation received by such Initial Purchaser under this Agreement, less the aggregate amount of any damages that such Initial Purchaser has otherwise been required to pay by reason of the untrue or alleged untrue statements or the omissions or alleged omissions to state a material fact. No person guilty of fraudulent misrepresentation (within the meaning of Section 11(f) of the Securities Act) shall be entitled to contribution from any person who was not guilty of such fraudulent misrepresentation. The Initial Purchasers’ obligations in this Section 8 to contribute are several in proportion to their respective underwriting obligations and not joint. The Issuer, the Subsidiary Guarantors and the Initial Purchasers agree that it would not be just and equitable if contribution pursuant to this Section 8 were determined by pro rata allocation (even if the Initial Purchasers were treated as one entity for such purpose) or by any other method of allocation which does not take account of the equitable considerations referred to in this Section 8.</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547" w:name="page548"/>
    <w:bookmarkEnd w:id="5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Agreement among Initial Purchasers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execution of this Agreement on behalf of all parties hereto will constitute the acceptance by each Initial Purchaser of the International Capital Market Association Standard Form Agreement Among Managers Version 1 (“</w:t>
      </w:r>
      <w:r>
        <w:rPr>
          <w:rFonts w:ascii="Arial" w:cs="Arial" w:eastAsia="Arial" w:hAnsi="Arial"/>
          <w:sz w:val="18"/>
          <w:szCs w:val="18"/>
          <w:b w:val="1"/>
          <w:bCs w:val="1"/>
          <w:color w:val="auto"/>
        </w:rPr>
        <w:t>AAM</w:t>
      </w:r>
      <w:r>
        <w:rPr>
          <w:rFonts w:ascii="Arial" w:cs="Arial" w:eastAsia="Arial" w:hAnsi="Arial"/>
          <w:sz w:val="18"/>
          <w:szCs w:val="18"/>
          <w:color w:val="auto"/>
        </w:rPr>
        <w:t>”). The Initial Purchasers further agree that references in the AAM to the “</w:t>
      </w:r>
      <w:r>
        <w:rPr>
          <w:rFonts w:ascii="Arial" w:cs="Arial" w:eastAsia="Arial" w:hAnsi="Arial"/>
          <w:sz w:val="18"/>
          <w:szCs w:val="18"/>
          <w:b w:val="1"/>
          <w:bCs w:val="1"/>
          <w:color w:val="auto"/>
        </w:rPr>
        <w:t>Lead Manager</w:t>
      </w:r>
      <w:r>
        <w:rPr>
          <w:rFonts w:ascii="Arial" w:cs="Arial" w:eastAsia="Arial" w:hAnsi="Arial"/>
          <w:sz w:val="18"/>
          <w:szCs w:val="18"/>
          <w:color w:val="auto"/>
        </w:rPr>
        <w:t>”, the “</w:t>
      </w:r>
      <w:r>
        <w:rPr>
          <w:rFonts w:ascii="Arial" w:cs="Arial" w:eastAsia="Arial" w:hAnsi="Arial"/>
          <w:sz w:val="18"/>
          <w:szCs w:val="18"/>
          <w:b w:val="1"/>
          <w:bCs w:val="1"/>
          <w:color w:val="auto"/>
        </w:rPr>
        <w:t>Joint Bookrunners</w:t>
      </w:r>
      <w:r>
        <w:rPr>
          <w:rFonts w:ascii="Arial" w:cs="Arial" w:eastAsia="Arial" w:hAnsi="Arial"/>
          <w:sz w:val="18"/>
          <w:szCs w:val="18"/>
          <w:color w:val="auto"/>
        </w:rPr>
        <w:t>” and the “</w:t>
      </w:r>
      <w:r>
        <w:rPr>
          <w:rFonts w:ascii="Arial" w:cs="Arial" w:eastAsia="Arial" w:hAnsi="Arial"/>
          <w:sz w:val="18"/>
          <w:szCs w:val="18"/>
          <w:b w:val="1"/>
          <w:bCs w:val="1"/>
          <w:color w:val="auto"/>
        </w:rPr>
        <w:t>Managers</w:t>
      </w:r>
      <w:r>
        <w:rPr>
          <w:rFonts w:ascii="Arial" w:cs="Arial" w:eastAsia="Arial" w:hAnsi="Arial"/>
          <w:sz w:val="18"/>
          <w:szCs w:val="18"/>
          <w:color w:val="auto"/>
        </w:rPr>
        <w:t>” shall mean the Initial Purchasers, references in the AAM and this Agreement to the “</w:t>
      </w:r>
      <w:r>
        <w:rPr>
          <w:rFonts w:ascii="Arial" w:cs="Arial" w:eastAsia="Arial" w:hAnsi="Arial"/>
          <w:sz w:val="18"/>
          <w:szCs w:val="18"/>
          <w:b w:val="1"/>
          <w:bCs w:val="1"/>
          <w:color w:val="auto"/>
        </w:rPr>
        <w:t>Settlement Lead Manager</w:t>
      </w:r>
      <w:r>
        <w:rPr>
          <w:rFonts w:ascii="Arial" w:cs="Arial" w:eastAsia="Arial" w:hAnsi="Arial"/>
          <w:sz w:val="18"/>
          <w:szCs w:val="18"/>
          <w:color w:val="auto"/>
        </w:rPr>
        <w:t>” shall mean Deutsche Bank AG, Singapore Branch (or persons acting on its behalf) and references in the AAM to the “</w:t>
      </w:r>
      <w:r>
        <w:rPr>
          <w:rFonts w:ascii="Arial" w:cs="Arial" w:eastAsia="Arial" w:hAnsi="Arial"/>
          <w:sz w:val="18"/>
          <w:szCs w:val="18"/>
          <w:b w:val="1"/>
          <w:bCs w:val="1"/>
          <w:color w:val="auto"/>
        </w:rPr>
        <w:t>Stabilisation Coordinator</w:t>
      </w:r>
      <w:r>
        <w:rPr>
          <w:rFonts w:ascii="Arial" w:cs="Arial" w:eastAsia="Arial" w:hAnsi="Arial"/>
          <w:sz w:val="18"/>
          <w:szCs w:val="18"/>
          <w:color w:val="auto"/>
        </w:rPr>
        <w:t>” shall mean Deutsche Bank AG, Singapore Branch (or persons acting on its behalf). The Initial Purchasers agree as between themselves to amend the AAM as follows:</w:t>
      </w:r>
    </w:p>
    <w:p>
      <w:pPr>
        <w:spacing w:after="0" w:line="85" w:lineRule="exact"/>
        <w:rPr>
          <w:sz w:val="20"/>
          <w:szCs w:val="20"/>
          <w:color w:val="auto"/>
        </w:rPr>
      </w:pPr>
    </w:p>
    <w:p>
      <w:pPr>
        <w:ind w:left="680" w:hanging="236"/>
        <w:spacing w:after="0"/>
        <w:tabs>
          <w:tab w:leader="none" w:pos="68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Clause 5(2), and the two paragraphs immediately following Clause 5(3), shall be deemed to be deleted in their entirety;</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739"/>
        </w:numPr>
        <w:rPr>
          <w:rFonts w:ascii="Arial" w:cs="Arial" w:eastAsia="Arial" w:hAnsi="Arial"/>
          <w:sz w:val="18"/>
          <w:szCs w:val="18"/>
          <w:color w:val="auto"/>
        </w:rPr>
      </w:pPr>
      <w:r>
        <w:rPr>
          <w:rFonts w:ascii="Arial" w:cs="Arial" w:eastAsia="Arial" w:hAnsi="Arial"/>
          <w:sz w:val="18"/>
          <w:szCs w:val="18"/>
          <w:i w:val="1"/>
          <w:iCs w:val="1"/>
          <w:color w:val="auto"/>
        </w:rPr>
        <w:t xml:space="preserve">Clause </w:t>
      </w:r>
      <w:r>
        <w:rPr>
          <w:rFonts w:ascii="Arial" w:cs="Arial" w:eastAsia="Arial" w:hAnsi="Arial"/>
          <w:sz w:val="18"/>
          <w:szCs w:val="18"/>
          <w:color w:val="auto"/>
        </w:rPr>
        <w:t>6 shall be deemed to be deleted in its entirety and replaced by the following: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STABILIZATION</w:t>
      </w:r>
    </w:p>
    <w:p>
      <w:pPr>
        <w:spacing w:after="0" w:line="135" w:lineRule="exact"/>
        <w:rPr>
          <w:sz w:val="20"/>
          <w:szCs w:val="20"/>
          <w:color w:val="auto"/>
        </w:rPr>
      </w:pPr>
    </w:p>
    <w:p>
      <w:pPr>
        <w:ind w:left="1420" w:right="60" w:hanging="538"/>
        <w:spacing w:after="0" w:line="259" w:lineRule="auto"/>
        <w:tabs>
          <w:tab w:leader="none" w:pos="142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Each Initial Purchaser agrees that the Stabilization Coordinator may, after consultation with and agreement by the Initial Purchasers, either directly or together with the Stabilization Managers appointed by it, effect Stabilization Transactions. All such Stabilization Transactions shall be made in accordance with applicable laws and any profits and losses incurred in effecting Stabilization Transactions shall be aggregated and:</w:t>
      </w:r>
    </w:p>
    <w:p>
      <w:pPr>
        <w:spacing w:after="0" w:line="92" w:lineRule="exact"/>
        <w:rPr>
          <w:rFonts w:ascii="Arial" w:cs="Arial" w:eastAsia="Arial" w:hAnsi="Arial"/>
          <w:sz w:val="18"/>
          <w:szCs w:val="18"/>
          <w:color w:val="auto"/>
        </w:rPr>
      </w:pPr>
    </w:p>
    <w:p>
      <w:pPr>
        <w:ind w:left="1860" w:hanging="425"/>
        <w:spacing w:after="0"/>
        <w:tabs>
          <w:tab w:leader="none" w:pos="1860" w:val="left"/>
        </w:tabs>
        <w:numPr>
          <w:ilvl w:val="1"/>
          <w:numId w:val="740"/>
        </w:numPr>
        <w:rPr>
          <w:rFonts w:ascii="Arial" w:cs="Arial" w:eastAsia="Arial" w:hAnsi="Arial"/>
          <w:sz w:val="17"/>
          <w:szCs w:val="17"/>
          <w:color w:val="auto"/>
        </w:rPr>
      </w:pPr>
      <w:r>
        <w:rPr>
          <w:rFonts w:ascii="Arial" w:cs="Arial" w:eastAsia="Arial" w:hAnsi="Arial"/>
          <w:sz w:val="17"/>
          <w:szCs w:val="17"/>
          <w:color w:val="auto"/>
        </w:rPr>
        <w:t>in the case of a net profit, credited to the account of each Initial Purchaser in proportion to its respective Commitment; and</w:t>
      </w:r>
    </w:p>
    <w:p>
      <w:pPr>
        <w:spacing w:after="0" w:line="142" w:lineRule="exact"/>
        <w:rPr>
          <w:rFonts w:ascii="Arial" w:cs="Arial" w:eastAsia="Arial" w:hAnsi="Arial"/>
          <w:sz w:val="17"/>
          <w:szCs w:val="17"/>
          <w:color w:val="auto"/>
        </w:rPr>
      </w:pPr>
    </w:p>
    <w:p>
      <w:pPr>
        <w:ind w:left="1860" w:hanging="425"/>
        <w:spacing w:after="0"/>
        <w:tabs>
          <w:tab w:leader="none" w:pos="1860" w:val="left"/>
        </w:tabs>
        <w:numPr>
          <w:ilvl w:val="1"/>
          <w:numId w:val="740"/>
        </w:numPr>
        <w:rPr>
          <w:rFonts w:ascii="Arial" w:cs="Arial" w:eastAsia="Arial" w:hAnsi="Arial"/>
          <w:sz w:val="18"/>
          <w:szCs w:val="18"/>
          <w:color w:val="auto"/>
        </w:rPr>
      </w:pPr>
      <w:r>
        <w:rPr>
          <w:rFonts w:ascii="Arial" w:cs="Arial" w:eastAsia="Arial" w:hAnsi="Arial"/>
          <w:sz w:val="18"/>
          <w:szCs w:val="18"/>
          <w:color w:val="auto"/>
        </w:rPr>
        <w:t>in the case of a net loss, apportioned among the Initial Purchasers as follows:</w:t>
      </w:r>
    </w:p>
    <w:p>
      <w:pPr>
        <w:spacing w:after="0" w:line="130" w:lineRule="exact"/>
        <w:rPr>
          <w:rFonts w:ascii="Arial" w:cs="Arial" w:eastAsia="Arial" w:hAnsi="Arial"/>
          <w:sz w:val="18"/>
          <w:szCs w:val="18"/>
          <w:color w:val="auto"/>
        </w:rPr>
      </w:pPr>
    </w:p>
    <w:p>
      <w:pPr>
        <w:ind w:left="2300" w:right="560" w:hanging="432"/>
        <w:spacing w:after="0" w:line="308" w:lineRule="auto"/>
        <w:tabs>
          <w:tab w:leader="none" w:pos="2300" w:val="left"/>
        </w:tabs>
        <w:numPr>
          <w:ilvl w:val="2"/>
          <w:numId w:val="740"/>
        </w:numPr>
        <w:rPr>
          <w:rFonts w:ascii="Arial" w:cs="Arial" w:eastAsia="Arial" w:hAnsi="Arial"/>
          <w:sz w:val="17"/>
          <w:szCs w:val="17"/>
          <w:color w:val="auto"/>
        </w:rPr>
      </w:pPr>
      <w:r>
        <w:rPr>
          <w:rFonts w:ascii="Arial" w:cs="Arial" w:eastAsia="Arial" w:hAnsi="Arial"/>
          <w:sz w:val="17"/>
          <w:szCs w:val="17"/>
          <w:color w:val="auto"/>
        </w:rPr>
        <w:t xml:space="preserve">first, among the Initial Purchasers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their respective Commitments in an amount up to and including the amount of the fees payable to that Initial Purchasers in connection with the issue of the Notes; and</w:t>
      </w:r>
    </w:p>
    <w:p>
      <w:pPr>
        <w:spacing w:after="0" w:line="51" w:lineRule="exact"/>
        <w:rPr>
          <w:rFonts w:ascii="Arial" w:cs="Arial" w:eastAsia="Arial" w:hAnsi="Arial"/>
          <w:sz w:val="17"/>
          <w:szCs w:val="17"/>
          <w:color w:val="auto"/>
        </w:rPr>
      </w:pPr>
    </w:p>
    <w:p>
      <w:pPr>
        <w:ind w:left="2300" w:right="240" w:hanging="432"/>
        <w:spacing w:after="0" w:line="277" w:lineRule="auto"/>
        <w:tabs>
          <w:tab w:leader="none" w:pos="2300" w:val="left"/>
        </w:tabs>
        <w:numPr>
          <w:ilvl w:val="2"/>
          <w:numId w:val="740"/>
        </w:numPr>
        <w:rPr>
          <w:rFonts w:ascii="Arial" w:cs="Arial" w:eastAsia="Arial" w:hAnsi="Arial"/>
          <w:sz w:val="18"/>
          <w:szCs w:val="18"/>
          <w:color w:val="auto"/>
        </w:rPr>
      </w:pPr>
      <w:r>
        <w:rPr>
          <w:rFonts w:ascii="Arial" w:cs="Arial" w:eastAsia="Arial" w:hAnsi="Arial"/>
          <w:sz w:val="18"/>
          <w:szCs w:val="18"/>
          <w:color w:val="auto"/>
        </w:rPr>
        <w:t xml:space="preserve">secondly, among the Initial Purchasers that are responsible for actively running the order book for the transaction,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to their respective Commitments.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3" w:right="439" w:bottom="1440" w:gutter="0" w:footer="0" w:header="0"/>
        </w:sectPr>
      </w:pPr>
    </w:p>
    <w:bookmarkStart w:id="548" w:name="page549"/>
    <w:bookmarkEnd w:id="548"/>
    <w:p>
      <w:pPr>
        <w:ind w:left="980" w:right="140" w:hanging="538"/>
        <w:spacing w:after="0" w:line="259" w:lineRule="auto"/>
        <w:tabs>
          <w:tab w:leader="none" w:pos="980" w:val="left"/>
        </w:tabs>
        <w:numPr>
          <w:ilvl w:val="1"/>
          <w:numId w:val="7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aforementioned consultation by the Stabilization Coordinator with the Initial Purchasers, any Stabilization Transactions may be effected on or after the date on which adequate public disclosure of the terms of the offer of Notes is made and, if begun, may be ended at any time, but in no case later than the earlier of 30 days after the issue date of the Notes and 60 days after the date of the allotment of the Notes.</w:t>
      </w:r>
    </w:p>
    <w:p>
      <w:pPr>
        <w:spacing w:after="0" w:line="92" w:lineRule="exact"/>
        <w:rPr>
          <w:rFonts w:ascii="Arial" w:cs="Arial" w:eastAsia="Arial" w:hAnsi="Arial"/>
          <w:sz w:val="18"/>
          <w:szCs w:val="18"/>
          <w:color w:val="auto"/>
        </w:rPr>
      </w:pPr>
    </w:p>
    <w:p>
      <w:pPr>
        <w:ind w:left="980" w:hanging="538"/>
        <w:spacing w:after="0" w:line="287" w:lineRule="auto"/>
        <w:tabs>
          <w:tab w:leader="none" w:pos="980" w:val="left"/>
        </w:tabs>
        <w:numPr>
          <w:ilvl w:val="1"/>
          <w:numId w:val="741"/>
        </w:numPr>
        <w:rPr>
          <w:rFonts w:ascii="Arial" w:cs="Arial" w:eastAsia="Arial" w:hAnsi="Arial"/>
          <w:sz w:val="16"/>
          <w:szCs w:val="16"/>
          <w:color w:val="auto"/>
        </w:rPr>
      </w:pPr>
      <w:r>
        <w:rPr>
          <w:rFonts w:ascii="Arial" w:cs="Arial" w:eastAsia="Arial" w:hAnsi="Arial"/>
          <w:sz w:val="16"/>
          <w:szCs w:val="16"/>
          <w:color w:val="auto"/>
        </w:rPr>
        <w:t>For the avoidance of doubt, the Initial Purchasers may agree to overallot in arranging subscriptions, sales and purchases of the Notes and to reallocate such positions among themselves in proportion to each Initial Purchaser’s Purchase Percentage, and the Initial Purchasers may subsequently make purchases and sales of the Notes, in addition to their respective Purchase Percentage, in the open market or otherwise, on such terms as each Initial Purchaser may deem advisable. All such purchases, sales and overallotments shall be made in accordance with applicable laws and regulations. Each Initial Purchaser shall be responsible for managing its individual long or short position arising from such aforementioned reallocation (the “</w:t>
      </w:r>
      <w:r>
        <w:rPr>
          <w:rFonts w:ascii="Arial" w:cs="Arial" w:eastAsia="Arial" w:hAnsi="Arial"/>
          <w:sz w:val="16"/>
          <w:szCs w:val="16"/>
          <w:b w:val="1"/>
          <w:bCs w:val="1"/>
          <w:color w:val="auto"/>
        </w:rPr>
        <w:t>Individual Position</w:t>
      </w:r>
      <w:r>
        <w:rPr>
          <w:rFonts w:ascii="Arial" w:cs="Arial" w:eastAsia="Arial" w:hAnsi="Arial"/>
          <w:sz w:val="16"/>
          <w:szCs w:val="16"/>
          <w:color w:val="auto"/>
        </w:rPr>
        <w:t>”) and may cover any short position, sell any long position and/or engage in hedging activity in respect of its Individual Position. Each Initial Purchaser shall be liable for any loss, or entitled to any profit, arising from the management of its own Individual Position and, for the avoidance of doubt, no Initial Purchaser shall be liable for any loss, or entitled to any profit, arising from the management of the Individual Position of any other Initial Purchaser. “</w:t>
      </w:r>
      <w:r>
        <w:rPr>
          <w:rFonts w:ascii="Arial" w:cs="Arial" w:eastAsia="Arial" w:hAnsi="Arial"/>
          <w:sz w:val="16"/>
          <w:szCs w:val="16"/>
          <w:b w:val="1"/>
          <w:bCs w:val="1"/>
          <w:color w:val="auto"/>
        </w:rPr>
        <w:t>Purchase Percentage</w:t>
      </w:r>
      <w:r>
        <w:rPr>
          <w:rFonts w:ascii="Arial" w:cs="Arial" w:eastAsia="Arial" w:hAnsi="Arial"/>
          <w:sz w:val="16"/>
          <w:szCs w:val="16"/>
          <w:color w:val="auto"/>
        </w:rPr>
        <w:t>” with respect to each series of Notes means the principal amount of such series of Notes subscribed by the relevant Initial Purchaser as a percentage of the aggregate principal amount of such series of Notes issued.</w:t>
      </w:r>
    </w:p>
    <w:p>
      <w:pPr>
        <w:spacing w:after="0" w:line="64" w:lineRule="exact"/>
        <w:rPr>
          <w:rFonts w:ascii="Arial" w:cs="Arial" w:eastAsia="Arial" w:hAnsi="Arial"/>
          <w:sz w:val="16"/>
          <w:szCs w:val="16"/>
          <w:color w:val="auto"/>
        </w:rPr>
      </w:pPr>
    </w:p>
    <w:p>
      <w:pPr>
        <w:ind w:left="240" w:hanging="236"/>
        <w:spacing w:after="0"/>
        <w:tabs>
          <w:tab w:leader="none" w:pos="24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Clause 7(2) shall be deemed to be deleted in its entirety and replaced with the following:</w:t>
      </w:r>
    </w:p>
    <w:p>
      <w:pPr>
        <w:spacing w:after="0" w:line="131" w:lineRule="exact"/>
        <w:rPr>
          <w:sz w:val="20"/>
          <w:szCs w:val="20"/>
          <w:color w:val="auto"/>
        </w:rPr>
      </w:pPr>
    </w:p>
    <w:p>
      <w:pPr>
        <w:ind w:left="980" w:right="80" w:hanging="539"/>
        <w:spacing w:after="0" w:line="257" w:lineRule="auto"/>
        <w:tabs>
          <w:tab w:leader="none" w:pos="960" w:val="left"/>
        </w:tabs>
        <w:rPr>
          <w:sz w:val="20"/>
          <w:szCs w:val="20"/>
          <w:color w:val="auto"/>
        </w:rPr>
      </w:pPr>
      <w:r>
        <w:rPr>
          <w:rFonts w:ascii="Arial" w:cs="Arial" w:eastAsia="Arial" w:hAnsi="Arial"/>
          <w:sz w:val="18"/>
          <w:szCs w:val="18"/>
          <w:color w:val="auto"/>
        </w:rPr>
        <w:t>“(2)</w:t>
        <w:tab/>
        <w:t xml:space="preserve">The Initial Purchasers agree that all fees and expenses that are the joint responsibility of the Initial Purchasers and payable by the Initial Purchasers, and any out-of-pocket expenses that are the joint responsibility of the Initial Purchasers and reimbursable but not reimbursed by the Issuer, shall be aggregated and allocated among the Initial Purchasers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their respective Commitments and each Initial Purchaser authorizes the Settlement Lead Manager to charge or credit each Initial Purchaser’s account for its proportional share of such fees and expenses.; “</w:t>
      </w:r>
    </w:p>
    <w:p>
      <w:pPr>
        <w:spacing w:after="0" w:line="80" w:lineRule="exact"/>
        <w:rPr>
          <w:sz w:val="20"/>
          <w:szCs w:val="20"/>
          <w:color w:val="auto"/>
        </w:rPr>
      </w:pPr>
    </w:p>
    <w:p>
      <w:pPr>
        <w:ind w:left="260" w:hanging="256"/>
        <w:spacing w:after="0"/>
        <w:tabs>
          <w:tab w:leader="none" w:pos="26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Clause 8 shall be deemed to be deleted in its entirety;</w:t>
      </w:r>
    </w:p>
    <w:p>
      <w:pPr>
        <w:spacing w:after="0" w:line="117" w:lineRule="exact"/>
        <w:rPr>
          <w:rFonts w:ascii="Arial" w:cs="Arial" w:eastAsia="Arial" w:hAnsi="Arial"/>
          <w:sz w:val="18"/>
          <w:szCs w:val="18"/>
          <w:color w:val="auto"/>
        </w:rPr>
      </w:pPr>
    </w:p>
    <w:p>
      <w:pPr>
        <w:ind w:left="240" w:hanging="236"/>
        <w:spacing w:after="0"/>
        <w:tabs>
          <w:tab w:leader="none" w:pos="24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The definition of “Commitments” shall be deleted in its entirety and replaced with the following:</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means, for the purposes of Clauses 3, 6, 7 and 10, the fee allocation proportion paid to each of the Initial Purchasers under this Agreement and any related fee letters, and for the purposes of all other clauses of this Agreement, the amounts severally underwritten by the Initial Purchasers as set out in the Purchase Agreement.”; and</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0"/>
          </w:cols>
          <w:pgMar w:left="880" w:top="273" w:right="479" w:bottom="1440" w:gutter="0" w:footer="0" w:header="0"/>
        </w:sectPr>
      </w:pPr>
    </w:p>
    <w:bookmarkStart w:id="549" w:name="page550"/>
    <w:bookmarkEnd w:id="549"/>
    <w:p>
      <w:pPr>
        <w:ind w:right="920" w:firstLine="444"/>
        <w:spacing w:after="0" w:line="342" w:lineRule="auto"/>
        <w:tabs>
          <w:tab w:leader="none" w:pos="665" w:val="left"/>
        </w:tabs>
        <w:numPr>
          <w:ilvl w:val="0"/>
          <w:numId w:val="7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Singapore Branch shall act as representative of each of them for administrative purposes (in such capacity, the “</w:t>
      </w:r>
      <w:r>
        <w:rPr>
          <w:rFonts w:ascii="Arial" w:cs="Arial" w:eastAsia="Arial" w:hAnsi="Arial"/>
          <w:sz w:val="16"/>
          <w:szCs w:val="16"/>
          <w:b w:val="1"/>
          <w:bCs w:val="1"/>
          <w:color w:val="auto"/>
        </w:rPr>
        <w:t>Representative</w:t>
      </w:r>
      <w:r>
        <w:rPr>
          <w:rFonts w:ascii="Arial" w:cs="Arial" w:eastAsia="Arial" w:hAnsi="Arial"/>
          <w:sz w:val="16"/>
          <w:szCs w:val="16"/>
          <w:color w:val="auto"/>
        </w:rPr>
        <w:t>”). Where there are any inconsistencies between this Agreement and the AAM, the terms of this Agreement shall prevail.</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of Initial Purchasers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If any Initial Purchaser or Initial Purchasers default in their obligations to purchase Notes hereunder at the Closing Time and the principal amount of Notes that such defaulting Initial Purchaser or Initial Purchasers agreed but failed to purchase does not exceed 10% of the aggregate principal amount of Notes that the Initial Purchasers are obligated to purchase at such Closing Time, the Representative may make arrangements satisfactory to the Issuer for the purchase of such Notes by other persons, including any of the Initial Purchasers, but if no such arrangements are made by such Closing Time, the non-defaulting Initial Purchasers shall be obligated severally, in proportion to their respective commitments hereunder, to purchase the Notes that such defaulting Initial Purchasers agreed but failed to purchase at such Closing Time. If any Initial Purchaser or Initial Purchasers so default and the principal amount of Notes with respect to which such default or defaults occur exceeds 10% of the aggregate principal amount of Notes that the Initial Purchasers are obligated to purchase at such Closing Time and arrangements satisfactory to the Representative and the Issuer for the purchase of such Notes by other persons are not made within 36 hours after such default, this Agreement will terminate without liability on the part of any non-defaulting Initial Purchaser or the Issuer, except as provided in Section 12 hereof. As used in this Agreement, the term “</w:t>
      </w:r>
      <w:r>
        <w:rPr>
          <w:rFonts w:ascii="Arial" w:cs="Arial" w:eastAsia="Arial" w:hAnsi="Arial"/>
          <w:sz w:val="16"/>
          <w:szCs w:val="16"/>
          <w:b w:val="1"/>
          <w:bCs w:val="1"/>
          <w:color w:val="auto"/>
        </w:rPr>
        <w:t>Initial Purchaser</w:t>
      </w:r>
      <w:r>
        <w:rPr>
          <w:rFonts w:ascii="Arial" w:cs="Arial" w:eastAsia="Arial" w:hAnsi="Arial"/>
          <w:sz w:val="16"/>
          <w:szCs w:val="16"/>
          <w:color w:val="auto"/>
        </w:rPr>
        <w:t>” includes any person substituted for an Initial Purchaser under this Section 10. Nothing herein will relieve a defaulting Initial Purchaser from liability for its default.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All representations, warranties and agreements contained in this Agreement or in certificates of officers of the Issuer and the Subsidiary Guarantors submitted pursuant hereto shall remain operative and in full force and effect, regardless of any investigation made by or on behalf of any Initial Purchaser or controlling person, or by or on behalf of the Issuer or any of the Subsidiary Guarantors, and shall survive delivery of the Notes to the Initial Purchasers.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550" w:name="page551"/>
    <w:bookmarkEnd w:id="5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1"/>
          <w:numId w:val="7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Prior to the Closing Time, this Agreement may be terminated by the Initial Purchasers by notice given to the Issuer if at</w:t>
      </w:r>
    </w:p>
    <w:p>
      <w:pPr>
        <w:spacing w:after="0" w:line="46"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any time: (i) trading in securities generally on the New York Stock Exchange, NASDAQ, the Hong Kong Stock Exchange, the London Stock Exchange or the SGX-ST shall have been suspended or materially limited, or minimum or maximum prices shall have been generally established on any of such stock exchanges by the Commission or the SGX-ST, or maximum ranges for prices shall have been required by any of said exchanges or by such system or by order of the Commission or any other governmental authority in the United States or otherwise or a material disruption has occurred in commercial banking or securities, settlement or clearance services with respect to DTC in the United States or with respect to Euroclear and Clearstream in Europe; (ii) a general banking moratorium shall have been declared by any of federal, New York, British Virgin Islands, Macau, Hong Kong, Singapore or European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or currency exchange rates or exchange controls, in each case the effect of which is such as to make it, in the judgment of the Initial Purchasers, impracticable or inadvisable to market the Notes in the manner and on the terms described in the Offering Memorandum or to enforce contracts for the sale of the Notes; (iv) in the judgment of the Initial Purchasers there shall have occurred any Material Adverse Change; or (v) the Issuer and its subsidiaries shall have sustained a loss by strike, fire, flood, earthquake, accident or other calamity of such character as in the judgment of the Initial Purchasers may interfere materially with the conduct of the business and operations of the Issuer and its subsidiaries taken as a whole regardless of whether or not such loss shall have been insured; provided that in the case of</w:t>
      </w:r>
    </w:p>
    <w:p>
      <w:pPr>
        <w:spacing w:after="0" w:line="9" w:lineRule="exact"/>
        <w:rPr>
          <w:rFonts w:ascii="Arial" w:cs="Arial" w:eastAsia="Arial" w:hAnsi="Arial"/>
          <w:sz w:val="16"/>
          <w:szCs w:val="16"/>
          <w:color w:val="auto"/>
        </w:rPr>
      </w:pPr>
    </w:p>
    <w:p>
      <w:pPr>
        <w:ind w:left="300" w:hanging="296"/>
        <w:spacing w:after="0"/>
        <w:tabs>
          <w:tab w:leader="none" w:pos="30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or (v), any such change or loss shall have occurred from and after the date of this Agreement and prior to the Closing Date.</w:t>
      </w:r>
    </w:p>
    <w:p>
      <w:pPr>
        <w:spacing w:after="0" w:line="102" w:lineRule="exact"/>
        <w:rPr>
          <w:rFonts w:ascii="Arial" w:cs="Arial" w:eastAsia="Arial" w:hAnsi="Arial"/>
          <w:sz w:val="18"/>
          <w:szCs w:val="18"/>
          <w:color w:val="auto"/>
        </w:rPr>
      </w:pPr>
    </w:p>
    <w:p>
      <w:pPr>
        <w:ind w:right="360" w:firstLine="444"/>
        <w:spacing w:after="0" w:line="277" w:lineRule="auto"/>
        <w:tabs>
          <w:tab w:leader="none" w:pos="695" w:val="left"/>
        </w:tabs>
        <w:numPr>
          <w:ilvl w:val="1"/>
          <w:numId w:val="746"/>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12,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Sections 7 and 8 hereof shall survive such termination and remain in full force and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Reimbursement of Initial Purchasers’ Expenses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If the sale to the Initial Purchasers of the Notes on the Closing Date pursuant to this Agreement is not consummated because of any refusal, inability or failure on the part of the Issuer or any of the Subsidiary Guarantors to perform any agreement herein or to comply with any provision hereof (provided that the occurrence of any event under Section 12 or failure to satisfy any condition under Section 5 shall not be deemed as any refusal, inability or failure on the part of the Issuer), the Issuer agrees to reimburse the Initial Purchasers (or such Initial Purchasers as have terminated this Agreement with respect to themselves), severally, upon demand for all reasonable expenses as set forth in Section 4 hereof and the legal fees and expenses incurred by the Initial Purchasers.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All notices and other communications hereunder shall be in writing and shall be deemed to have been duly given upon receipt if mailed, delivered or transmitted by telefax at the address set forth below:</w:t>
      </w:r>
    </w:p>
    <w:p>
      <w:pPr>
        <w:spacing w:after="0" w:line="76" w:lineRule="exact"/>
        <w:rPr>
          <w:sz w:val="20"/>
          <w:szCs w:val="20"/>
          <w:color w:val="auto"/>
        </w:rPr>
      </w:pPr>
    </w:p>
    <w:p>
      <w:pPr>
        <w:ind w:left="860" w:hanging="424"/>
        <w:spacing w:after="0"/>
        <w:tabs>
          <w:tab w:leader="none" w:pos="86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if to the Initial Purchasers:</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c/o the Representative</w:t>
      </w:r>
    </w:p>
    <w:p>
      <w:pPr>
        <w:spacing w:after="0" w:line="23" w:lineRule="exact"/>
        <w:rPr>
          <w:rFonts w:ascii="Arial" w:cs="Arial" w:eastAsia="Arial" w:hAnsi="Arial"/>
          <w:sz w:val="18"/>
          <w:szCs w:val="18"/>
          <w:color w:val="auto"/>
        </w:rPr>
      </w:pPr>
    </w:p>
    <w:p>
      <w:pPr>
        <w:ind w:left="880" w:right="7340"/>
        <w:spacing w:after="0" w:line="250" w:lineRule="auto"/>
        <w:rPr>
          <w:rFonts w:ascii="Arial" w:cs="Arial" w:eastAsia="Arial" w:hAnsi="Arial"/>
          <w:sz w:val="18"/>
          <w:szCs w:val="18"/>
          <w:color w:val="auto"/>
        </w:rPr>
      </w:pPr>
      <w:r>
        <w:rPr>
          <w:rFonts w:ascii="Arial" w:cs="Arial" w:eastAsia="Arial" w:hAnsi="Arial"/>
          <w:sz w:val="18"/>
          <w:szCs w:val="18"/>
          <w:color w:val="auto"/>
        </w:rPr>
        <w:t>Deutsche Bank AG, Singapore Branch One Raffles Quay</w:t>
      </w:r>
    </w:p>
    <w:p>
      <w:pPr>
        <w:ind w:left="880" w:right="8640"/>
        <w:spacing w:after="0" w:line="323" w:lineRule="auto"/>
        <w:rPr>
          <w:rFonts w:ascii="Arial" w:cs="Arial" w:eastAsia="Arial" w:hAnsi="Arial"/>
          <w:sz w:val="18"/>
          <w:szCs w:val="18"/>
          <w:color w:val="auto"/>
        </w:rPr>
      </w:pPr>
      <w:r>
        <w:rPr>
          <w:rFonts w:ascii="Arial" w:cs="Arial" w:eastAsia="Arial" w:hAnsi="Arial"/>
          <w:sz w:val="16"/>
          <w:szCs w:val="16"/>
          <w:color w:val="auto"/>
        </w:rPr>
        <w:t>#17-00 South Tower Singapore 048583</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551" w:name="page552"/>
    <w:bookmarkEnd w:id="55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 +65 6423 5342</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Global Risk Syndicate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+65 6883 1769</w:t>
      </w:r>
    </w:p>
    <w:p>
      <w:pPr>
        <w:spacing w:after="0" w:line="116" w:lineRule="exact"/>
        <w:rPr>
          <w:sz w:val="20"/>
          <w:szCs w:val="20"/>
          <w:color w:val="auto"/>
        </w:rPr>
      </w:pPr>
    </w:p>
    <w:p>
      <w:pPr>
        <w:ind w:left="860" w:hanging="424"/>
        <w:spacing w:after="0"/>
        <w:tabs>
          <w:tab w:leader="none" w:pos="86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if to the Issuer and the Subsidiary Guarantors:</w:t>
      </w:r>
    </w:p>
    <w:p>
      <w:pPr>
        <w:spacing w:after="0" w:line="117" w:lineRule="exact"/>
        <w:rPr>
          <w:rFonts w:ascii="Arial" w:cs="Arial" w:eastAsia="Arial" w:hAnsi="Arial"/>
          <w:sz w:val="18"/>
          <w:szCs w:val="18"/>
          <w:color w:val="auto"/>
        </w:rPr>
      </w:pPr>
    </w:p>
    <w:p>
      <w:pPr>
        <w:ind w:left="880" w:right="8020"/>
        <w:spacing w:after="0" w:line="279" w:lineRule="auto"/>
        <w:rPr>
          <w:rFonts w:ascii="Arial" w:cs="Arial" w:eastAsia="Arial" w:hAnsi="Arial"/>
          <w:sz w:val="18"/>
          <w:szCs w:val="18"/>
          <w:color w:val="auto"/>
        </w:rPr>
      </w:pPr>
      <w:r>
        <w:rPr>
          <w:rFonts w:ascii="Arial" w:cs="Arial" w:eastAsia="Arial" w:hAnsi="Arial"/>
          <w:sz w:val="17"/>
          <w:szCs w:val="17"/>
          <w:color w:val="auto"/>
        </w:rPr>
        <w:t>Studio City Finance Limited Jayla Place, Wickhams Cay I Road Town, Tortola British Virgin Islands</w:t>
      </w:r>
    </w:p>
    <w:p>
      <w:pPr>
        <w:spacing w:after="0" w:line="6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17" w:lineRule="exact"/>
        <w:rPr>
          <w:rFonts w:ascii="Arial" w:cs="Arial" w:eastAsia="Arial" w:hAnsi="Arial"/>
          <w:sz w:val="18"/>
          <w:szCs w:val="18"/>
          <w:color w:val="auto"/>
        </w:rPr>
      </w:pPr>
    </w:p>
    <w:p>
      <w:pPr>
        <w:ind w:left="880" w:right="7000"/>
        <w:spacing w:after="0" w:line="258" w:lineRule="auto"/>
        <w:rPr>
          <w:rFonts w:ascii="Arial" w:cs="Arial" w:eastAsia="Arial" w:hAnsi="Arial"/>
          <w:sz w:val="18"/>
          <w:szCs w:val="18"/>
          <w:color w:val="auto"/>
        </w:rPr>
      </w:pPr>
      <w:r>
        <w:rPr>
          <w:rFonts w:ascii="Arial" w:cs="Arial" w:eastAsia="Arial" w:hAnsi="Arial"/>
          <w:sz w:val="18"/>
          <w:szCs w:val="18"/>
          <w:color w:val="auto"/>
        </w:rPr>
        <w:t>Studio City International Holdings Limited 36/F, The Centrium</w:t>
      </w:r>
    </w:p>
    <w:p>
      <w:pPr>
        <w:spacing w:after="0" w:line="1" w:lineRule="exact"/>
        <w:rPr>
          <w:rFonts w:ascii="Arial" w:cs="Arial" w:eastAsia="Arial" w:hAnsi="Arial"/>
          <w:sz w:val="18"/>
          <w:szCs w:val="18"/>
          <w:color w:val="auto"/>
        </w:rPr>
      </w:pPr>
    </w:p>
    <w:p>
      <w:pPr>
        <w:jc w:val="both"/>
        <w:ind w:left="880" w:right="8640"/>
        <w:spacing w:after="0" w:line="323" w:lineRule="auto"/>
        <w:rPr>
          <w:rFonts w:ascii="Arial" w:cs="Arial" w:eastAsia="Arial" w:hAnsi="Arial"/>
          <w:sz w:val="18"/>
          <w:szCs w:val="18"/>
          <w:color w:val="auto"/>
        </w:rPr>
      </w:pPr>
      <w:r>
        <w:rPr>
          <w:rFonts w:ascii="Arial" w:cs="Arial" w:eastAsia="Arial" w:hAnsi="Arial"/>
          <w:sz w:val="16"/>
          <w:szCs w:val="16"/>
          <w:color w:val="auto"/>
        </w:rPr>
        <w:t>60 Wyndham Street Central, Hong Kong</w:t>
      </w:r>
    </w:p>
    <w:p>
      <w:pPr>
        <w:spacing w:after="0" w:line="3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Telephone: 852 2598 3600</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Attention: Company Secretary</w:t>
      </w:r>
    </w:p>
    <w:p>
      <w:pPr>
        <w:spacing w:after="0" w:line="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Facsimile: 853 8867 0632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This Agreement shall inure to the benefit of and be binding upon the Initial Purchasers, the Issuer, the Subsidiary Guarantors and their respective successors. Nothing expressed or mentioned in this Agreement is intended or shall be construed to give any person, firm or corporation, other than the Initial Purchasers, the Issuer, the Subsidiary Guarantors and their respective successors and the controlling persons and officers and directors referred to in Sections 7 and 8 hereof and their heirs and legal representatives, any legal or equitable right, remedy or claim under or in respect of this Agreement or any provision herein contained. This Agreement and all conditions and provisions hereof are intended to be for the sole and exclusive benefit of the Initial Purchasers, the Issuer, the Subsidiary Guarantors and their respective successors, and said controlling persons and officers and directors and their heirs and legal representatives, and for the benefit of no other person, firm or corporation. No purchaser of Notes from any Initial Purchaser shall be deemed to be a successor by reason merely of such purchase.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This Agreement may be signed in two or more counterparts, each of which shall be an original, with the same effect as if the signatures thereto and hereto were upon the same instrument.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Each of the Issuer and the Subsidiary Guarantors acknowledges and agrees that:</w:t>
      </w:r>
    </w:p>
    <w:p>
      <w:pPr>
        <w:spacing w:after="0" w:line="117" w:lineRule="exact"/>
        <w:rPr>
          <w:sz w:val="20"/>
          <w:szCs w:val="20"/>
          <w:color w:val="auto"/>
        </w:rPr>
      </w:pPr>
    </w:p>
    <w:p>
      <w:pPr>
        <w:ind w:right="80" w:firstLine="444"/>
        <w:spacing w:after="0" w:line="259" w:lineRule="auto"/>
        <w:tabs>
          <w:tab w:leader="none" w:pos="685" w:val="left"/>
        </w:tabs>
        <w:numPr>
          <w:ilvl w:val="0"/>
          <w:numId w:val="749"/>
        </w:numPr>
        <w:rPr>
          <w:rFonts w:ascii="Arial" w:cs="Arial" w:eastAsia="Arial" w:hAnsi="Arial"/>
          <w:sz w:val="18"/>
          <w:szCs w:val="18"/>
          <w:color w:val="auto"/>
        </w:rPr>
      </w:pPr>
      <w:r>
        <w:rPr>
          <w:rFonts w:ascii="Arial" w:cs="Arial" w:eastAsia="Arial" w:hAnsi="Arial"/>
          <w:sz w:val="18"/>
          <w:szCs w:val="18"/>
          <w:i w:val="1"/>
          <w:iCs w:val="1"/>
          <w:color w:val="auto"/>
        </w:rPr>
        <w:t>No Other Relationship</w:t>
      </w:r>
      <w:r>
        <w:rPr>
          <w:rFonts w:ascii="Arial" w:cs="Arial" w:eastAsia="Arial" w:hAnsi="Arial"/>
          <w:sz w:val="18"/>
          <w:szCs w:val="18"/>
          <w:color w:val="auto"/>
        </w:rPr>
        <w:t>. The Initial Purchasers have been retained solely to act as the initial purchasers of the Notes and that no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or agency relationship between the Issuer, the Subsidiary Guarantors and the Initial Purchasers has been created in respect of any of the transactions contemplated by this Agreement, the Disclosure Package or the Final Offering Memorandum, irrespective of whether the Initial Purchasers have advised or are advising the Issuer, the Subsidiary Guarantors on other matters;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552" w:name="page553"/>
    <w:bookmarkEnd w:id="552"/>
    <w:p>
      <w:pPr>
        <w:ind w:right="280" w:firstLine="444"/>
        <w:spacing w:after="0" w:line="312" w:lineRule="auto"/>
        <w:tabs>
          <w:tab w:leader="none" w:pos="692" w:val="left"/>
        </w:tabs>
        <w:numPr>
          <w:ilvl w:val="0"/>
          <w:numId w:val="75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Arms’ Length Negotiations</w:t>
      </w:r>
      <w:r>
        <w:rPr>
          <w:rFonts w:ascii="Arial" w:cs="Arial" w:eastAsia="Arial" w:hAnsi="Arial"/>
          <w:sz w:val="16"/>
          <w:szCs w:val="16"/>
          <w:color w:val="auto"/>
        </w:rPr>
        <w:t>. The price of the Notes set forth in this Agreement was established by the Issuer and the Subsidiary Guarantors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discussions and arms-length negotiations with the Initial Purchasers and each of the Issuer and the Subsidiary Guarantors is capable of evaluating and understanding and understands and accepts the terms, risks and conditions of the transactions contemplated by this Agreement;</w:t>
      </w:r>
    </w:p>
    <w:p>
      <w:pPr>
        <w:spacing w:after="0" w:line="38" w:lineRule="exact"/>
        <w:rPr>
          <w:rFonts w:ascii="Arial" w:cs="Arial" w:eastAsia="Arial" w:hAnsi="Arial"/>
          <w:sz w:val="16"/>
          <w:szCs w:val="16"/>
          <w:color w:val="auto"/>
        </w:rPr>
      </w:pPr>
    </w:p>
    <w:p>
      <w:pPr>
        <w:ind w:right="40" w:firstLine="444"/>
        <w:spacing w:after="0" w:line="259" w:lineRule="auto"/>
        <w:tabs>
          <w:tab w:leader="none" w:pos="682" w:val="left"/>
        </w:tabs>
        <w:numPr>
          <w:ilvl w:val="0"/>
          <w:numId w:val="750"/>
        </w:numPr>
        <w:rPr>
          <w:rFonts w:ascii="Arial" w:cs="Arial" w:eastAsia="Arial" w:hAnsi="Arial"/>
          <w:sz w:val="18"/>
          <w:szCs w:val="18"/>
          <w:color w:val="auto"/>
        </w:rPr>
      </w:pPr>
      <w:r>
        <w:rPr>
          <w:rFonts w:ascii="Arial" w:cs="Arial" w:eastAsia="Arial" w:hAnsi="Arial"/>
          <w:sz w:val="18"/>
          <w:szCs w:val="18"/>
          <w:i w:val="1"/>
          <w:iCs w:val="1"/>
          <w:color w:val="auto"/>
        </w:rPr>
        <w:t>Absence of Obligation to Disclose</w:t>
      </w:r>
      <w:r>
        <w:rPr>
          <w:rFonts w:ascii="Arial" w:cs="Arial" w:eastAsia="Arial" w:hAnsi="Arial"/>
          <w:sz w:val="18"/>
          <w:szCs w:val="18"/>
          <w:color w:val="auto"/>
        </w:rPr>
        <w:t>. Each of the Issuer and the Subsidiary Guarantors has been advised that the Initial Purchasers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are engaged in a broad range of transactions which may involve interests that differ from or conflict with those of the Issuer and the Subsidiary Guarantors and that the Initial Purchasers have no obligation to disclose such interests and transactions to the Issuer and the Subsidiary Guarantors by virtue of any fiduciary, advisory or agency relationship; and</w:t>
      </w:r>
    </w:p>
    <w:p>
      <w:pPr>
        <w:spacing w:after="0" w:line="78" w:lineRule="exact"/>
        <w:rPr>
          <w:rFonts w:ascii="Arial" w:cs="Arial" w:eastAsia="Arial" w:hAnsi="Arial"/>
          <w:sz w:val="18"/>
          <w:szCs w:val="18"/>
          <w:color w:val="auto"/>
        </w:rPr>
      </w:pPr>
    </w:p>
    <w:p>
      <w:pPr>
        <w:ind w:right="80" w:firstLine="444"/>
        <w:spacing w:after="0" w:line="257" w:lineRule="auto"/>
        <w:tabs>
          <w:tab w:leader="none" w:pos="695" w:val="left"/>
        </w:tabs>
        <w:numPr>
          <w:ilvl w:val="0"/>
          <w:numId w:val="750"/>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Each of the Issuer and the Subsidiary Guarantors waives, to the fullest extent permitted by law, any claims it may have against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Purchasers for breach of fiduciary duty or alleged breach of fiduciary duty and agrees that the Initial Purchasers shall have no liability (whether direct or indirect) to the Issuer and the Subsidiary Guarantors in respect of such a fiduciary duty claim or to any person asserting a fiduciary duty claim on behalf of or in right of the Issuer and the Subsidiary Guarantors, including shareholders, employees or creditors of the Issuer and the Subsidiary Guarantors.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To the extent that the Issuer and any of the Subsidiary Guarantors have or hereafter may acquire any immunity (sovereign or otherwise) from any legal action, suit or proceeding, from jurisdiction of any court or from set-off or any legal process (whether service or notice, attachment in aid or otherwise) with respect to themselves or any of their respective properties, each of the Issuer and the Subsidiary Guarantors hereby irrevocably waives and agrees not to plead or claim such immunity in respect of their respective obligations under this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Each of the Issuer and the Subsidiary Guarantors hereby submits to the non-exclusive jurisdiction of the federal and state courts in the Borough of Manhattan in The City of New York in any suit or proceeding arising out of or relating to this Agreement or the transactions contemplated hereby. Each of the Issuer and the Subsidiary Guarantors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Each of the Issuer and the Subsidiary Guarantors irrevocably appoints Law Debenture Corporate Services Inc., 801 2</w:t>
      </w:r>
      <w:r>
        <w:rPr>
          <w:rFonts w:ascii="Arial" w:cs="Arial" w:eastAsia="Arial" w:hAnsi="Arial"/>
          <w:sz w:val="14"/>
          <w:szCs w:val="14"/>
          <w:color w:val="auto"/>
        </w:rPr>
        <w:t>nd</w:t>
      </w:r>
      <w:r>
        <w:rPr>
          <w:rFonts w:ascii="Arial" w:cs="Arial" w:eastAsia="Arial" w:hAnsi="Arial"/>
          <w:sz w:val="17"/>
          <w:szCs w:val="17"/>
          <w:color w:val="auto"/>
        </w:rPr>
        <w:t xml:space="preserve"> Avenue, Suite 403, New York, New York 10017, as its authorized agent in the Borough of Manhattan in The City of New York upon which process may be served in any such suit or proceeding, and agrees that service of process upon such agent, and written notice of said service to the Issuer or any of the Subsidiary Guarantors by the person serving the same to the address provided in Section 14, shall be deemed in every respect effective service of process upon the Issuer and such Subsidiary Guarantor in any such suit or proceeding. Each of the Issuer and the Subsidiary Guarantors further agrees to take any and all action as may be necessary to maintain such designation and appointment of such agent in full force and effect for a period of five years from the date of this Agreement.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3" w:right="499" w:bottom="1440" w:gutter="0" w:footer="0" w:header="0"/>
        </w:sectPr>
      </w:pPr>
    </w:p>
    <w:bookmarkStart w:id="553" w:name="page554"/>
    <w:bookmarkEnd w:id="553"/>
    <w:p>
      <w:pPr>
        <w:ind w:right="60"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Issuer and each of the Subsidiary Guarantors pursuant to this Agreement in respect of any sum due to any Initial Purchaser shall, notwithstanding any judgment in a currency other than U.S. dollars, not be discharged until the first business day, following receipt by such Initial Purchaser of any sum adjudged to be so due in such other currency, on which (and only to the extent that) such Initial Purchaser may in accordance with normal banking procedures purchase U.S. dollars with such other currency; if the U.S. dollars so purchased are less than the sum originally due to such Initial Purchaser hereunder, each of the Issuer and the Subsidiary Guarantors, jointly and severally, as a separate obligation and notwithstanding any such judgment, to indemnify such Initial Purchaser against such loss. If the U.S. dollars so purchased are greater than the sum originally due to such Initial Purchaser hereunder, such Initial Purchaser agrees to pay to the Issuer and the Subsidiary Guarantors an amount equal to the excess of the dollars so purchased over the sum originally due to such Initial Purchaser hereunder.</w:t>
      </w:r>
    </w:p>
    <w:p>
      <w:pPr>
        <w:spacing w:after="0" w:line="179"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its rights to a jury trial of any claim or cause of action based upon or arising out of this Agreement or the subject matter hereof.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20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Agreement. In the event of litigation, this Agreement may be filed as a written consent to a trial (without a jury) by the court.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of Headings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section headings herein are for convenience only and shall not affect the construction hereof.</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Issuer a counterpart hereof, whereupon this instrument, along with all counterparts, will become a binding agreement between each of the Initial Purchasers and the Issuer and each of the Subsidiary Guarantors in accordance with its terms.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3" w:right="439" w:bottom="1440" w:gutter="0" w:footer="0" w:header="0"/>
        </w:sectPr>
      </w:pPr>
    </w:p>
    <w:bookmarkStart w:id="554" w:name="page555"/>
    <w:bookmarkEnd w:id="554"/>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Pages to Follow]</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019"/>
          </w:cols>
          <w:pgMar w:left="1440" w:top="274" w:right="1440" w:bottom="1440" w:gutter="0" w:footer="0" w:header="0"/>
          <w:type w:val="continuous"/>
        </w:sectPr>
      </w:pPr>
    </w:p>
    <w:bookmarkStart w:id="555" w:name="page556"/>
    <w:bookmarkEnd w:id="55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ClTY FINANCE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COMPANY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HOLDINGS TWO LIMITED</w:t>
      </w:r>
    </w:p>
    <w:p>
      <w:pPr>
        <w:spacing w:after="0" w:line="237"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 PAGE</w:t>
      </w:r>
      <w:r>
        <w:rPr>
          <w:rFonts w:ascii="Arial" w:cs="Arial" w:eastAsia="Arial" w:hAnsi="Arial"/>
          <w:sz w:val="17"/>
          <w:szCs w:val="17"/>
          <w:color w:val="auto"/>
        </w:rPr>
        <w:t xml:space="preserve"> – P</w:t>
      </w:r>
      <w:r>
        <w:rPr>
          <w:rFonts w:ascii="Arial" w:cs="Arial" w:eastAsia="Arial" w:hAnsi="Arial"/>
          <w:sz w:val="14"/>
          <w:szCs w:val="14"/>
          <w:color w:val="auto"/>
        </w:rPr>
        <w:t>URCHASE</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w:t>
      </w:r>
    </w:p>
    <w:p>
      <w:pPr>
        <w:sectPr>
          <w:pgSz w:w="11900" w:h="16838" w:orient="portrait"/>
          <w:cols w:equalWidth="0" w:num="1">
            <w:col w:w="9019"/>
          </w:cols>
          <w:pgMar w:left="1440" w:top="270" w:right="1440" w:bottom="1440" w:gutter="0" w:footer="0" w:header="0"/>
        </w:sectPr>
      </w:pPr>
    </w:p>
    <w:bookmarkStart w:id="556" w:name="page557"/>
    <w:bookmarkEnd w:id="55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HOLDINGS THREE LIMITED</w:t>
      </w:r>
    </w:p>
    <w:p>
      <w:pPr>
        <w:spacing w:after="0" w:line="237"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ENTERTAINMENT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Evan A.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Evan A. Winkler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 PAGE</w:t>
      </w:r>
      <w:r>
        <w:rPr>
          <w:rFonts w:ascii="Arial" w:cs="Arial" w:eastAsia="Arial" w:hAnsi="Arial"/>
          <w:sz w:val="17"/>
          <w:szCs w:val="17"/>
          <w:color w:val="auto"/>
        </w:rPr>
        <w:t xml:space="preserve"> – P</w:t>
      </w:r>
      <w:r>
        <w:rPr>
          <w:rFonts w:ascii="Arial" w:cs="Arial" w:eastAsia="Arial" w:hAnsi="Arial"/>
          <w:sz w:val="14"/>
          <w:szCs w:val="14"/>
          <w:color w:val="auto"/>
        </w:rPr>
        <w:t>URCHASE</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w:t>
      </w:r>
    </w:p>
    <w:p>
      <w:pPr>
        <w:sectPr>
          <w:pgSz w:w="11900" w:h="16838" w:orient="portrait"/>
          <w:cols w:equalWidth="0" w:num="1">
            <w:col w:w="9120"/>
          </w:cols>
          <w:pgMar w:left="1440" w:top="269" w:right="1339" w:bottom="1440" w:gutter="0" w:footer="0" w:header="0"/>
        </w:sectPr>
      </w:pPr>
    </w:p>
    <w:bookmarkStart w:id="557" w:name="page558"/>
    <w:bookmarkEnd w:id="55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Evan A.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Evan A. Winkler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 PAGE</w:t>
      </w:r>
      <w:r>
        <w:rPr>
          <w:rFonts w:ascii="Arial" w:cs="Arial" w:eastAsia="Arial" w:hAnsi="Arial"/>
          <w:sz w:val="17"/>
          <w:szCs w:val="17"/>
          <w:color w:val="auto"/>
        </w:rPr>
        <w:t xml:space="preserve"> – P</w:t>
      </w:r>
      <w:r>
        <w:rPr>
          <w:rFonts w:ascii="Arial" w:cs="Arial" w:eastAsia="Arial" w:hAnsi="Arial"/>
          <w:sz w:val="14"/>
          <w:szCs w:val="14"/>
          <w:color w:val="auto"/>
        </w:rPr>
        <w:t>URCHASE</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w:t>
      </w:r>
    </w:p>
    <w:p>
      <w:pPr>
        <w:sectPr>
          <w:pgSz w:w="11900" w:h="16838" w:orient="portrait"/>
          <w:cols w:equalWidth="0" w:num="1">
            <w:col w:w="9260"/>
          </w:cols>
          <w:pgMar w:left="1440" w:top="269" w:right="1199" w:bottom="1440" w:gutter="0" w:footer="0" w:header="0"/>
        </w:sectPr>
      </w:pPr>
    </w:p>
    <w:bookmarkStart w:id="558" w:name="page559"/>
    <w:bookmarkEnd w:id="55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DEVELOPMENTS LIMITED</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Subsidiary Guarantor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Anthorized Signatory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 PAGE</w:t>
      </w:r>
      <w:r>
        <w:rPr>
          <w:rFonts w:ascii="Arial" w:cs="Arial" w:eastAsia="Arial" w:hAnsi="Arial"/>
          <w:sz w:val="17"/>
          <w:szCs w:val="17"/>
          <w:color w:val="auto"/>
        </w:rPr>
        <w:t xml:space="preserve"> – P</w:t>
      </w:r>
      <w:r>
        <w:rPr>
          <w:rFonts w:ascii="Arial" w:cs="Arial" w:eastAsia="Arial" w:hAnsi="Arial"/>
          <w:sz w:val="14"/>
          <w:szCs w:val="14"/>
          <w:color w:val="auto"/>
        </w:rPr>
        <w:t>URCHASE</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w:t>
      </w:r>
    </w:p>
    <w:p>
      <w:pPr>
        <w:sectPr>
          <w:pgSz w:w="11900" w:h="16838" w:orient="portrait"/>
          <w:cols w:equalWidth="0" w:num="1">
            <w:col w:w="9080"/>
          </w:cols>
          <w:pgMar w:left="1440" w:top="270" w:right="1379" w:bottom="1440" w:gutter="0" w:footer="0" w:header="0"/>
        </w:sectPr>
      </w:pPr>
    </w:p>
    <w:bookmarkStart w:id="559" w:name="page560"/>
    <w:bookmarkEnd w:id="55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Guarantor</w:t>
      </w:r>
    </w:p>
    <w:p>
      <w:pPr>
        <w:spacing w:after="0" w:line="229"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STUDIO CITY (HK) TWO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152400</wp:posOffset>
            </wp:positionV>
            <wp:extent cx="2461260" cy="21266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1">
                      <a:extLst>
                        <a:ext uri="{28A0092B-C50C-407E-A947-70E740481C1C}"/>
                      </a:extLst>
                    </a:blip>
                    <a:srcRect/>
                    <a:stretch>
                      <a:fillRect/>
                    </a:stretch>
                  </pic:blipFill>
                  <pic:spPr bwMode="auto">
                    <a:xfrm>
                      <a:off x="0" y="0"/>
                      <a:ext cx="246126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 PAGE</w:t>
      </w:r>
      <w:r>
        <w:rPr>
          <w:rFonts w:ascii="Arial" w:cs="Arial" w:eastAsia="Arial" w:hAnsi="Arial"/>
          <w:sz w:val="17"/>
          <w:szCs w:val="17"/>
          <w:color w:val="auto"/>
        </w:rPr>
        <w:t xml:space="preserve"> – P</w:t>
      </w:r>
      <w:r>
        <w:rPr>
          <w:rFonts w:ascii="Arial" w:cs="Arial" w:eastAsia="Arial" w:hAnsi="Arial"/>
          <w:sz w:val="14"/>
          <w:szCs w:val="14"/>
          <w:color w:val="auto"/>
        </w:rPr>
        <w:t>URCHASE</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w:t>
      </w:r>
    </w:p>
    <w:p>
      <w:pPr>
        <w:sectPr>
          <w:pgSz w:w="11900" w:h="16838" w:orient="portrait"/>
          <w:cols w:equalWidth="0" w:num="1">
            <w:col w:w="9019"/>
          </w:cols>
          <w:pgMar w:left="1440" w:top="270" w:right="1440" w:bottom="1440" w:gutter="0" w:footer="0" w:header="0"/>
        </w:sectPr>
      </w:pPr>
    </w:p>
    <w:bookmarkStart w:id="560" w:name="page561"/>
    <w:bookmarkEnd w:id="5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confirmed and accepted as of the date first above written: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SINGAPORE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Gibb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Richard Gibb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Haitham Ghattas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Haitham Ghattas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 PAGE</w:t>
      </w:r>
      <w:r>
        <w:rPr>
          <w:rFonts w:ascii="Arial" w:cs="Arial" w:eastAsia="Arial" w:hAnsi="Arial"/>
          <w:sz w:val="18"/>
          <w:szCs w:val="18"/>
          <w:color w:val="auto"/>
        </w:rPr>
        <w:t xml:space="preserve"> –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3" w:right="1440" w:bottom="1440" w:gutter="0" w:footer="0" w:header="0"/>
        </w:sectPr>
      </w:pPr>
    </w:p>
    <w:bookmarkStart w:id="561" w:name="page562"/>
    <w:bookmarkEnd w:id="5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AUSTRALIA AND NEW ZEALAND BANKING GROUP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Louis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Louis Lim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 DCM Execution</w:t>
      </w:r>
    </w:p>
    <w:p>
      <w:pPr>
        <w:spacing w:after="0" w:line="211"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 PAGE</w:t>
      </w:r>
      <w:r>
        <w:rPr>
          <w:rFonts w:ascii="Arial" w:cs="Arial" w:eastAsia="Arial" w:hAnsi="Arial"/>
          <w:sz w:val="18"/>
          <w:szCs w:val="18"/>
          <w:color w:val="auto"/>
        </w:rPr>
        <w:t xml:space="preserve"> –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562" w:name="page563"/>
    <w:bookmarkEnd w:id="5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COMMUNICATIONS CO., LTD. MACAU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Leng 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Leng San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 PAGE</w:t>
      </w:r>
      <w:r>
        <w:rPr>
          <w:rFonts w:ascii="Arial" w:cs="Arial" w:eastAsia="Arial" w:hAnsi="Arial"/>
          <w:sz w:val="18"/>
          <w:szCs w:val="18"/>
          <w:color w:val="auto"/>
        </w:rPr>
        <w:t xml:space="preserve"> –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3" w:right="1440" w:bottom="1440" w:gutter="0" w:footer="0" w:header="0"/>
        </w:sectPr>
      </w:pPr>
    </w:p>
    <w:bookmarkStart w:id="563" w:name="page564"/>
    <w:bookmarkEnd w:id="5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BOCI ASIA LIMITED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Samson K.M.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Samson K.M. Lee</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Tltle:</w:t>
        <w:tab/>
        <w:t>Managing Director,</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Head of Financial Products Division</w:t>
      </w:r>
    </w:p>
    <w:p>
      <w:pPr>
        <w:spacing w:after="0" w:line="224"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 PAGE</w:t>
      </w:r>
      <w:r>
        <w:rPr>
          <w:rFonts w:ascii="Arial" w:cs="Arial" w:eastAsia="Arial" w:hAnsi="Arial"/>
          <w:sz w:val="18"/>
          <w:szCs w:val="18"/>
          <w:color w:val="auto"/>
        </w:rPr>
        <w:t xml:space="preserve"> –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564" w:name="page565"/>
    <w:bookmarkEnd w:id="5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 (ASIA) LIMITED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Chen Ling</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340" w:type="dxa"/>
            <w:vAlign w:val="bottom"/>
          </w:tcPr>
          <w:p>
            <w:pPr>
              <w:spacing w:after="0"/>
              <w:rPr>
                <w:sz w:val="20"/>
                <w:szCs w:val="20"/>
                <w:color w:val="auto"/>
              </w:rPr>
            </w:pPr>
            <w:r>
              <w:rPr>
                <w:rFonts w:ascii="Arial" w:cs="Arial" w:eastAsia="Arial" w:hAnsi="Arial"/>
                <w:sz w:val="18"/>
                <w:szCs w:val="18"/>
                <w:color w:val="auto"/>
              </w:rPr>
              <w:t>Chen Ling</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Managing Director &amp; Debt Capital Markets Head</w:t>
            </w:r>
          </w:p>
        </w:tc>
      </w:tr>
      <w:tr>
        <w:trPr>
          <w:trHeight w:val="230"/>
        </w:trPr>
        <w:tc>
          <w:tcPr>
            <w:tcW w:w="5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Global Capital Financing Department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146050</wp:posOffset>
            </wp:positionV>
            <wp:extent cx="2787015" cy="9086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2">
                      <a:extLst>
                        <a:ext uri="{28A0092B-C50C-407E-A947-70E740481C1C}"/>
                      </a:extLst>
                    </a:blip>
                    <a:srcRect/>
                    <a:stretch>
                      <a:fillRect/>
                    </a:stretch>
                  </pic:blipFill>
                  <pic:spPr bwMode="auto">
                    <a:xfrm>
                      <a:off x="0" y="0"/>
                      <a:ext cx="27870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head of CR2</w:t>
      </w:r>
    </w:p>
    <w:p>
      <w:pPr>
        <w:spacing w:after="0" w:line="224"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 PAGE</w:t>
      </w:r>
      <w:r>
        <w:rPr>
          <w:rFonts w:ascii="Arial" w:cs="Arial" w:eastAsia="Arial" w:hAnsi="Arial"/>
          <w:sz w:val="18"/>
          <w:szCs w:val="18"/>
          <w:color w:val="auto"/>
        </w:rPr>
        <w:t xml:space="preserve"> –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565" w:name="page566"/>
    <w:bookmarkEnd w:id="5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ICBC (MACAU) CAPITAL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169545</wp:posOffset>
            </wp:positionV>
            <wp:extent cx="2435225" cy="82296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4">
                      <a:extLst>
                        <a:ext uri="{28A0092B-C50C-407E-A947-70E740481C1C}"/>
                      </a:extLst>
                    </a:blip>
                    <a:srcRect/>
                    <a:stretch>
                      <a:fillRect/>
                    </a:stretch>
                  </pic:blipFill>
                  <pic:spPr bwMode="auto">
                    <a:xfrm>
                      <a:off x="0" y="0"/>
                      <a:ext cx="24352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151765</wp:posOffset>
            </wp:positionV>
            <wp:extent cx="2435225" cy="10629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5">
                      <a:extLst>
                        <a:ext uri="{28A0092B-C50C-407E-A947-70E740481C1C}"/>
                      </a:extLst>
                    </a:blip>
                    <a:srcRect/>
                    <a:stretch>
                      <a:fillRect/>
                    </a:stretch>
                  </pic:blipFill>
                  <pic:spPr bwMode="auto">
                    <a:xfrm>
                      <a:off x="0" y="0"/>
                      <a:ext cx="243522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Chairman</w:t>
      </w:r>
    </w:p>
    <w:p>
      <w:pPr>
        <w:spacing w:after="0" w:line="224"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 PAGE</w:t>
      </w:r>
      <w:r>
        <w:rPr>
          <w:rFonts w:ascii="Arial" w:cs="Arial" w:eastAsia="Arial" w:hAnsi="Arial"/>
          <w:sz w:val="18"/>
          <w:szCs w:val="18"/>
          <w:color w:val="auto"/>
        </w:rPr>
        <w:t xml:space="preserve"> – P</w:t>
      </w:r>
      <w:r>
        <w:rPr>
          <w:rFonts w:ascii="Arial" w:cs="Arial" w:eastAsia="Arial" w:hAnsi="Arial"/>
          <w:sz w:val="15"/>
          <w:szCs w:val="15"/>
          <w:color w:val="auto"/>
        </w:rPr>
        <w:t>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3" w:right="1440" w:bottom="1440" w:gutter="0" w:footer="0" w:header="0"/>
        </w:sectPr>
      </w:pPr>
    </w:p>
    <w:bookmarkStart w:id="566" w:name="page567"/>
    <w:bookmarkEnd w:id="5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SECURITIES ASIA LIMITED</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Loong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Andrew Loong</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 PAGE</w:t>
      </w:r>
      <w:r>
        <w:rPr>
          <w:rFonts w:ascii="Arial" w:cs="Arial" w:eastAsia="Arial" w:hAnsi="Arial"/>
          <w:sz w:val="18"/>
          <w:szCs w:val="18"/>
          <w:color w:val="auto"/>
        </w:rPr>
        <w:t xml:space="preserve"> – </w:t>
      </w:r>
      <w:r>
        <w:rPr>
          <w:rFonts w:ascii="Arial" w:cs="Arial" w:eastAsia="Arial" w:hAnsi="Arial"/>
          <w:sz w:val="15"/>
          <w:szCs w:val="15"/>
          <w:color w:val="auto"/>
        </w:rPr>
        <w:t>PURCHASE</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567" w:name="page568"/>
    <w:bookmarkEnd w:id="5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52"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5000" w:type="dxa"/>
            <w:vAlign w:val="bottom"/>
            <w:gridSpan w:val="2"/>
          </w:tcPr>
          <w:p>
            <w:pPr>
              <w:spacing w:after="0"/>
              <w:rPr>
                <w:sz w:val="20"/>
                <w:szCs w:val="20"/>
                <w:color w:val="auto"/>
              </w:rPr>
            </w:pPr>
            <w:r>
              <w:rPr>
                <w:rFonts w:ascii="Arial" w:cs="Arial" w:eastAsia="Arial" w:hAnsi="Arial"/>
                <w:sz w:val="14"/>
                <w:szCs w:val="14"/>
                <w:color w:val="auto"/>
              </w:rPr>
              <w:t>Name of Initial Purchaser</w:t>
            </w:r>
          </w:p>
        </w:tc>
        <w:tc>
          <w:tcPr>
            <w:tcW w:w="2480" w:type="dxa"/>
            <w:vAlign w:val="bottom"/>
            <w:gridSpan w:val="3"/>
          </w:tcPr>
          <w:p>
            <w:pPr>
              <w:ind w:left="880"/>
              <w:spacing w:after="0"/>
              <w:rPr>
                <w:sz w:val="20"/>
                <w:szCs w:val="20"/>
                <w:color w:val="auto"/>
              </w:rPr>
            </w:pPr>
            <w:r>
              <w:rPr>
                <w:rFonts w:ascii="Arial" w:cs="Arial" w:eastAsia="Arial" w:hAnsi="Arial"/>
                <w:sz w:val="14"/>
                <w:szCs w:val="14"/>
                <w:color w:val="auto"/>
                <w:w w:val="97"/>
              </w:rPr>
              <w:t>Principal Amount of Notes</w:t>
            </w:r>
          </w:p>
        </w:tc>
        <w:tc>
          <w:tcPr>
            <w:tcW w:w="0" w:type="dxa"/>
            <w:vAlign w:val="bottom"/>
          </w:tcPr>
          <w:p>
            <w:pPr>
              <w:spacing w:after="0"/>
              <w:rPr>
                <w:sz w:val="1"/>
                <w:szCs w:val="1"/>
                <w:color w:val="auto"/>
              </w:rPr>
            </w:pPr>
          </w:p>
        </w:tc>
      </w:tr>
      <w:tr>
        <w:trPr>
          <w:trHeight w:val="149"/>
        </w:trPr>
        <w:tc>
          <w:tcPr>
            <w:tcW w:w="1480" w:type="dxa"/>
            <w:vAlign w:val="bottom"/>
            <w:tcBorders>
              <w:top w:val="single" w:sz="8" w:color="auto"/>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14"/>
              <w:spacing w:after="0" w:line="149" w:lineRule="exact"/>
              <w:rPr>
                <w:sz w:val="20"/>
                <w:szCs w:val="20"/>
                <w:color w:val="auto"/>
              </w:rPr>
            </w:pPr>
            <w:r>
              <w:rPr>
                <w:rFonts w:ascii="Arial" w:cs="Arial" w:eastAsia="Arial" w:hAnsi="Arial"/>
                <w:sz w:val="14"/>
                <w:szCs w:val="14"/>
                <w:color w:val="auto"/>
              </w:rPr>
              <w:t>(US$)</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 Singapore Branch</w:t>
            </w:r>
          </w:p>
        </w:tc>
        <w:tc>
          <w:tcPr>
            <w:tcW w:w="8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Australia and New Zealand Banking Group Limited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120,000,000.00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Communications Co., Ltd. Macau Branch</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BOCI Asia Limited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Commercial Bank of China (Asia) Limited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ICBC (Macau) Capital Limited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7,500,000.00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Asia Limited</w:t>
            </w:r>
          </w:p>
        </w:tc>
        <w:tc>
          <w:tcPr>
            <w:tcW w:w="8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69" w:right="1440" w:bottom="1440" w:gutter="0" w:footer="0" w:header="0"/>
        </w:sectPr>
      </w:pPr>
    </w:p>
    <w:bookmarkStart w:id="568" w:name="page569"/>
    <w:bookmarkEnd w:id="568"/>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color w:val="auto"/>
        </w:rPr>
        <w:t>SUBSIDIARIES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Studio City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Holdings Two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Holdings Three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Holdings Four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Entertainment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Hotels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SCP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Hospitality and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SCIP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SCP One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SCP Two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Developments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Retail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Two Limited</w:t>
      </w:r>
    </w:p>
    <w:p>
      <w:pPr>
        <w:sectPr>
          <w:pgSz w:w="11900" w:h="16838" w:orient="portrait"/>
          <w:cols w:equalWidth="0" w:num="1">
            <w:col w:w="10019"/>
          </w:cols>
          <w:pgMar w:left="440" w:top="270" w:right="1440" w:bottom="1440" w:gutter="0" w:footer="0" w:header="0"/>
        </w:sectPr>
      </w:pPr>
    </w:p>
    <w:bookmarkStart w:id="569" w:name="page570"/>
    <w:bookmarkEnd w:id="5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SUPPLEMENT</w:t>
      </w:r>
    </w:p>
    <w:p>
      <w:pPr>
        <w:spacing w:after="0" w:line="238" w:lineRule="exact"/>
        <w:rPr>
          <w:sz w:val="20"/>
          <w:szCs w:val="20"/>
          <w:color w:val="auto"/>
        </w:rPr>
      </w:pPr>
    </w:p>
    <w:p>
      <w:pPr>
        <w:spacing w:after="0"/>
        <w:tabs>
          <w:tab w:leader="none" w:pos="8800" w:val="left"/>
        </w:tabs>
        <w:rPr>
          <w:sz w:val="20"/>
          <w:szCs w:val="20"/>
          <w:color w:val="auto"/>
        </w:rPr>
      </w:pPr>
      <w:r>
        <w:rPr>
          <w:rFonts w:ascii="Arial" w:cs="Arial" w:eastAsia="Arial" w:hAnsi="Arial"/>
          <w:sz w:val="18"/>
          <w:szCs w:val="18"/>
          <w:color w:val="auto"/>
        </w:rPr>
        <w:t>PRICING SUPPLEMENT</w:t>
      </w:r>
      <w:r>
        <w:rPr>
          <w:sz w:val="20"/>
          <w:szCs w:val="20"/>
          <w:color w:val="auto"/>
        </w:rPr>
        <w:tab/>
      </w:r>
      <w:r>
        <w:rPr>
          <w:rFonts w:ascii="Arial" w:cs="Arial" w:eastAsia="Arial" w:hAnsi="Arial"/>
          <w:sz w:val="17"/>
          <w:szCs w:val="17"/>
          <w:color w:val="auto"/>
        </w:rPr>
        <w:t>STRICTLY CONFIDENTIAL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US$600,000,000 7.250% Senior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Finance Limited</w:t>
      </w:r>
    </w:p>
    <w:p>
      <w:pPr>
        <w:spacing w:after="0" w:line="229"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January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6997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Supplement dated January 29, 2019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Offering Memorandum dated January 22, 2019</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This Pricing Supplement is qualified in its entirety by reference to the Preliminary Offering Memorandum. Capitalized terms used but not defined in this Pricing Supplement have the meanings ascribed to them in the Preliminary Offering Memorandum. The information in this Pricing Supplement supplements the Preliminary Offering Memorandum and supersedes the information in the Preliminary Offering Memorandum to the extent inconsistent with the information in the Preliminary Offering Memorandum.</w:t>
      </w:r>
    </w:p>
    <w:p>
      <w:pPr>
        <w:spacing w:after="0" w:line="183"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The US$600,000,000 7.250%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are being offered only (1) to “qualified institutional buyers” as defined in Rule 144A under the Securities Act and (2) outside the United States in offshore transactions in reliance on Regulation S under the Securities Act.</w:t>
      </w:r>
    </w:p>
    <w:p>
      <w:pPr>
        <w:spacing w:after="0" w:line="180" w:lineRule="exact"/>
        <w:rPr>
          <w:sz w:val="20"/>
          <w:szCs w:val="20"/>
          <w:color w:val="auto"/>
        </w:rPr>
      </w:pPr>
    </w:p>
    <w:p>
      <w:pPr>
        <w:ind w:right="260" w:firstLine="441"/>
        <w:spacing w:after="0" w:line="279" w:lineRule="auto"/>
        <w:rPr>
          <w:sz w:val="20"/>
          <w:szCs w:val="20"/>
          <w:color w:val="auto"/>
        </w:rPr>
      </w:pPr>
      <w:r>
        <w:rPr>
          <w:rFonts w:ascii="Arial" w:cs="Arial" w:eastAsia="Arial" w:hAnsi="Arial"/>
          <w:sz w:val="17"/>
          <w:szCs w:val="17"/>
          <w:color w:val="auto"/>
        </w:rPr>
        <w:t>Distribution of this Pricing Supplement to any persons other than the person receiving this electronic transmission, its agents and any persons retained to advise the person receiving this electronic transmission, is unauthorized. Any photocopying, disclosure or alteration of the contents of this Pricing Supplement or any portion thereof by electronic mail or any other means to any person other than the person receiving this electronic transmission is prohibited. By accepting delivery of this Pricing Supplement, the recipient agrees to the foregoing.</w:t>
      </w:r>
    </w:p>
    <w:p>
      <w:pPr>
        <w:sectPr>
          <w:pgSz w:w="11900" w:h="16838" w:orient="portrait"/>
          <w:cols w:equalWidth="0" w:num="1">
            <w:col w:w="11020"/>
          </w:cols>
          <w:pgMar w:left="440" w:top="270" w:right="4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Studio City Finance Limited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0"/>
          <w:szCs w:val="20"/>
          <w:color w:val="auto"/>
        </w:rPr>
      </w:pPr>
    </w:p>
    <w:p>
      <w:pPr>
        <w:sectPr>
          <w:pgSz w:w="11900" w:h="16838" w:orient="portrait"/>
          <w:cols w:equalWidth="0" w:num="2">
            <w:col w:w="3140" w:space="720"/>
            <w:col w:w="71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Studio City Investments Limited, Studio City Company Limited, Studio City Holdings Two Limited, Studio City Holdings Three Limited, Studio City Holdings Four Limited, Studio City Entertainment Limited, Studio City Services Limited, Studio City Hotels Limited, SCP Holdings Limited, SCIP Holdings Limited, Studio City Hospitality and Services Limited, SCP One Limited, SCP Two Limited, Studio City Developments Limited, Studio City Retail Services Limited and Studio City (HK) Two Limited</w:t>
      </w:r>
    </w:p>
    <w:p>
      <w:pPr>
        <w:sectPr>
          <w:pgSz w:w="11900" w:h="16838" w:orient="portrait"/>
          <w:cols w:equalWidth="0" w:num="2">
            <w:col w:w="3140" w:space="720"/>
            <w:col w:w="7160"/>
          </w:cols>
          <w:pgMar w:left="440" w:top="270" w:right="439" w:bottom="1440" w:gutter="0" w:footer="0" w:header="0"/>
          <w:type w:val="continuous"/>
        </w:sectPr>
      </w:pPr>
    </w:p>
    <w:bookmarkStart w:id="570" w:name="page571"/>
    <w:bookmarkEnd w:id="570"/>
    <w:p>
      <w:pPr>
        <w:spacing w:after="0"/>
        <w:rPr>
          <w:sz w:val="20"/>
          <w:szCs w:val="20"/>
          <w:color w:val="auto"/>
        </w:rPr>
      </w:pPr>
      <w:r>
        <w:rPr>
          <w:rFonts w:ascii="Arial" w:cs="Arial" w:eastAsia="Arial" w:hAnsi="Arial"/>
          <w:sz w:val="18"/>
          <w:szCs w:val="18"/>
          <w:b w:val="1"/>
          <w:bCs w:val="1"/>
          <w:color w:val="auto"/>
        </w:rPr>
        <w:t>Security Description: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Currency: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Trade Date: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Coupon: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Issue Price: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Provisions: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Optional Redemption Prices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Make-Whole Call:</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b w:val="1"/>
          <w:bCs w:val="1"/>
          <w:i w:val="1"/>
          <w:iCs w:val="1"/>
          <w:color w:val="auto"/>
        </w:rPr>
        <w:t>Redemption with proceeds from certain equity offerings: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Gaming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Repurchase Provisions: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Change of Control Triggering Event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7.250%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-215900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144A and Regulation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US$600,000,000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Dollars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11 and August 11, beginning on August 11,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29,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2019</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 trade expressly agree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otherwise.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7.250%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7.250%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On or after February 11, 2021:103.625%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or after February 11, 2022: 101.813%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2023 and thereafter: 100.000%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Prior to February 11,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Prior to February 11, 2021, up to 35% may be redeemed at 107.250%</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Notes may be redeemed if the gaming authority of any jurisdiction in which the Issuer or any of its affiliates (including Melco Resorts Macau) conducts or proposes to conduct gaming requires that persons who are holders or beneficial owners of Notes be licensed, qualified or found suitable under applicable gaming laws and such holders or beneficial owners, as the case may be, fail to apply or become licensed or qualified within the required time period or are found unsuitable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ectPr>
          <w:pgSz w:w="11900" w:h="16838" w:orient="portrait"/>
          <w:cols w:equalWidth="0" w:num="2">
            <w:col w:w="3280" w:space="580"/>
            <w:col w:w="7080"/>
          </w:cols>
          <w:pgMar w:left="440" w:top="270" w:right="519" w:bottom="1440" w:gutter="0" w:footer="0" w:header="0"/>
        </w:sectPr>
      </w:pPr>
    </w:p>
    <w:bookmarkStart w:id="571" w:name="page572"/>
    <w:bookmarkEnd w:id="571"/>
    <w:tbl>
      <w:tblPr>
        <w:tblLayout w:type="fixed"/>
        <w:tblInd w:w="0" w:type="dxa"/>
        <w:tblCellMar>
          <w:top w:w="0" w:type="dxa"/>
          <w:left w:w="0" w:type="dxa"/>
          <w:bottom w:w="0" w:type="dxa"/>
          <w:right w:w="0" w:type="dxa"/>
        </w:tblCellMar>
      </w:tblPr>
      <w:tr>
        <w:trPr>
          <w:trHeight w:val="216"/>
        </w:trPr>
        <w:tc>
          <w:tcPr>
            <w:tcW w:w="3400" w:type="dxa"/>
            <w:vAlign w:val="bottom"/>
          </w:tcPr>
          <w:p>
            <w:pPr>
              <w:ind w:left="360"/>
              <w:spacing w:after="0"/>
              <w:rPr>
                <w:sz w:val="20"/>
                <w:szCs w:val="20"/>
                <w:color w:val="auto"/>
              </w:rPr>
            </w:pPr>
            <w:r>
              <w:rPr>
                <w:rFonts w:ascii="Arial" w:cs="Arial" w:eastAsia="Arial" w:hAnsi="Arial"/>
                <w:sz w:val="18"/>
                <w:szCs w:val="18"/>
                <w:i w:val="1"/>
                <w:iCs w:val="1"/>
                <w:color w:val="auto"/>
              </w:rPr>
              <w:t>Special Put Option Triggering Event</w:t>
            </w: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rPr>
              <w:t>Upon the occurrence of (1) any event after which the Gaming License or other permits or</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4"/>
              </w:rPr>
              <w:t>authorizations as are necessary for the operation of the casino at Studio City in substantially the</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0"/>
              </w:rPr>
              <w:t>same manner and scope as operations are conducted at the Issue Date cease to be in full force and</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0"/>
              </w:rPr>
              <w:t>effect, for a period of ten consecutive days or more, and such event has a material adverse effect on</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rPr>
              <w:t>the financial condition, business, properties, or results of operations of the Issuer and its</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2"/>
              </w:rPr>
              <w:t>Subsidiaries, taken as a whole; or (2) the termination, rescission, revocation or modification of any</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7"/>
              </w:rPr>
              <w:t>Gaming License which has had a material adverse effect on the financial condition, business,</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89"/>
              </w:rPr>
              <w:t>properties, or results of operations of the Issuer and its Subsidiaries, taken as a whole, excluding any</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2"/>
              </w:rPr>
              <w:t>termination or rescission resulting from or in connection with any renewal, tender or other process</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2"/>
              </w:rPr>
              <w:t>conducted by the government of Macau in connection with the granting or renewal of any Gaming</w:t>
            </w:r>
          </w:p>
        </w:tc>
      </w:tr>
      <w:tr>
        <w:trPr>
          <w:trHeight w:val="216"/>
        </w:trPr>
        <w:tc>
          <w:tcPr>
            <w:tcW w:w="3400" w:type="dxa"/>
            <w:vAlign w:val="bottom"/>
          </w:tcPr>
          <w:p>
            <w:pPr>
              <w:spacing w:after="0"/>
              <w:rPr>
                <w:sz w:val="18"/>
                <w:szCs w:val="18"/>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0"/>
              </w:rPr>
              <w:t>License; provided that such renewal, tender or other process results in the granting or renewal of the</w:t>
            </w:r>
          </w:p>
        </w:tc>
      </w:tr>
      <w:tr>
        <w:trPr>
          <w:trHeight w:val="230"/>
        </w:trPr>
        <w:tc>
          <w:tcPr>
            <w:tcW w:w="3400" w:type="dxa"/>
            <w:vAlign w:val="bottom"/>
          </w:tcPr>
          <w:p>
            <w:pPr>
              <w:spacing w:after="0"/>
              <w:rPr>
                <w:sz w:val="20"/>
                <w:szCs w:val="20"/>
                <w:color w:val="auto"/>
              </w:rPr>
            </w:pPr>
          </w:p>
        </w:tc>
        <w:tc>
          <w:tcPr>
            <w:tcW w:w="2560" w:type="dxa"/>
            <w:vAlign w:val="bottom"/>
          </w:tcPr>
          <w:p>
            <w:pPr>
              <w:ind w:left="380"/>
              <w:spacing w:after="0"/>
              <w:rPr>
                <w:sz w:val="20"/>
                <w:szCs w:val="20"/>
                <w:color w:val="auto"/>
              </w:rPr>
            </w:pPr>
            <w:r>
              <w:rPr>
                <w:rFonts w:ascii="Arial" w:cs="Arial" w:eastAsia="Arial" w:hAnsi="Arial"/>
                <w:sz w:val="18"/>
                <w:szCs w:val="18"/>
                <w:color w:val="auto"/>
              </w:rPr>
              <w:t>relevant Gaming License</w:t>
            </w:r>
          </w:p>
        </w:tc>
        <w:tc>
          <w:tcPr>
            <w:tcW w:w="21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b w:val="1"/>
                <w:bCs w:val="1"/>
                <w:color w:val="auto"/>
              </w:rPr>
              <w:t>Security Codes:</w:t>
            </w:r>
          </w:p>
        </w:tc>
        <w:tc>
          <w:tcPr>
            <w:tcW w:w="2560" w:type="dxa"/>
            <w:vAlign w:val="bottom"/>
          </w:tcPr>
          <w:p>
            <w:pPr>
              <w:spacing w:after="0"/>
              <w:rPr>
                <w:sz w:val="24"/>
                <w:szCs w:val="24"/>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rPr>
              <w:t>Rule 144A Notes</w:t>
            </w:r>
          </w:p>
        </w:tc>
        <w:tc>
          <w:tcPr>
            <w:tcW w:w="2860" w:type="dxa"/>
            <w:vAlign w:val="bottom"/>
          </w:tcPr>
          <w:p>
            <w:pPr>
              <w:ind w:left="580"/>
              <w:spacing w:after="0"/>
              <w:rPr>
                <w:sz w:val="20"/>
                <w:szCs w:val="20"/>
                <w:color w:val="auto"/>
              </w:rPr>
            </w:pPr>
            <w:r>
              <w:rPr>
                <w:rFonts w:ascii="Arial" w:cs="Arial" w:eastAsia="Arial" w:hAnsi="Arial"/>
                <w:sz w:val="18"/>
                <w:szCs w:val="18"/>
                <w:color w:val="auto"/>
              </w:rPr>
              <w:t>Regulation S Notes</w:t>
            </w:r>
          </w:p>
        </w:tc>
      </w:tr>
      <w:tr>
        <w:trPr>
          <w:trHeight w:val="324"/>
        </w:trPr>
        <w:tc>
          <w:tcPr>
            <w:tcW w:w="3400" w:type="dxa"/>
            <w:vAlign w:val="bottom"/>
          </w:tcPr>
          <w:p>
            <w:pPr>
              <w:spacing w:after="0"/>
              <w:rPr>
                <w:sz w:val="24"/>
                <w:szCs w:val="24"/>
                <w:color w:val="auto"/>
              </w:rPr>
            </w:pPr>
          </w:p>
        </w:tc>
        <w:tc>
          <w:tcPr>
            <w:tcW w:w="2560" w:type="dxa"/>
            <w:vAlign w:val="bottom"/>
          </w:tcPr>
          <w:p>
            <w:pPr>
              <w:ind w:left="380"/>
              <w:spacing w:after="0"/>
              <w:rPr>
                <w:sz w:val="20"/>
                <w:szCs w:val="20"/>
                <w:color w:val="auto"/>
              </w:rPr>
            </w:pPr>
            <w:r>
              <w:rPr>
                <w:rFonts w:ascii="Arial" w:cs="Arial" w:eastAsia="Arial" w:hAnsi="Arial"/>
                <w:sz w:val="18"/>
                <w:szCs w:val="18"/>
                <w:color w:val="auto"/>
              </w:rPr>
              <w:t>CUSIP No.:</w:t>
            </w:r>
          </w:p>
        </w:tc>
        <w:tc>
          <w:tcPr>
            <w:tcW w:w="2180" w:type="dxa"/>
            <w:vAlign w:val="bottom"/>
          </w:tcPr>
          <w:p>
            <w:pPr>
              <w:ind w:left="340"/>
              <w:spacing w:after="0"/>
              <w:rPr>
                <w:sz w:val="20"/>
                <w:szCs w:val="20"/>
                <w:color w:val="auto"/>
              </w:rPr>
            </w:pPr>
            <w:r>
              <w:rPr>
                <w:rFonts w:ascii="Arial" w:cs="Arial" w:eastAsia="Arial" w:hAnsi="Arial"/>
                <w:sz w:val="18"/>
                <w:szCs w:val="18"/>
                <w:color w:val="auto"/>
              </w:rPr>
              <w:t>86389Q AB8</w:t>
            </w:r>
          </w:p>
        </w:tc>
        <w:tc>
          <w:tcPr>
            <w:tcW w:w="2860" w:type="dxa"/>
            <w:vAlign w:val="bottom"/>
          </w:tcPr>
          <w:p>
            <w:pPr>
              <w:ind w:left="580"/>
              <w:spacing w:after="0"/>
              <w:rPr>
                <w:sz w:val="20"/>
                <w:szCs w:val="20"/>
                <w:color w:val="auto"/>
              </w:rPr>
            </w:pPr>
            <w:r>
              <w:rPr>
                <w:rFonts w:ascii="Arial" w:cs="Arial" w:eastAsia="Arial" w:hAnsi="Arial"/>
                <w:sz w:val="18"/>
                <w:szCs w:val="18"/>
                <w:color w:val="auto"/>
              </w:rPr>
              <w:t>G85381 AB0</w:t>
            </w:r>
          </w:p>
        </w:tc>
      </w:tr>
      <w:tr>
        <w:trPr>
          <w:trHeight w:val="324"/>
        </w:trPr>
        <w:tc>
          <w:tcPr>
            <w:tcW w:w="3400" w:type="dxa"/>
            <w:vAlign w:val="bottom"/>
          </w:tcPr>
          <w:p>
            <w:pPr>
              <w:spacing w:after="0"/>
              <w:rPr>
                <w:sz w:val="24"/>
                <w:szCs w:val="24"/>
                <w:color w:val="auto"/>
              </w:rPr>
            </w:pPr>
          </w:p>
        </w:tc>
        <w:tc>
          <w:tcPr>
            <w:tcW w:w="2560" w:type="dxa"/>
            <w:vAlign w:val="bottom"/>
          </w:tcPr>
          <w:p>
            <w:pPr>
              <w:ind w:left="380"/>
              <w:spacing w:after="0"/>
              <w:rPr>
                <w:sz w:val="20"/>
                <w:szCs w:val="20"/>
                <w:color w:val="auto"/>
              </w:rPr>
            </w:pPr>
            <w:r>
              <w:rPr>
                <w:rFonts w:ascii="Arial" w:cs="Arial" w:eastAsia="Arial" w:hAnsi="Arial"/>
                <w:sz w:val="18"/>
                <w:szCs w:val="18"/>
                <w:color w:val="auto"/>
              </w:rPr>
              <w:t>ISIN:</w:t>
            </w:r>
          </w:p>
        </w:tc>
        <w:tc>
          <w:tcPr>
            <w:tcW w:w="2180" w:type="dxa"/>
            <w:vAlign w:val="bottom"/>
          </w:tcPr>
          <w:p>
            <w:pPr>
              <w:ind w:left="340"/>
              <w:spacing w:after="0"/>
              <w:rPr>
                <w:sz w:val="20"/>
                <w:szCs w:val="20"/>
                <w:color w:val="auto"/>
              </w:rPr>
            </w:pPr>
            <w:r>
              <w:rPr>
                <w:rFonts w:ascii="Arial" w:cs="Arial" w:eastAsia="Arial" w:hAnsi="Arial"/>
                <w:sz w:val="18"/>
                <w:szCs w:val="18"/>
                <w:color w:val="auto"/>
              </w:rPr>
              <w:t>US86389QAB86</w:t>
            </w:r>
          </w:p>
        </w:tc>
        <w:tc>
          <w:tcPr>
            <w:tcW w:w="2860" w:type="dxa"/>
            <w:vAlign w:val="bottom"/>
          </w:tcPr>
          <w:p>
            <w:pPr>
              <w:ind w:left="580"/>
              <w:spacing w:after="0"/>
              <w:rPr>
                <w:sz w:val="20"/>
                <w:szCs w:val="20"/>
                <w:color w:val="auto"/>
              </w:rPr>
            </w:pPr>
            <w:r>
              <w:rPr>
                <w:rFonts w:ascii="Arial" w:cs="Arial" w:eastAsia="Arial" w:hAnsi="Arial"/>
                <w:sz w:val="18"/>
                <w:szCs w:val="18"/>
                <w:color w:val="auto"/>
              </w:rPr>
              <w:t>USG85381AB09</w:t>
            </w:r>
          </w:p>
        </w:tc>
      </w:tr>
      <w:tr>
        <w:trPr>
          <w:trHeight w:val="324"/>
        </w:trPr>
        <w:tc>
          <w:tcPr>
            <w:tcW w:w="3400" w:type="dxa"/>
            <w:vAlign w:val="bottom"/>
          </w:tcPr>
          <w:p>
            <w:pPr>
              <w:spacing w:after="0"/>
              <w:rPr>
                <w:sz w:val="24"/>
                <w:szCs w:val="24"/>
                <w:color w:val="auto"/>
              </w:rPr>
            </w:pPr>
          </w:p>
        </w:tc>
        <w:tc>
          <w:tcPr>
            <w:tcW w:w="2560" w:type="dxa"/>
            <w:vAlign w:val="bottom"/>
          </w:tcPr>
          <w:p>
            <w:pPr>
              <w:ind w:left="380"/>
              <w:spacing w:after="0"/>
              <w:rPr>
                <w:sz w:val="20"/>
                <w:szCs w:val="20"/>
                <w:color w:val="auto"/>
              </w:rPr>
            </w:pPr>
            <w:r>
              <w:rPr>
                <w:rFonts w:ascii="Arial" w:cs="Arial" w:eastAsia="Arial" w:hAnsi="Arial"/>
                <w:sz w:val="18"/>
                <w:szCs w:val="18"/>
                <w:color w:val="auto"/>
              </w:rPr>
              <w:t>Common Code:</w:t>
            </w:r>
          </w:p>
        </w:tc>
        <w:tc>
          <w:tcPr>
            <w:tcW w:w="2180" w:type="dxa"/>
            <w:vAlign w:val="bottom"/>
          </w:tcPr>
          <w:p>
            <w:pPr>
              <w:ind w:left="340"/>
              <w:spacing w:after="0"/>
              <w:rPr>
                <w:sz w:val="20"/>
                <w:szCs w:val="20"/>
                <w:color w:val="auto"/>
              </w:rPr>
            </w:pPr>
            <w:r>
              <w:rPr>
                <w:rFonts w:ascii="Arial" w:cs="Arial" w:eastAsia="Arial" w:hAnsi="Arial"/>
                <w:sz w:val="18"/>
                <w:szCs w:val="18"/>
                <w:color w:val="auto"/>
              </w:rPr>
              <w:t>191599381</w:t>
            </w:r>
          </w:p>
        </w:tc>
        <w:tc>
          <w:tcPr>
            <w:tcW w:w="2860" w:type="dxa"/>
            <w:vAlign w:val="bottom"/>
          </w:tcPr>
          <w:p>
            <w:pPr>
              <w:ind w:left="580"/>
              <w:spacing w:after="0"/>
              <w:rPr>
                <w:sz w:val="20"/>
                <w:szCs w:val="20"/>
                <w:color w:val="auto"/>
              </w:rPr>
            </w:pPr>
            <w:r>
              <w:rPr>
                <w:rFonts w:ascii="Arial" w:cs="Arial" w:eastAsia="Arial" w:hAnsi="Arial"/>
                <w:sz w:val="18"/>
                <w:szCs w:val="18"/>
                <w:color w:val="auto"/>
              </w:rPr>
              <w:t>191599578</w:t>
            </w:r>
          </w:p>
        </w:tc>
      </w:tr>
      <w:tr>
        <w:trPr>
          <w:trHeight w:val="324"/>
        </w:trPr>
        <w:tc>
          <w:tcPr>
            <w:tcW w:w="340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4740" w:type="dxa"/>
            <w:vAlign w:val="bottom"/>
            <w:gridSpan w:val="2"/>
          </w:tcPr>
          <w:p>
            <w:pPr>
              <w:ind w:left="380"/>
              <w:spacing w:after="0"/>
              <w:rPr>
                <w:sz w:val="20"/>
                <w:szCs w:val="20"/>
                <w:color w:val="auto"/>
              </w:rPr>
            </w:pPr>
            <w:r>
              <w:rPr>
                <w:rFonts w:ascii="Arial" w:cs="Arial" w:eastAsia="Arial" w:hAnsi="Arial"/>
                <w:sz w:val="18"/>
                <w:szCs w:val="18"/>
                <w:color w:val="auto"/>
              </w:rPr>
              <w:t>US$200,000 minimum; US$1,000 increments</w:t>
            </w:r>
          </w:p>
        </w:tc>
        <w:tc>
          <w:tcPr>
            <w:tcW w:w="2860" w:type="dxa"/>
            <w:vAlign w:val="bottom"/>
          </w:tcPr>
          <w:p>
            <w:pPr>
              <w:spacing w:after="0"/>
              <w:rPr>
                <w:sz w:val="24"/>
                <w:szCs w:val="24"/>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b w:val="1"/>
                <w:bCs w:val="1"/>
                <w:color w:val="auto"/>
              </w:rPr>
              <w:t>Expected Issue Ratings*:</w:t>
            </w:r>
          </w:p>
        </w:tc>
        <w:tc>
          <w:tcPr>
            <w:tcW w:w="2560" w:type="dxa"/>
            <w:vAlign w:val="bottom"/>
          </w:tcPr>
          <w:p>
            <w:pPr>
              <w:ind w:left="380"/>
              <w:spacing w:after="0"/>
              <w:rPr>
                <w:sz w:val="20"/>
                <w:szCs w:val="20"/>
                <w:color w:val="auto"/>
              </w:rPr>
            </w:pPr>
            <w:r>
              <w:rPr>
                <w:rFonts w:ascii="Arial" w:cs="Arial" w:eastAsia="Arial" w:hAnsi="Arial"/>
                <w:sz w:val="18"/>
                <w:szCs w:val="18"/>
                <w:color w:val="auto"/>
              </w:rPr>
              <w:t>B+ / B2 (S&amp;P / Moody’s)</w:t>
            </w:r>
          </w:p>
        </w:tc>
        <w:tc>
          <w:tcPr>
            <w:tcW w:w="2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06"/>
        </w:trPr>
        <w:tc>
          <w:tcPr>
            <w:tcW w:w="3400" w:type="dxa"/>
            <w:vAlign w:val="bottom"/>
          </w:tcPr>
          <w:p>
            <w:pPr>
              <w:spacing w:after="0"/>
              <w:rPr>
                <w:sz w:val="20"/>
                <w:szCs w:val="20"/>
                <w:color w:val="auto"/>
              </w:rPr>
            </w:pPr>
            <w:r>
              <w:rPr>
                <w:rFonts w:ascii="Arial" w:cs="Arial" w:eastAsia="Arial" w:hAnsi="Arial"/>
                <w:sz w:val="18"/>
                <w:szCs w:val="18"/>
                <w:b w:val="1"/>
                <w:bCs w:val="1"/>
                <w:color w:val="auto"/>
              </w:rPr>
              <w:t>Sole Global Coordinator and Left Lead</w:t>
            </w:r>
          </w:p>
        </w:tc>
        <w:tc>
          <w:tcPr>
            <w:tcW w:w="4740" w:type="dxa"/>
            <w:vAlign w:val="bottom"/>
            <w:gridSpan w:val="2"/>
          </w:tcPr>
          <w:p>
            <w:pPr>
              <w:ind w:left="380"/>
              <w:spacing w:after="0"/>
              <w:rPr>
                <w:sz w:val="20"/>
                <w:szCs w:val="20"/>
                <w:color w:val="auto"/>
              </w:rPr>
            </w:pPr>
            <w:r>
              <w:rPr>
                <w:rFonts w:ascii="Arial" w:cs="Arial" w:eastAsia="Arial" w:hAnsi="Arial"/>
                <w:sz w:val="18"/>
                <w:szCs w:val="18"/>
                <w:color w:val="auto"/>
              </w:rPr>
              <w:t>Deutsche Bank AG, Singapore Branch</w:t>
            </w:r>
          </w:p>
        </w:tc>
        <w:tc>
          <w:tcPr>
            <w:tcW w:w="286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Bookrunner:</w:t>
            </w:r>
          </w:p>
        </w:tc>
        <w:tc>
          <w:tcPr>
            <w:tcW w:w="2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324"/>
        </w:trPr>
        <w:tc>
          <w:tcPr>
            <w:tcW w:w="3400" w:type="dxa"/>
            <w:vAlign w:val="bottom"/>
          </w:tcPr>
          <w:p>
            <w:pPr>
              <w:spacing w:after="0"/>
              <w:rPr>
                <w:sz w:val="20"/>
                <w:szCs w:val="20"/>
                <w:color w:val="auto"/>
              </w:rPr>
            </w:pPr>
            <w:r>
              <w:rPr>
                <w:rFonts w:ascii="Arial" w:cs="Arial" w:eastAsia="Arial" w:hAnsi="Arial"/>
                <w:sz w:val="18"/>
                <w:szCs w:val="18"/>
                <w:b w:val="1"/>
                <w:bCs w:val="1"/>
                <w:color w:val="auto"/>
              </w:rPr>
              <w:t>Joint Bookrunner:</w:t>
            </w:r>
          </w:p>
        </w:tc>
        <w:tc>
          <w:tcPr>
            <w:tcW w:w="4740" w:type="dxa"/>
            <w:vAlign w:val="bottom"/>
            <w:gridSpan w:val="2"/>
          </w:tcPr>
          <w:p>
            <w:pPr>
              <w:ind w:left="380"/>
              <w:spacing w:after="0"/>
              <w:rPr>
                <w:sz w:val="20"/>
                <w:szCs w:val="20"/>
                <w:color w:val="auto"/>
              </w:rPr>
            </w:pPr>
            <w:r>
              <w:rPr>
                <w:rFonts w:ascii="Arial" w:cs="Arial" w:eastAsia="Arial" w:hAnsi="Arial"/>
                <w:sz w:val="18"/>
                <w:szCs w:val="18"/>
                <w:color w:val="auto"/>
              </w:rPr>
              <w:t>Australia and New Zealand Banking Group Limited</w:t>
            </w:r>
          </w:p>
        </w:tc>
        <w:tc>
          <w:tcPr>
            <w:tcW w:w="2860" w:type="dxa"/>
            <w:vAlign w:val="bottom"/>
          </w:tcPr>
          <w:p>
            <w:pPr>
              <w:spacing w:after="0"/>
              <w:rPr>
                <w:sz w:val="24"/>
                <w:szCs w:val="24"/>
                <w:color w:val="auto"/>
              </w:rPr>
            </w:pPr>
          </w:p>
        </w:tc>
      </w:tr>
      <w:tr>
        <w:trPr>
          <w:trHeight w:val="310"/>
        </w:trPr>
        <w:tc>
          <w:tcPr>
            <w:tcW w:w="340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3"/>
              </w:rPr>
              <w:t>Bank of Communications Co., Ltd. Macau Branch, BOCI Asia Limited, Industrial and Commercial</w:t>
            </w:r>
          </w:p>
        </w:tc>
      </w:tr>
      <w:tr>
        <w:trPr>
          <w:trHeight w:val="230"/>
        </w:trPr>
        <w:tc>
          <w:tcPr>
            <w:tcW w:w="3400" w:type="dxa"/>
            <w:vAlign w:val="bottom"/>
          </w:tcPr>
          <w:p>
            <w:pPr>
              <w:spacing w:after="0"/>
              <w:rPr>
                <w:sz w:val="20"/>
                <w:szCs w:val="20"/>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4"/>
              </w:rPr>
              <w:t>Bank of China (Asia) Limited, ICBC (Macau) Capital Limited and Mizuho Securities Asia Limited</w:t>
            </w:r>
          </w:p>
        </w:tc>
      </w:tr>
      <w:tr>
        <w:trPr>
          <w:trHeight w:val="306"/>
        </w:trPr>
        <w:tc>
          <w:tcPr>
            <w:tcW w:w="340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w w:val="93"/>
              </w:rPr>
              <w:t>Approval-in-principle has been obtained from the Singapore Exchange Securities Trading Limited</w:t>
            </w:r>
          </w:p>
        </w:tc>
      </w:tr>
      <w:tr>
        <w:trPr>
          <w:trHeight w:val="234"/>
        </w:trPr>
        <w:tc>
          <w:tcPr>
            <w:tcW w:w="3400" w:type="dxa"/>
            <w:vAlign w:val="bottom"/>
          </w:tcPr>
          <w:p>
            <w:pPr>
              <w:spacing w:after="0"/>
              <w:rPr>
                <w:sz w:val="20"/>
                <w:szCs w:val="20"/>
                <w:color w:val="auto"/>
              </w:rPr>
            </w:pPr>
          </w:p>
        </w:tc>
        <w:tc>
          <w:tcPr>
            <w:tcW w:w="7600" w:type="dxa"/>
            <w:vAlign w:val="bottom"/>
            <w:gridSpan w:val="3"/>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SGX-ST</w:t>
            </w:r>
            <w:r>
              <w:rPr>
                <w:rFonts w:ascii="Arial" w:cs="Arial" w:eastAsia="Arial" w:hAnsi="Arial"/>
                <w:sz w:val="18"/>
                <w:szCs w:val="18"/>
                <w:color w:val="auto"/>
              </w:rPr>
              <w:t>”) for the listing and quotation of the Notes on the Official List of the SGX-ST</w:t>
            </w:r>
          </w:p>
        </w:tc>
      </w:tr>
      <w:tr>
        <w:trPr>
          <w:trHeight w:val="306"/>
        </w:trPr>
        <w:tc>
          <w:tcPr>
            <w:tcW w:w="3400" w:type="dxa"/>
            <w:vAlign w:val="bottom"/>
          </w:tcPr>
          <w:p>
            <w:pPr>
              <w:spacing w:after="0"/>
              <w:rPr>
                <w:sz w:val="20"/>
                <w:szCs w:val="20"/>
                <w:color w:val="auto"/>
              </w:rPr>
            </w:pPr>
            <w:r>
              <w:rPr>
                <w:rFonts w:ascii="Arial" w:cs="Arial" w:eastAsia="Arial" w:hAnsi="Arial"/>
                <w:sz w:val="18"/>
                <w:szCs w:val="18"/>
                <w:b w:val="1"/>
                <w:bCs w:val="1"/>
                <w:color w:val="auto"/>
              </w:rPr>
              <w:t>Trustee, Paying Agent, Registrar and</w:t>
            </w:r>
          </w:p>
        </w:tc>
        <w:tc>
          <w:tcPr>
            <w:tcW w:w="4740" w:type="dxa"/>
            <w:vAlign w:val="bottom"/>
            <w:gridSpan w:val="2"/>
          </w:tcPr>
          <w:p>
            <w:pPr>
              <w:ind w:left="380"/>
              <w:spacing w:after="0"/>
              <w:rPr>
                <w:sz w:val="20"/>
                <w:szCs w:val="20"/>
                <w:color w:val="auto"/>
              </w:rPr>
            </w:pPr>
            <w:r>
              <w:rPr>
                <w:rFonts w:ascii="Arial" w:cs="Arial" w:eastAsia="Arial" w:hAnsi="Arial"/>
                <w:sz w:val="18"/>
                <w:szCs w:val="18"/>
                <w:color w:val="auto"/>
              </w:rPr>
              <w:t>Deutsche Bank Trust Company Americas</w:t>
            </w:r>
          </w:p>
        </w:tc>
        <w:tc>
          <w:tcPr>
            <w:tcW w:w="286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Transfer Agent:</w:t>
            </w:r>
          </w:p>
        </w:tc>
        <w:tc>
          <w:tcPr>
            <w:tcW w:w="2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1" w:lineRule="auto"/>
        <w:rPr>
          <w:sz w:val="20"/>
          <w:szCs w:val="20"/>
          <w:color w:val="auto"/>
        </w:rPr>
      </w:pPr>
      <w:r>
        <w:rPr>
          <w:rFonts w:ascii="Arial" w:cs="Arial" w:eastAsia="Arial" w:hAnsi="Arial"/>
          <w:sz w:val="17"/>
          <w:szCs w:val="17"/>
          <w:b w:val="1"/>
          <w:bCs w:val="1"/>
          <w:color w:val="auto"/>
        </w:rPr>
        <w:t>In addition to reflecting the information set forth above, the Preliminary Offering Memorandum is hereby supplemented, amended and modified as follows (page references are to page numbers in the Preliminary Offering Memorandum), which reflect certain recent developments and other updated information. Any conforming amendments or modifications within the Preliminary Offering Memorandum as a result of the following amendments or modifications have not been repeated in this Pricing Supplement:</w:t>
      </w:r>
    </w:p>
    <w:p>
      <w:pPr>
        <w:sectPr>
          <w:pgSz w:w="11900" w:h="16838" w:orient="portrait"/>
          <w:cols w:equalWidth="0" w:num="1">
            <w:col w:w="11020"/>
          </w:cols>
          <w:pgMar w:left="440" w:top="381" w:right="439" w:bottom="1440" w:gutter="0" w:footer="0" w:header="0"/>
        </w:sectPr>
      </w:pPr>
    </w:p>
    <w:bookmarkStart w:id="572" w:name="page573"/>
    <w:bookmarkEnd w:id="572"/>
    <w:p>
      <w:pPr>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section “Use of Proceeds” on page 48 of the Preliminary Offering Memorandum is amended by this Pricing Supplement by being replaced in its entirety with the following:</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estimate that the net proceeds from this offering will be approximately US$590.5 million after deducting the Initial Purchasers’ discounts and commissions and estimated offering expenses payable by us. We intend to use the proceeds from this Offering to fund the cash consideration under the Tender Offer, redeem in full the remaining outstanding 2012 Notes after the consummation of the Tender Offer and pay fees and costs related to this offering and the Tender Offer. The remaining amount will be used for general corporate purposes including but not limited to financing of working capital and repayment of certain other indebtedness.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table in the section “Capitalization” on page 49 of the Preliminary Offering Memorandum is amended by this Pricing Supplement by being replaced in its entirety with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out the cash and cash equivalents, restricted cash, indebtedness and capitalization of Studio City Finance Limited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on an actual basis and as adjusted to give effect to the following:</w:t>
      </w:r>
    </w:p>
    <w:p>
      <w:pPr>
        <w:spacing w:after="0" w:line="116" w:lineRule="exact"/>
        <w:rPr>
          <w:sz w:val="20"/>
          <w:szCs w:val="20"/>
          <w:color w:val="auto"/>
        </w:rPr>
      </w:pPr>
    </w:p>
    <w:p>
      <w:pPr>
        <w:ind w:left="440" w:hanging="328"/>
        <w:spacing w:after="0"/>
        <w:tabs>
          <w:tab w:leader="none" w:pos="44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issuance of US$600 million aggregate principal amount of the Notes;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IPO Proceeds Equity Contribution;</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2012 Notes Partial Optional Redemption;</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Tender Offer (assuming all of the outstanding 2012 Notes are tendered pursuant to the Tender Offer); and</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payment of estimated fees and costs related to this Offering and the Tender Offer;</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table should be read in conjunction with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and our consolidated financial statements prepared in accordance with U.S. GAAP, the related notes and other financial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elsewhere in this offering memorandum.</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 September 30,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Actual</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92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 of 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318,554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Bank deposit with original maturity over three months</w:t>
            </w: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r>
              <w:rPr>
                <w:rFonts w:ascii="Arial" w:cs="Arial" w:eastAsia="Arial" w:hAnsi="Arial"/>
                <w:sz w:val="15"/>
                <w:szCs w:val="15"/>
                <w:color w:val="auto"/>
              </w:rPr>
              <w:t>(2)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50,908</w:t>
            </w:r>
          </w:p>
        </w:tc>
        <w:tc>
          <w:tcPr>
            <w:tcW w:w="3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Indebtedness:</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2012 Notes</w:t>
            </w:r>
            <w:r>
              <w:rPr>
                <w:rFonts w:ascii="Arial" w:cs="Arial" w:eastAsia="Arial" w:hAnsi="Arial"/>
                <w:sz w:val="15"/>
                <w:szCs w:val="15"/>
                <w:color w:val="auto"/>
              </w:rPr>
              <w:t>(1)(3)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819,259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2016 Credit Facility</w:t>
            </w: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2016 5.875% Notes</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347,147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2016 7.250% Notes</w:t>
            </w:r>
            <w:r>
              <w:rPr>
                <w:rFonts w:ascii="Arial" w:cs="Arial" w:eastAsia="Arial" w:hAnsi="Arial"/>
                <w:sz w:val="15"/>
                <w:szCs w:val="15"/>
                <w:color w:val="auto"/>
              </w:rPr>
              <w:t>(1)(3)</w:t>
            </w:r>
          </w:p>
        </w:tc>
        <w:tc>
          <w:tcPr>
            <w:tcW w:w="780" w:type="dxa"/>
            <w:vAlign w:val="bottom"/>
          </w:tcPr>
          <w:p>
            <w:pPr>
              <w:jc w:val="right"/>
              <w:spacing w:after="0"/>
              <w:rPr>
                <w:sz w:val="20"/>
                <w:szCs w:val="20"/>
                <w:color w:val="auto"/>
              </w:rPr>
            </w:pPr>
            <w:r>
              <w:rPr>
                <w:rFonts w:ascii="Arial" w:cs="Arial" w:eastAsia="Arial" w:hAnsi="Arial"/>
                <w:sz w:val="18"/>
                <w:szCs w:val="18"/>
                <w:color w:val="auto"/>
              </w:rPr>
              <w:t>838,620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838,620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Notes offered hereby</w:t>
            </w:r>
            <w:r>
              <w:rPr>
                <w:rFonts w:ascii="Arial" w:cs="Arial" w:eastAsia="Arial" w:hAnsi="Arial"/>
                <w:sz w:val="15"/>
                <w:szCs w:val="15"/>
                <w:color w:val="auto"/>
              </w:rPr>
              <w:t>(1)(4)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Total indebtedness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2,005,155</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1,785,896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Share capital</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1,460,083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1,882,764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Accumulated other comprehensive losses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r>
              <w:rPr>
                <w:rFonts w:ascii="Arial" w:cs="Arial" w:eastAsia="Arial" w:hAnsi="Arial"/>
                <w:sz w:val="15"/>
                <w:szCs w:val="15"/>
                <w:color w:val="auto"/>
              </w:rPr>
              <w:t>(5)(6)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(740,036)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(756,765)</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Studio City Finance Limited shareholder’s equity</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719,982</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1,125,934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2,725,137</w:t>
            </w:r>
          </w:p>
        </w:tc>
        <w:tc>
          <w:tcPr>
            <w:tcW w:w="3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2,911,830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4" w:right="459" w:bottom="1440" w:gutter="0" w:footer="0" w:header="0"/>
        </w:sectPr>
      </w:pPr>
    </w:p>
    <w:bookmarkStart w:id="573" w:name="page574"/>
    <w:bookmarkEnd w:id="573"/>
    <w:p>
      <w:pPr>
        <w:ind w:left="440" w:right="200" w:hanging="436"/>
        <w:spacing w:after="0" w:line="256" w:lineRule="auto"/>
        <w:tabs>
          <w:tab w:leader="none" w:pos="440" w:val="left"/>
        </w:tabs>
        <w:numPr>
          <w:ilvl w:val="0"/>
          <w:numId w:val="7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proceeds from the issuance of the Notes from this Offering to fund (i) the Tender Offer (assuming all of the outstanding 2012 Notes in an aggregate principal amount of US$425.0 million (after the 2012 Notes Partial Optional Redemption) are tendered pursuant to the Tender Offer); and (ii) the payment of estimated fees and costs related to this Offering and the Tender Offer.</w:t>
      </w:r>
    </w:p>
    <w:p>
      <w:pPr>
        <w:ind w:left="440" w:right="80" w:hanging="436"/>
        <w:spacing w:after="0" w:line="250" w:lineRule="auto"/>
        <w:tabs>
          <w:tab w:leader="none" w:pos="44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The restricted cash as of September 30, 2018 represented cash balances maintained for debt servicing or as collateral associated with borrowings under the 2012 Notes, the 2016 Notes and/or the 2016 Credit Facilities. Upon the completion of the Tender Offer and the redemption in full of all of the outstanding 2012 Notes, US$23.4 million of the above restricted cash related to the 2012 Notes will be released and recorded as cash and cash equivalents. Further, a portion of the IPO Proceeds Equity Contribution amounting to US$21.8 million is restricted for payment of certain project costs and will be recorded as restricted cash.</w:t>
      </w:r>
    </w:p>
    <w:p>
      <w:pPr>
        <w:spacing w:after="0" w:line="2" w:lineRule="exact"/>
        <w:rPr>
          <w:rFonts w:ascii="Arial" w:cs="Arial" w:eastAsia="Arial" w:hAnsi="Arial"/>
          <w:sz w:val="18"/>
          <w:szCs w:val="18"/>
          <w:color w:val="auto"/>
        </w:rPr>
      </w:pPr>
    </w:p>
    <w:p>
      <w:pPr>
        <w:ind w:left="440" w:hanging="436"/>
        <w:spacing w:after="0"/>
        <w:tabs>
          <w:tab w:leader="none" w:pos="44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As of September 30, 2018, the outstanding principal amounts under 2012 Notes, 2016 5.875% Notes and 2016 7.250% Notes were</w:t>
      </w:r>
    </w:p>
    <w:p>
      <w:pPr>
        <w:spacing w:after="0" w:line="9" w:lineRule="exact"/>
        <w:rPr>
          <w:rFonts w:ascii="Arial" w:cs="Arial" w:eastAsia="Arial" w:hAnsi="Arial"/>
          <w:sz w:val="18"/>
          <w:szCs w:val="18"/>
          <w:color w:val="auto"/>
        </w:rPr>
      </w:pPr>
    </w:p>
    <w:p>
      <w:pPr>
        <w:jc w:val="both"/>
        <w:ind w:left="440" w:right="420"/>
        <w:spacing w:after="0" w:line="265" w:lineRule="auto"/>
        <w:rPr>
          <w:rFonts w:ascii="Arial" w:cs="Arial" w:eastAsia="Arial" w:hAnsi="Arial"/>
          <w:sz w:val="18"/>
          <w:szCs w:val="18"/>
          <w:color w:val="auto"/>
        </w:rPr>
      </w:pPr>
      <w:r>
        <w:rPr>
          <w:rFonts w:ascii="Arial" w:cs="Arial" w:eastAsia="Arial" w:hAnsi="Arial"/>
          <w:sz w:val="17"/>
          <w:szCs w:val="17"/>
          <w:color w:val="auto"/>
        </w:rPr>
        <w:t>US$825.0 million, US$350.0 million and US$850.0 million, respectively. The amounts presented in the above table were net of unamortized deferring financing costs. On December 31, 2018, the Issuer redeemed US$400.0 million out of the US$825.0 million outstanding aggregate principal amount of 2012 Notes. See “</w:t>
      </w:r>
      <w:r>
        <w:rPr>
          <w:rFonts w:ascii="Arial" w:cs="Arial" w:eastAsia="Arial" w:hAnsi="Arial"/>
          <w:sz w:val="17"/>
          <w:szCs w:val="17"/>
          <w:i w:val="1"/>
          <w:iCs w:val="1"/>
          <w:color w:val="auto"/>
        </w:rPr>
        <w:t>Recent Developments—Partial Optional Redemption of 2012 Notes</w:t>
      </w:r>
      <w:r>
        <w:rPr>
          <w:rFonts w:ascii="Arial" w:cs="Arial" w:eastAsia="Arial" w:hAnsi="Arial"/>
          <w:sz w:val="17"/>
          <w:szCs w:val="17"/>
          <w:color w:val="auto"/>
        </w:rPr>
        <w:t>.”</w:t>
      </w:r>
    </w:p>
    <w:p>
      <w:pPr>
        <w:ind w:left="440" w:hanging="436"/>
        <w:spacing w:after="0"/>
        <w:tabs>
          <w:tab w:leader="none" w:pos="44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Reflects the gross amount to be received by the Issuer from this offering.</w:t>
      </w:r>
    </w:p>
    <w:p>
      <w:pPr>
        <w:spacing w:after="0" w:line="9" w:lineRule="exact"/>
        <w:rPr>
          <w:rFonts w:ascii="Arial" w:cs="Arial" w:eastAsia="Arial" w:hAnsi="Arial"/>
          <w:sz w:val="18"/>
          <w:szCs w:val="18"/>
          <w:color w:val="auto"/>
        </w:rPr>
      </w:pPr>
    </w:p>
    <w:p>
      <w:pPr>
        <w:ind w:left="440" w:right="120" w:hanging="436"/>
        <w:spacing w:after="0" w:line="250" w:lineRule="auto"/>
        <w:tabs>
          <w:tab w:leader="none" w:pos="44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Assumes the unamortized deferred financing costs of the 2012 Notes of US$5.7 million are written off and recognized as expenses in the consolidated statements of operations upon the 2012 Notes Partial Optional Redemption and the redemption in full of all of the outstanding 2012 Notes.</w:t>
      </w:r>
    </w:p>
    <w:p>
      <w:pPr>
        <w:spacing w:after="0" w:line="1" w:lineRule="exact"/>
        <w:rPr>
          <w:rFonts w:ascii="Arial" w:cs="Arial" w:eastAsia="Arial" w:hAnsi="Arial"/>
          <w:sz w:val="18"/>
          <w:szCs w:val="18"/>
          <w:color w:val="auto"/>
        </w:rPr>
      </w:pPr>
    </w:p>
    <w:p>
      <w:pPr>
        <w:ind w:left="440" w:hanging="436"/>
        <w:spacing w:after="0" w:line="261" w:lineRule="auto"/>
        <w:tabs>
          <w:tab w:leader="none" w:pos="44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Assumes the estimated fees and expenses related to this Offering and the Tender Offer, which may be capitalized as deferred financing costs under U.S. GAAP, are instead recognized as expenses in the consolidated statements of operations.</w:t>
      </w:r>
    </w:p>
    <w:p>
      <w:pPr>
        <w:spacing w:after="0" w:line="184"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The Company has prepared the Preliminary Offering Memorandum to which this communication relates. Before you invest, you should read the Preliminary Offering Memorandum and the contents of this pricing supplement for more complete information about the Issuer and this offering. You should already have a copy of the Preliminary Offering Memorandum, but the Initial Purchasers will arrange to send you another copy, if you request it.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CONTAINED HEREIN DOES NOT CONSTITUTE AN OFFER TO SELL, OR A SOLICITATION OF AN OFFER TO BUY, ANY NOTES BY ANY PERSON IN ANY JURISDICTION IN WHICH IT IS UNLAWFUL FOR SUCH PERSON TO MAKE SUCH AN OFFERING OR SOLICITATION. THE NOTES HAVE NOT BEEN, AND WILL NOT BE, REGISTERED UNDER THE U.S. SECURITIES ACT OF 1933, AS AMENDED, OR ANY STATE SECURITIES LAWS, OR ANY OTHER JURISDICTION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Singapore Securities and Futures Act Product Classification</w:t>
      </w:r>
      <w:r>
        <w:rPr>
          <w:rFonts w:ascii="Arial" w:cs="Arial" w:eastAsia="Arial" w:hAnsi="Arial"/>
          <w:sz w:val="16"/>
          <w:szCs w:val="16"/>
          <w:color w:val="auto"/>
        </w:rPr>
        <w:t>: Solely for the purposes of its obligations pursuant to sections 309B(1)(a) and 309B(1)</w:t>
      </w:r>
    </w:p>
    <w:p>
      <w:pPr>
        <w:spacing w:after="0" w:line="50" w:lineRule="exact"/>
        <w:rPr>
          <w:sz w:val="20"/>
          <w:szCs w:val="20"/>
          <w:color w:val="auto"/>
        </w:rPr>
      </w:pPr>
    </w:p>
    <w:p>
      <w:pPr>
        <w:ind w:right="40" w:firstLine="4"/>
        <w:spacing w:after="0" w:line="295" w:lineRule="auto"/>
        <w:tabs>
          <w:tab w:leader="none" w:pos="245" w:val="left"/>
        </w:tabs>
        <w:numPr>
          <w:ilvl w:val="0"/>
          <w:numId w:val="753"/>
        </w:numPr>
        <w:rPr>
          <w:rFonts w:ascii="Arial" w:cs="Arial" w:eastAsia="Arial" w:hAnsi="Arial"/>
          <w:sz w:val="16"/>
          <w:szCs w:val="16"/>
          <w:color w:val="auto"/>
        </w:rPr>
      </w:pPr>
      <w:r>
        <w:rPr>
          <w:rFonts w:ascii="Arial" w:cs="Arial" w:eastAsia="Arial" w:hAnsi="Arial"/>
          <w:sz w:val="16"/>
          <w:szCs w:val="16"/>
          <w:color w:val="auto"/>
        </w:rPr>
        <w:t>of the Securities and Futures Act (Chapter 289 of Singapore) (the “</w:t>
      </w:r>
      <w:r>
        <w:rPr>
          <w:rFonts w:ascii="Arial" w:cs="Arial" w:eastAsia="Arial" w:hAnsi="Arial"/>
          <w:sz w:val="16"/>
          <w:szCs w:val="16"/>
          <w:b w:val="1"/>
          <w:bCs w:val="1"/>
          <w:color w:val="auto"/>
        </w:rPr>
        <w:t>SFA</w:t>
      </w:r>
      <w:r>
        <w:rPr>
          <w:rFonts w:ascii="Arial" w:cs="Arial" w:eastAsia="Arial" w:hAnsi="Arial"/>
          <w:sz w:val="16"/>
          <w:szCs w:val="16"/>
          <w:color w:val="auto"/>
        </w:rPr>
        <w:t>”), the Issuer has determined, and hereby notifies all relevant persons (as defined in Regulation 3(b) of the Securities and Futures (Capital Markets Products) Regulations 2018 (the “</w:t>
      </w:r>
      <w:r>
        <w:rPr>
          <w:rFonts w:ascii="Arial" w:cs="Arial" w:eastAsia="Arial" w:hAnsi="Arial"/>
          <w:sz w:val="16"/>
          <w:szCs w:val="16"/>
          <w:b w:val="1"/>
          <w:bCs w:val="1"/>
          <w:color w:val="auto"/>
        </w:rPr>
        <w:t>SF (CMP) Regulations</w:t>
      </w:r>
      <w:r>
        <w:rPr>
          <w:rFonts w:ascii="Arial" w:cs="Arial" w:eastAsia="Arial" w:hAnsi="Arial"/>
          <w:sz w:val="16"/>
          <w:szCs w:val="16"/>
          <w:color w:val="auto"/>
        </w:rPr>
        <w:t>”) that the Notes are “prescribed capital markets products” (as defined in the SF (CMP) Regulations) and “Excluded Investment Products” (as defined in MAS Notice SFA 04-N12: Notice on the Sale of Investment Products and MAS Notice FAA-N16: Notice on Recommendations on Investment Products).</w:t>
      </w:r>
    </w:p>
    <w:p>
      <w:pPr>
        <w:sectPr>
          <w:pgSz w:w="11900" w:h="16838" w:orient="portrait"/>
          <w:cols w:equalWidth="0" w:num="1">
            <w:col w:w="11000"/>
          </w:cols>
          <w:pgMar w:left="440" w:top="274" w:right="459" w:bottom="1440" w:gutter="0" w:footer="0" w:header="0"/>
        </w:sectPr>
      </w:pPr>
    </w:p>
    <w:bookmarkStart w:id="574" w:name="page575"/>
    <w:bookmarkEnd w:id="574"/>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Significant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238" w:lineRule="exact"/>
        <w:rPr>
          <w:sz w:val="20"/>
          <w:szCs w:val="20"/>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MSC Cotai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Entertainment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Holdings Four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7"/>
          <w:szCs w:val="17"/>
          <w:color w:val="auto"/>
        </w:rPr>
      </w:pPr>
      <w:r>
        <w:rPr>
          <w:rFonts w:ascii="Arial" w:cs="Arial" w:eastAsia="Arial" w:hAnsi="Arial"/>
          <w:sz w:val="17"/>
          <w:szCs w:val="17"/>
          <w:color w:val="auto"/>
        </w:rPr>
        <w:t>Studio City Hospitality and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Hotels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Retail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Studio City Ventures Limited, incorporated in the Macau Special Administrative Region of the People’s Republic of China</w:t>
      </w:r>
    </w:p>
    <w:p>
      <w:pPr>
        <w:sectPr>
          <w:pgSz w:w="11900" w:h="16838" w:orient="portrait"/>
          <w:cols w:equalWidth="0" w:num="1">
            <w:col w:w="11020"/>
          </w:cols>
          <w:pgMar w:left="440" w:top="120" w:right="439" w:bottom="1440" w:gutter="0" w:footer="0" w:header="0"/>
        </w:sectPr>
      </w:pPr>
    </w:p>
    <w:bookmarkStart w:id="575" w:name="page576"/>
    <w:bookmarkEnd w:id="575"/>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Property President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Geoffry Philip Andres, certify that:</w:t>
      </w:r>
    </w:p>
    <w:p>
      <w:pPr>
        <w:spacing w:after="0" w:line="131" w:lineRule="exact"/>
        <w:rPr>
          <w:sz w:val="20"/>
          <w:szCs w:val="20"/>
          <w:color w:val="auto"/>
        </w:rPr>
      </w:pPr>
    </w:p>
    <w:p>
      <w:pPr>
        <w:ind w:left="440" w:hanging="436"/>
        <w:spacing w:after="0"/>
        <w:tabs>
          <w:tab w:leader="none" w:pos="44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7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40" w:right="140" w:hanging="436"/>
        <w:spacing w:after="0" w:line="277" w:lineRule="auto"/>
        <w:tabs>
          <w:tab w:leader="none" w:pos="44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860" w:right="120" w:hanging="424"/>
        <w:spacing w:after="0" w:line="264" w:lineRule="auto"/>
        <w:tabs>
          <w:tab w:leader="none" w:pos="86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75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860" w:right="20" w:hanging="424"/>
        <w:spacing w:after="0" w:line="264" w:lineRule="auto"/>
        <w:tabs>
          <w:tab w:leader="none" w:pos="86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440" w:right="100" w:hanging="436"/>
        <w:spacing w:after="0" w:line="342" w:lineRule="auto"/>
        <w:tabs>
          <w:tab w:leader="none" w:pos="440" w:val="left"/>
        </w:tabs>
        <w:numPr>
          <w:ilvl w:val="0"/>
          <w:numId w:val="75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7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7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Property President</w:t>
      </w:r>
    </w:p>
    <w:p>
      <w:pPr>
        <w:sectPr>
          <w:pgSz w:w="11900" w:h="16838" w:orient="portrait"/>
          <w:cols w:equalWidth="0" w:num="1">
            <w:col w:w="11020"/>
          </w:cols>
          <w:pgMar w:left="440" w:top="121" w:right="439"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Property Chief Financial Officer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Timothy Green Nauss, certify that:</w:t>
      </w:r>
    </w:p>
    <w:p>
      <w:pPr>
        <w:spacing w:after="0" w:line="131" w:lineRule="exact"/>
        <w:rPr>
          <w:sz w:val="20"/>
          <w:szCs w:val="20"/>
          <w:color w:val="auto"/>
        </w:rPr>
      </w:pPr>
    </w:p>
    <w:p>
      <w:pPr>
        <w:ind w:left="440" w:hanging="436"/>
        <w:spacing w:after="0"/>
        <w:tabs>
          <w:tab w:leader="none" w:pos="44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7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40" w:right="140" w:hanging="436"/>
        <w:spacing w:after="0" w:line="277" w:lineRule="auto"/>
        <w:tabs>
          <w:tab w:leader="none" w:pos="440" w:val="left"/>
        </w:tabs>
        <w:numPr>
          <w:ilvl w:val="0"/>
          <w:numId w:val="75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860" w:right="120" w:hanging="424"/>
        <w:spacing w:after="0" w:line="264" w:lineRule="auto"/>
        <w:tabs>
          <w:tab w:leader="none" w:pos="86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75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860" w:right="20" w:hanging="424"/>
        <w:spacing w:after="0" w:line="264" w:lineRule="auto"/>
        <w:tabs>
          <w:tab w:leader="none" w:pos="86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440" w:right="100" w:hanging="436"/>
        <w:spacing w:after="0" w:line="342" w:lineRule="auto"/>
        <w:tabs>
          <w:tab w:leader="none" w:pos="440" w:val="left"/>
        </w:tabs>
        <w:numPr>
          <w:ilvl w:val="0"/>
          <w:numId w:val="75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7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7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Property Chief Financial Officer</w:t>
      </w:r>
    </w:p>
    <w:p>
      <w:pPr>
        <w:sectPr>
          <w:pgSz w:w="11900" w:h="16838" w:orient="portrait"/>
          <w:cols w:equalWidth="0" w:num="1">
            <w:col w:w="11020"/>
          </w:cols>
          <w:pgMar w:left="440" w:top="121" w:right="439" w:bottom="1440" w:gutter="0" w:footer="0" w:header="0"/>
        </w:sectPr>
      </w:pPr>
    </w:p>
    <w:bookmarkStart w:id="577" w:name="page578"/>
    <w:bookmarkEnd w:id="577"/>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Property President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2018 as filed with the Securities and Exchange Commission on the date hereof (the “Report”), I, Geoffry Philip Andres, Property President of the Company, certify, pursuant to 18 U.S.C. Section 1350, as adopted pursuant to Section 906 of the Sarbanes-Oxley Act of 2002, that to my knowledge:</w:t>
      </w:r>
    </w:p>
    <w:p>
      <w:pPr>
        <w:spacing w:after="0" w:line="92" w:lineRule="exact"/>
        <w:rPr>
          <w:sz w:val="20"/>
          <w:szCs w:val="20"/>
          <w:color w:val="auto"/>
        </w:rPr>
      </w:pPr>
    </w:p>
    <w:p>
      <w:pPr>
        <w:ind w:left="440" w:hanging="436"/>
        <w:spacing w:after="0"/>
        <w:tabs>
          <w:tab w:leader="none" w:pos="440"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Property President</w:t>
      </w:r>
    </w:p>
    <w:p>
      <w:pPr>
        <w:sectPr>
          <w:pgSz w:w="11900" w:h="16838" w:orient="portrait"/>
          <w:cols w:equalWidth="0" w:num="1">
            <w:col w:w="11020"/>
          </w:cols>
          <w:pgMar w:left="440" w:top="121" w:right="439" w:bottom="1440" w:gutter="0" w:footer="0" w:header="0"/>
        </w:sectPr>
      </w:pPr>
    </w:p>
    <w:bookmarkStart w:id="578" w:name="page579"/>
    <w:bookmarkEnd w:id="578"/>
    <w:p>
      <w:pPr>
        <w:jc w:val="right"/>
        <w:spacing w:after="0"/>
        <w:rPr>
          <w:sz w:val="20"/>
          <w:szCs w:val="20"/>
          <w:color w:val="auto"/>
        </w:rPr>
      </w:pPr>
      <w:r>
        <w:rPr>
          <w:rFonts w:ascii="Arial" w:cs="Arial" w:eastAsia="Arial" w:hAnsi="Arial"/>
          <w:sz w:val="18"/>
          <w:szCs w:val="18"/>
          <w:b w:val="1"/>
          <w:bCs w:val="1"/>
          <w:color w:val="auto"/>
        </w:rPr>
        <w:t>Exhibit 13.2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Property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2018 as filed with the Securities and Exchange Commission on the date hereof (the “Report”), I, Timothy Green Nauss, Property Chief Financial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40" w:hanging="436"/>
        <w:spacing w:after="0"/>
        <w:tabs>
          <w:tab w:leader="none" w:pos="44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40" w:firstLine="4"/>
        <w:spacing w:after="0" w:line="516" w:lineRule="auto"/>
        <w:tabs>
          <w:tab w:leader="none" w:pos="432" w:val="left"/>
        </w:tabs>
        <w:numPr>
          <w:ilvl w:val="0"/>
          <w:numId w:val="7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29,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Property Chief Financial Officer</w:t>
      </w:r>
    </w:p>
    <w:sectPr>
      <w:pgSz w:w="11900" w:h="16838" w:orient="portrait"/>
      <w:cols w:equalWidth="0" w:num="1">
        <w:col w:w="11020"/>
      </w:cols>
      <w:pgMar w:left="440" w:top="12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06E424"/>
    <w:multiLevelType w:val="hybridMultilevel"/>
    <w:lvl w:ilvl="0">
      <w:lvlJc w:val="left"/>
      <w:lvlText w:val="☐"/>
      <w:numFmt w:val="bullet"/>
      <w:start w:val="1"/>
    </w:lvl>
  </w:abstractNum>
  <w:abstractNum w:abstractNumId="1">
    <w:nsid w:val="20CC134C"/>
    <w:multiLevelType w:val="hybridMultilevel"/>
    <w:lvl w:ilvl="0">
      <w:lvlJc w:val="left"/>
      <w:lvlText w:val="☒"/>
      <w:numFmt w:val="bullet"/>
      <w:start w:val="1"/>
    </w:lvl>
  </w:abstractNum>
  <w:abstractNum w:abstractNumId="2">
    <w:nsid w:val="95FC93B"/>
    <w:multiLevelType w:val="hybridMultilevel"/>
    <w:lvl w:ilvl="0">
      <w:lvlJc w:val="left"/>
      <w:lvlText w:val="☐"/>
      <w:numFmt w:val="bullet"/>
      <w:start w:val="1"/>
    </w:lvl>
  </w:abstractNum>
  <w:abstractNum w:abstractNumId="3">
    <w:nsid w:val="41D74679"/>
    <w:multiLevelType w:val="hybridMultilevel"/>
    <w:lvl w:ilvl="0">
      <w:lvlJc w:val="left"/>
      <w:lvlText w:val="☐"/>
      <w:numFmt w:val="bullet"/>
      <w:start w:val="1"/>
    </w:lvl>
  </w:abstractNum>
  <w:abstractNum w:abstractNumId="4">
    <w:nsid w:val="71E5621E"/>
    <w:multiLevelType w:val="hybridMultilevel"/>
    <w:lvl w:ilvl="0">
      <w:lvlJc w:val="left"/>
      <w:lvlText w:val="†"/>
      <w:numFmt w:val="bullet"/>
      <w:start w:val="1"/>
    </w:lvl>
  </w:abstractNum>
  <w:abstractNum w:abstractNumId="5">
    <w:nsid w:val="4E42B6A8"/>
    <w:multiLevelType w:val="hybridMultilevel"/>
    <w:lvl w:ilvl="0">
      <w:lvlJc w:val="left"/>
      <w:lvlText w:val="•"/>
      <w:numFmt w:val="bullet"/>
      <w:start w:val="1"/>
    </w:lvl>
  </w:abstractNum>
  <w:abstractNum w:abstractNumId="6">
    <w:nsid w:val="43F8E1AC"/>
    <w:multiLevelType w:val="hybridMultilevel"/>
    <w:lvl w:ilvl="0">
      <w:lvlJc w:val="left"/>
      <w:lvlText w:val="•"/>
      <w:numFmt w:val="bullet"/>
      <w:start w:val="1"/>
    </w:lvl>
  </w:abstractNum>
  <w:abstractNum w:abstractNumId="7">
    <w:nsid w:val="69215DFB"/>
    <w:multiLevelType w:val="hybridMultilevel"/>
    <w:lvl w:ilvl="0">
      <w:lvlJc w:val="left"/>
      <w:lvlText w:val="•"/>
      <w:numFmt w:val="bullet"/>
      <w:start w:val="1"/>
    </w:lvl>
  </w:abstractNum>
  <w:abstractNum w:abstractNumId="8">
    <w:nsid w:val="7ABF196A"/>
    <w:multiLevelType w:val="hybridMultilevel"/>
    <w:lvl w:ilvl="0">
      <w:lvlJc w:val="left"/>
      <w:lvlText w:val="•"/>
      <w:numFmt w:val="bullet"/>
      <w:start w:val="1"/>
    </w:lvl>
  </w:abstractNum>
  <w:abstractNum w:abstractNumId="9">
    <w:nsid w:val="5E4DB968"/>
    <w:multiLevelType w:val="hybridMultilevel"/>
    <w:lvl w:ilvl="0">
      <w:lvlJc w:val="left"/>
      <w:lvlText w:val="•"/>
      <w:numFmt w:val="bullet"/>
      <w:start w:val="1"/>
    </w:lvl>
  </w:abstractNum>
  <w:abstractNum w:abstractNumId="10">
    <w:nsid w:val="2C06DCF3"/>
    <w:multiLevelType w:val="hybridMultilevel"/>
    <w:lvl w:ilvl="0">
      <w:lvlJc w:val="left"/>
      <w:lvlText w:val="(%1)"/>
      <w:numFmt w:val="decimal"/>
      <w:start w:val="1"/>
    </w:lvl>
  </w:abstractNum>
  <w:abstractNum w:abstractNumId="11">
    <w:nsid w:val="2E129658"/>
    <w:multiLevelType w:val="hybridMultilevel"/>
    <w:lvl w:ilvl="0">
      <w:lvlJc w:val="left"/>
      <w:lvlText w:val="(%1)"/>
      <w:numFmt w:val="decimal"/>
      <w:start w:val="1"/>
    </w:lvl>
  </w:abstractNum>
  <w:abstractNum w:abstractNumId="12">
    <w:nsid w:val="59F0446"/>
    <w:multiLevelType w:val="hybridMultilevel"/>
    <w:lvl w:ilvl="0">
      <w:lvlJc w:val="left"/>
      <w:lvlText w:val="(%1)"/>
      <w:numFmt w:val="decimal"/>
      <w:start w:val="1"/>
    </w:lvl>
  </w:abstractNum>
  <w:abstractNum w:abstractNumId="13">
    <w:nsid w:val="30DF306"/>
    <w:multiLevelType w:val="hybridMultilevel"/>
    <w:lvl w:ilvl="0">
      <w:lvlJc w:val="left"/>
      <w:lvlText w:val="•"/>
      <w:numFmt w:val="bullet"/>
      <w:start w:val="1"/>
    </w:lvl>
  </w:abstractNum>
  <w:abstractNum w:abstractNumId="14">
    <w:nsid w:val="A65647"/>
    <w:multiLevelType w:val="hybridMultilevel"/>
    <w:lvl w:ilvl="0">
      <w:lvlJc w:val="left"/>
      <w:lvlText w:val="•"/>
      <w:numFmt w:val="bullet"/>
      <w:start w:val="1"/>
    </w:lvl>
  </w:abstractNum>
  <w:abstractNum w:abstractNumId="15">
    <w:nsid w:val="3E5E582B"/>
    <w:multiLevelType w:val="hybridMultilevel"/>
    <w:lvl w:ilvl="0">
      <w:lvlJc w:val="left"/>
      <w:lvlText w:val="•"/>
      <w:numFmt w:val="bullet"/>
      <w:start w:val="1"/>
    </w:lvl>
  </w:abstractNum>
  <w:abstractNum w:abstractNumId="16">
    <w:nsid w:val="257D4626"/>
    <w:multiLevelType w:val="hybridMultilevel"/>
    <w:lvl w:ilvl="0">
      <w:lvlJc w:val="left"/>
      <w:lvlText w:val="\emdash "/>
      <w:numFmt w:val="bullet"/>
      <w:start w:val="1"/>
    </w:lvl>
    <w:lvl w:ilvl="1">
      <w:lvlJc w:val="left"/>
      <w:lvlText w:val="•"/>
      <w:numFmt w:val="bullet"/>
      <w:start w:val="1"/>
    </w:lvl>
  </w:abstractNum>
  <w:abstractNum w:abstractNumId="17">
    <w:nsid w:val="5AA8580E"/>
    <w:multiLevelType w:val="hybridMultilevel"/>
    <w:lvl w:ilvl="0">
      <w:lvlJc w:val="left"/>
      <w:lvlText w:val="•"/>
      <w:numFmt w:val="bullet"/>
      <w:start w:val="1"/>
    </w:lvl>
  </w:abstractNum>
  <w:abstractNum w:abstractNumId="18">
    <w:nsid w:val="68FA8D0D"/>
    <w:multiLevelType w:val="hybridMultilevel"/>
    <w:lvl w:ilvl="0">
      <w:lvlJc w:val="left"/>
      <w:lvlText w:val="•"/>
      <w:numFmt w:val="bullet"/>
      <w:start w:val="1"/>
    </w:lvl>
  </w:abstractNum>
  <w:abstractNum w:abstractNumId="19">
    <w:nsid w:val="40F2CBD2"/>
    <w:multiLevelType w:val="hybridMultilevel"/>
    <w:lvl w:ilvl="0">
      <w:lvlJc w:val="left"/>
      <w:lvlText w:val="•"/>
      <w:numFmt w:val="bullet"/>
      <w:start w:val="1"/>
    </w:lvl>
  </w:abstractNum>
  <w:abstractNum w:abstractNumId="20">
    <w:nsid w:val="3BD615EB"/>
    <w:multiLevelType w:val="hybridMultilevel"/>
    <w:lvl w:ilvl="0">
      <w:lvlJc w:val="left"/>
      <w:lvlText w:val="•"/>
      <w:numFmt w:val="bullet"/>
      <w:start w:val="1"/>
    </w:lvl>
  </w:abstractNum>
  <w:abstractNum w:abstractNumId="21">
    <w:nsid w:val="A045AB2"/>
    <w:multiLevelType w:val="hybridMultilevel"/>
    <w:lvl w:ilvl="0">
      <w:lvlJc w:val="left"/>
      <w:lvlText w:val="•"/>
      <w:numFmt w:val="bullet"/>
      <w:start w:val="1"/>
    </w:lvl>
  </w:abstractNum>
  <w:abstractNum w:abstractNumId="22">
    <w:nsid w:val="1872261F"/>
    <w:multiLevelType w:val="hybridMultilevel"/>
    <w:lvl w:ilvl="0">
      <w:lvlJc w:val="left"/>
      <w:lvlText w:val="•"/>
      <w:numFmt w:val="bullet"/>
      <w:start w:val="1"/>
    </w:lvl>
  </w:abstractNum>
  <w:abstractNum w:abstractNumId="23">
    <w:nsid w:val="3DE8306C"/>
    <w:multiLevelType w:val="hybridMultilevel"/>
    <w:lvl w:ilvl="0">
      <w:lvlJc w:val="left"/>
      <w:lvlText w:val="•"/>
      <w:numFmt w:val="bullet"/>
      <w:start w:val="1"/>
    </w:lvl>
  </w:abstractNum>
  <w:abstractNum w:abstractNumId="24">
    <w:nsid w:val="7631573A"/>
    <w:multiLevelType w:val="hybridMultilevel"/>
    <w:lvl w:ilvl="0">
      <w:lvlJc w:val="left"/>
      <w:lvlText w:val="•"/>
      <w:numFmt w:val="bullet"/>
      <w:start w:val="1"/>
    </w:lvl>
  </w:abstractNum>
  <w:abstractNum w:abstractNumId="25">
    <w:nsid w:val="58DF53B"/>
    <w:multiLevelType w:val="hybridMultilevel"/>
    <w:lvl w:ilvl="0">
      <w:lvlJc w:val="left"/>
      <w:lvlText w:val="•"/>
      <w:numFmt w:val="bullet"/>
      <w:start w:val="1"/>
    </w:lvl>
  </w:abstractNum>
  <w:abstractNum w:abstractNumId="26">
    <w:nsid w:val="ACDFAC0"/>
    <w:multiLevelType w:val="hybridMultilevel"/>
    <w:lvl w:ilvl="0">
      <w:lvlJc w:val="left"/>
      <w:lvlText w:val="•"/>
      <w:numFmt w:val="bullet"/>
      <w:start w:val="1"/>
    </w:lvl>
  </w:abstractNum>
  <w:abstractNum w:abstractNumId="27">
    <w:nsid w:val="1F578454"/>
    <w:multiLevelType w:val="hybridMultilevel"/>
    <w:lvl w:ilvl="0">
      <w:lvlJc w:val="left"/>
      <w:lvlText w:val="•"/>
      <w:numFmt w:val="bullet"/>
      <w:start w:val="1"/>
    </w:lvl>
  </w:abstractNum>
  <w:abstractNum w:abstractNumId="28">
    <w:nsid w:val="5B0DAD2A"/>
    <w:multiLevelType w:val="hybridMultilevel"/>
    <w:lvl w:ilvl="0">
      <w:lvlJc w:val="left"/>
      <w:lvlText w:val="•"/>
      <w:numFmt w:val="bullet"/>
      <w:start w:val="1"/>
    </w:lvl>
  </w:abstractNum>
  <w:abstractNum w:abstractNumId="29">
    <w:nsid w:val="4E3D26AB"/>
    <w:multiLevelType w:val="hybridMultilevel"/>
    <w:lvl w:ilvl="0">
      <w:lvlJc w:val="left"/>
      <w:lvlText w:val="•"/>
      <w:numFmt w:val="bullet"/>
      <w:start w:val="1"/>
    </w:lvl>
  </w:abstractNum>
  <w:abstractNum w:abstractNumId="30">
    <w:nsid w:val="BE2C8BA"/>
    <w:multiLevelType w:val="hybridMultilevel"/>
    <w:lvl w:ilvl="0">
      <w:lvlJc w:val="left"/>
      <w:lvlText w:val="•"/>
      <w:numFmt w:val="bullet"/>
      <w:start w:val="1"/>
    </w:lvl>
  </w:abstractNum>
  <w:abstractNum w:abstractNumId="31">
    <w:nsid w:val="7B14914E"/>
    <w:multiLevelType w:val="hybridMultilevel"/>
    <w:lvl w:ilvl="0">
      <w:lvlJc w:val="left"/>
      <w:lvlText w:val="•"/>
      <w:numFmt w:val="bullet"/>
      <w:start w:val="1"/>
    </w:lvl>
  </w:abstractNum>
  <w:abstractNum w:abstractNumId="32">
    <w:nsid w:val="6F0939F8"/>
    <w:multiLevelType w:val="hybridMultilevel"/>
    <w:lvl w:ilvl="0">
      <w:lvlJc w:val="left"/>
      <w:lvlText w:val="•"/>
      <w:numFmt w:val="bullet"/>
      <w:start w:val="1"/>
    </w:lvl>
  </w:abstractNum>
  <w:abstractNum w:abstractNumId="33">
    <w:nsid w:val="154291F6"/>
    <w:multiLevelType w:val="hybridMultilevel"/>
    <w:lvl w:ilvl="0">
      <w:lvlJc w:val="left"/>
      <w:lvlText w:val="•"/>
      <w:numFmt w:val="bullet"/>
      <w:start w:val="1"/>
    </w:lvl>
    <w:lvl w:ilvl="1">
      <w:lvlJc w:val="left"/>
      <w:lvlText w:val="•"/>
      <w:numFmt w:val="bullet"/>
      <w:start w:val="1"/>
    </w:lvl>
  </w:abstractNum>
  <w:abstractNum w:abstractNumId="34">
    <w:nsid w:val="3CEBD7C7"/>
    <w:multiLevelType w:val="hybridMultilevel"/>
    <w:lvl w:ilvl="0">
      <w:lvlJc w:val="left"/>
      <w:lvlText w:val="•"/>
      <w:numFmt w:val="bullet"/>
      <w:start w:val="1"/>
    </w:lvl>
  </w:abstractNum>
  <w:abstractNum w:abstractNumId="35">
    <w:nsid w:val="60EE9C16"/>
    <w:multiLevelType w:val="hybridMultilevel"/>
    <w:lvl w:ilvl="0">
      <w:lvlJc w:val="left"/>
      <w:lvlText w:val="•"/>
      <w:numFmt w:val="bullet"/>
      <w:start w:val="1"/>
    </w:lvl>
  </w:abstractNum>
  <w:abstractNum w:abstractNumId="36">
    <w:nsid w:val="6385489E"/>
    <w:multiLevelType w:val="hybridMultilevel"/>
    <w:lvl w:ilvl="0">
      <w:lvlJc w:val="left"/>
      <w:lvlText w:val="•"/>
      <w:numFmt w:val="bullet"/>
      <w:start w:val="1"/>
    </w:lvl>
  </w:abstractNum>
  <w:abstractNum w:abstractNumId="37">
    <w:nsid w:val="E4B973"/>
    <w:multiLevelType w:val="hybridMultilevel"/>
    <w:lvl w:ilvl="0">
      <w:lvlJc w:val="left"/>
      <w:lvlText w:val="•"/>
      <w:numFmt w:val="bullet"/>
      <w:start w:val="1"/>
    </w:lvl>
  </w:abstractNum>
  <w:abstractNum w:abstractNumId="38">
    <w:nsid w:val="4A0FFA11"/>
    <w:multiLevelType w:val="hybridMultilevel"/>
    <w:lvl w:ilvl="0">
      <w:lvlJc w:val="left"/>
      <w:lvlText w:val="•"/>
      <w:numFmt w:val="bullet"/>
      <w:start w:val="1"/>
    </w:lvl>
  </w:abstractNum>
  <w:abstractNum w:abstractNumId="39">
    <w:nsid w:val="5E446208"/>
    <w:multiLevelType w:val="hybridMultilevel"/>
    <w:lvl w:ilvl="0">
      <w:lvlJc w:val="left"/>
      <w:lvlText w:val="•"/>
      <w:numFmt w:val="bullet"/>
      <w:start w:val="1"/>
    </w:lvl>
  </w:abstractNum>
  <w:abstractNum w:abstractNumId="40">
    <w:nsid w:val="5F3272DB"/>
    <w:multiLevelType w:val="hybridMultilevel"/>
    <w:lvl w:ilvl="0">
      <w:lvlJc w:val="left"/>
      <w:lvlText w:val="•"/>
      <w:numFmt w:val="bullet"/>
      <w:start w:val="1"/>
    </w:lvl>
  </w:abstractNum>
  <w:abstractNum w:abstractNumId="41">
    <w:nsid w:val="7616D704"/>
    <w:multiLevelType w:val="hybridMultilevel"/>
    <w:lvl w:ilvl="0">
      <w:lvlJc w:val="left"/>
      <w:lvlText w:val="•"/>
      <w:numFmt w:val="bullet"/>
      <w:start w:val="1"/>
    </w:lvl>
  </w:abstractNum>
  <w:abstractNum w:abstractNumId="42">
    <w:nsid w:val="C56F860"/>
    <w:multiLevelType w:val="hybridMultilevel"/>
    <w:lvl w:ilvl="0">
      <w:lvlJc w:val="left"/>
      <w:lvlText w:val="•"/>
      <w:numFmt w:val="bullet"/>
      <w:start w:val="1"/>
    </w:lvl>
  </w:abstractNum>
  <w:abstractNum w:abstractNumId="43">
    <w:nsid w:val="64D17722"/>
    <w:multiLevelType w:val="hybridMultilevel"/>
    <w:lvl w:ilvl="0">
      <w:lvlJc w:val="left"/>
      <w:lvlText w:val="%1)"/>
      <w:numFmt w:val="decimal"/>
      <w:start w:val="1"/>
    </w:lvl>
  </w:abstractNum>
  <w:abstractNum w:abstractNumId="44">
    <w:nsid w:val="7924CA0A"/>
    <w:multiLevelType w:val="hybridMultilevel"/>
    <w:lvl w:ilvl="0">
      <w:lvlJc w:val="left"/>
      <w:lvlText w:val="(%1)"/>
      <w:numFmt w:val="decimal"/>
      <w:start w:val="2"/>
    </w:lvl>
  </w:abstractNum>
  <w:abstractNum w:abstractNumId="45">
    <w:nsid w:val="CFD4EA7"/>
    <w:multiLevelType w:val="hybridMultilevel"/>
    <w:lvl w:ilvl="0">
      <w:lvlJc w:val="left"/>
      <w:lvlText w:val="(%1)"/>
      <w:numFmt w:val="decimal"/>
      <w:start w:val="3"/>
    </w:lvl>
  </w:abstractNum>
  <w:abstractNum w:abstractNumId="46">
    <w:nsid w:val="232FCF4D"/>
    <w:multiLevelType w:val="hybridMultilevel"/>
    <w:lvl w:ilvl="0">
      <w:lvlJc w:val="left"/>
      <w:lvlText w:val="•"/>
      <w:numFmt w:val="bullet"/>
      <w:start w:val="1"/>
    </w:lvl>
  </w:abstractNum>
  <w:abstractNum w:abstractNumId="47">
    <w:nsid w:val="1EA21031"/>
    <w:multiLevelType w:val="hybridMultilevel"/>
    <w:lvl w:ilvl="0">
      <w:lvlJc w:val="left"/>
      <w:lvlText w:val="•"/>
      <w:numFmt w:val="bullet"/>
      <w:start w:val="1"/>
    </w:lvl>
  </w:abstractNum>
  <w:abstractNum w:abstractNumId="48">
    <w:nsid w:val="67A5A6B5"/>
    <w:multiLevelType w:val="hybridMultilevel"/>
    <w:lvl w:ilvl="0">
      <w:lvlJc w:val="left"/>
      <w:lvlText w:val="•"/>
      <w:numFmt w:val="bullet"/>
      <w:start w:val="1"/>
    </w:lvl>
  </w:abstractNum>
  <w:abstractNum w:abstractNumId="49">
    <w:nsid w:val="C2A5C5B"/>
    <w:multiLevelType w:val="hybridMultilevel"/>
    <w:lvl w:ilvl="0">
      <w:lvlJc w:val="left"/>
      <w:lvlText w:val="•"/>
      <w:numFmt w:val="bullet"/>
      <w:start w:val="1"/>
    </w:lvl>
  </w:abstractNum>
  <w:abstractNum w:abstractNumId="50">
    <w:nsid w:val="5F94DC03"/>
    <w:multiLevelType w:val="hybridMultilevel"/>
    <w:lvl w:ilvl="0">
      <w:lvlJc w:val="left"/>
      <w:lvlText w:val="•"/>
      <w:numFmt w:val="bullet"/>
      <w:start w:val="1"/>
    </w:lvl>
  </w:abstractNum>
  <w:abstractNum w:abstractNumId="51">
    <w:nsid w:val="237BBCA0"/>
    <w:multiLevelType w:val="hybridMultilevel"/>
    <w:lvl w:ilvl="0">
      <w:lvlJc w:val="left"/>
      <w:lvlText w:val="•"/>
      <w:numFmt w:val="bullet"/>
      <w:start w:val="1"/>
    </w:lvl>
  </w:abstractNum>
  <w:abstractNum w:abstractNumId="52">
    <w:nsid w:val="162EB70D"/>
    <w:multiLevelType w:val="hybridMultilevel"/>
    <w:lvl w:ilvl="0">
      <w:lvlJc w:val="left"/>
      <w:lvlText w:val="•"/>
      <w:numFmt w:val="bullet"/>
      <w:start w:val="1"/>
    </w:lvl>
  </w:abstractNum>
  <w:abstractNum w:abstractNumId="53">
    <w:nsid w:val="78070222"/>
    <w:multiLevelType w:val="hybridMultilevel"/>
    <w:lvl w:ilvl="0">
      <w:lvlJc w:val="left"/>
      <w:lvlText w:val="•"/>
      <w:numFmt w:val="bullet"/>
      <w:start w:val="1"/>
    </w:lvl>
  </w:abstractNum>
  <w:abstractNum w:abstractNumId="54">
    <w:nsid w:val="6163ED0D"/>
    <w:multiLevelType w:val="hybridMultilevel"/>
    <w:lvl w:ilvl="0">
      <w:lvlJc w:val="left"/>
      <w:lvlText w:val="•"/>
      <w:numFmt w:val="bullet"/>
      <w:start w:val="1"/>
    </w:lvl>
  </w:abstractNum>
  <w:abstractNum w:abstractNumId="55">
    <w:nsid w:val="C600E47"/>
    <w:multiLevelType w:val="hybridMultilevel"/>
    <w:lvl w:ilvl="0">
      <w:lvlJc w:val="left"/>
      <w:lvlText w:val="•"/>
      <w:numFmt w:val="bullet"/>
      <w:start w:val="1"/>
    </w:lvl>
  </w:abstractNum>
  <w:abstractNum w:abstractNumId="56">
    <w:nsid w:val="7D94F75D"/>
    <w:multiLevelType w:val="hybridMultilevel"/>
    <w:lvl w:ilvl="0">
      <w:lvlJc w:val="left"/>
      <w:lvlText w:val="•"/>
      <w:numFmt w:val="bullet"/>
      <w:start w:val="1"/>
    </w:lvl>
  </w:abstractNum>
  <w:abstractNum w:abstractNumId="57">
    <w:nsid w:val="6C31E7CD"/>
    <w:multiLevelType w:val="hybridMultilevel"/>
    <w:lvl w:ilvl="0">
      <w:lvlJc w:val="left"/>
      <w:lvlText w:val="•"/>
      <w:numFmt w:val="bullet"/>
      <w:start w:val="1"/>
    </w:lvl>
  </w:abstractNum>
  <w:abstractNum w:abstractNumId="58">
    <w:nsid w:val="2BB7929B"/>
    <w:multiLevelType w:val="hybridMultilevel"/>
    <w:lvl w:ilvl="0">
      <w:lvlJc w:val="left"/>
      <w:lvlText w:val="(%1)"/>
      <w:numFmt w:val="decimal"/>
      <w:start w:val="1"/>
    </w:lvl>
  </w:abstractNum>
  <w:abstractNum w:abstractNumId="59">
    <w:nsid w:val="58A2A487"/>
    <w:multiLevelType w:val="hybridMultilevel"/>
    <w:lvl w:ilvl="0">
      <w:lvlJc w:val="left"/>
      <w:lvlText w:val="(%1)"/>
      <w:numFmt w:val="decimal"/>
      <w:start w:val="1"/>
    </w:lvl>
  </w:abstractNum>
  <w:abstractNum w:abstractNumId="60">
    <w:nsid w:val="3A6F0E78"/>
    <w:multiLevelType w:val="hybridMultilevel"/>
    <w:lvl w:ilvl="0">
      <w:lvlJc w:val="left"/>
      <w:lvlText w:val="•"/>
      <w:numFmt w:val="bullet"/>
      <w:start w:val="1"/>
    </w:lvl>
    <w:lvl w:ilvl="1">
      <w:lvlJc w:val="left"/>
      <w:lvlText w:val="\endash "/>
      <w:numFmt w:val="bullet"/>
      <w:start w:val="1"/>
    </w:lvl>
  </w:abstractNum>
  <w:abstractNum w:abstractNumId="61">
    <w:nsid w:val="379A5B56"/>
    <w:multiLevelType w:val="hybridMultilevel"/>
    <w:lvl w:ilvl="0">
      <w:lvlJc w:val="left"/>
      <w:lvlText w:val="(%1)"/>
      <w:numFmt w:val="decimal"/>
      <w:start w:val="1"/>
    </w:lvl>
  </w:abstractNum>
  <w:abstractNum w:abstractNumId="62">
    <w:nsid w:val="53B735D5"/>
    <w:multiLevelType w:val="hybridMultilevel"/>
    <w:lvl w:ilvl="0">
      <w:lvlJc w:val="left"/>
      <w:lvlText w:val="•"/>
      <w:numFmt w:val="bullet"/>
      <w:start w:val="1"/>
    </w:lvl>
  </w:abstractNum>
  <w:abstractNum w:abstractNumId="63">
    <w:nsid w:val="29784870"/>
    <w:multiLevelType w:val="hybridMultilevel"/>
    <w:lvl w:ilvl="0">
      <w:lvlJc w:val="left"/>
      <w:lvlText w:val="•"/>
      <w:numFmt w:val="bullet"/>
      <w:start w:val="1"/>
    </w:lvl>
  </w:abstractNum>
  <w:abstractNum w:abstractNumId="64">
    <w:nsid w:val="4CDCED4C"/>
    <w:multiLevelType w:val="hybridMultilevel"/>
    <w:lvl w:ilvl="0">
      <w:lvlJc w:val="left"/>
      <w:lvlText w:val="•"/>
      <w:numFmt w:val="bullet"/>
      <w:start w:val="1"/>
    </w:lvl>
  </w:abstractNum>
  <w:abstractNum w:abstractNumId="65">
    <w:nsid w:val="10A30D9C"/>
    <w:multiLevelType w:val="hybridMultilevel"/>
    <w:lvl w:ilvl="0">
      <w:lvlJc w:val="left"/>
      <w:lvlText w:val="•"/>
      <w:numFmt w:val="bullet"/>
      <w:start w:val="1"/>
    </w:lvl>
  </w:abstractNum>
  <w:abstractNum w:abstractNumId="66">
    <w:nsid w:val="A66E486"/>
    <w:multiLevelType w:val="hybridMultilevel"/>
    <w:lvl w:ilvl="0">
      <w:lvlJc w:val="left"/>
      <w:lvlText w:val="•"/>
      <w:numFmt w:val="bullet"/>
      <w:start w:val="1"/>
    </w:lvl>
  </w:abstractNum>
  <w:abstractNum w:abstractNumId="67">
    <w:nsid w:val="306235EA"/>
    <w:multiLevelType w:val="hybridMultilevel"/>
    <w:lvl w:ilvl="0">
      <w:lvlJc w:val="left"/>
      <w:lvlText w:val="•"/>
      <w:numFmt w:val="bullet"/>
      <w:start w:val="1"/>
    </w:lvl>
  </w:abstractNum>
  <w:abstractNum w:abstractNumId="68">
    <w:nsid w:val="1187C70F"/>
    <w:multiLevelType w:val="hybridMultilevel"/>
    <w:lvl w:ilvl="0">
      <w:lvlJc w:val="left"/>
      <w:lvlText w:val="*"/>
      <w:numFmt w:val="bullet"/>
      <w:start w:val="1"/>
    </w:lvl>
  </w:abstractNum>
  <w:abstractNum w:abstractNumId="69">
    <w:nsid w:val="5476DE98"/>
    <w:multiLevelType w:val="hybridMultilevel"/>
    <w:lvl w:ilvl="0">
      <w:lvlJc w:val="left"/>
      <w:lvlText w:val="(%1)"/>
      <w:numFmt w:val="decimal"/>
      <w:start w:val="1"/>
    </w:lvl>
  </w:abstractNum>
  <w:abstractNum w:abstractNumId="70">
    <w:nsid w:val="EA697F2"/>
    <w:multiLevelType w:val="hybridMultilevel"/>
    <w:lvl w:ilvl="0">
      <w:lvlJc w:val="left"/>
      <w:lvlText w:val="(%1)"/>
      <w:numFmt w:val="decimal"/>
      <w:start w:val="1"/>
    </w:lvl>
  </w:abstractNum>
  <w:abstractNum w:abstractNumId="71">
    <w:nsid w:val="70BA39EB"/>
    <w:multiLevelType w:val="hybridMultilevel"/>
    <w:lvl w:ilvl="0">
      <w:lvlJc w:val="left"/>
      <w:lvlText w:val="(%1)"/>
      <w:numFmt w:val="decimal"/>
      <w:start w:val="4"/>
    </w:lvl>
  </w:abstractNum>
  <w:abstractNum w:abstractNumId="72">
    <w:nsid w:val="4A8DB59C"/>
    <w:multiLevelType w:val="hybridMultilevel"/>
    <w:lvl w:ilvl="0">
      <w:lvlJc w:val="left"/>
      <w:lvlText w:val="•"/>
      <w:numFmt w:val="bullet"/>
      <w:start w:val="1"/>
    </w:lvl>
  </w:abstractNum>
  <w:abstractNum w:abstractNumId="73">
    <w:nsid w:val="1AFD9053"/>
    <w:multiLevelType w:val="hybridMultilevel"/>
    <w:lvl w:ilvl="0">
      <w:lvlJc w:val="left"/>
      <w:lvlText w:val="(%1)"/>
      <w:numFmt w:val="lowerRoman"/>
      <w:start w:val="4"/>
    </w:lvl>
  </w:abstractNum>
  <w:abstractNum w:abstractNumId="74">
    <w:nsid w:val="558BB10D"/>
    <w:multiLevelType w:val="hybridMultilevel"/>
    <w:lvl w:ilvl="0">
      <w:lvlJc w:val="left"/>
      <w:lvlText w:val="(%1)"/>
      <w:numFmt w:val="lowerLetter"/>
      <w:start w:val="2"/>
    </w:lvl>
  </w:abstractNum>
  <w:abstractNum w:abstractNumId="75">
    <w:nsid w:val="43B27FA7"/>
    <w:multiLevelType w:val="hybridMultilevel"/>
    <w:lvl w:ilvl="0">
      <w:lvlJc w:val="left"/>
      <w:lvlText w:val="(%1)"/>
      <w:numFmt w:val="lowerLetter"/>
      <w:start w:val="4"/>
    </w:lvl>
  </w:abstractNum>
  <w:abstractNum w:abstractNumId="76">
    <w:nsid w:val="27FADEFA"/>
    <w:multiLevelType w:val="hybridMultilevel"/>
    <w:lvl w:ilvl="0">
      <w:lvlJc w:val="left"/>
      <w:lvlText w:val="•"/>
      <w:numFmt w:val="bullet"/>
      <w:start w:val="1"/>
    </w:lvl>
  </w:abstractNum>
  <w:abstractNum w:abstractNumId="77">
    <w:nsid w:val="78BB805A"/>
    <w:multiLevelType w:val="hybridMultilevel"/>
    <w:lvl w:ilvl="0">
      <w:lvlJc w:val="left"/>
      <w:lvlText w:val="•"/>
      <w:numFmt w:val="bullet"/>
      <w:start w:val="1"/>
    </w:lvl>
  </w:abstractNum>
  <w:abstractNum w:abstractNumId="78">
    <w:nsid w:val="62548FD8"/>
    <w:multiLevelType w:val="hybridMultilevel"/>
    <w:lvl w:ilvl="0">
      <w:lvlJc w:val="left"/>
      <w:lvlText w:val="•"/>
      <w:numFmt w:val="bullet"/>
      <w:start w:val="1"/>
    </w:lvl>
  </w:abstractNum>
  <w:abstractNum w:abstractNumId="79">
    <w:nsid w:val="FA085B0"/>
    <w:multiLevelType w:val="hybridMultilevel"/>
    <w:lvl w:ilvl="0">
      <w:lvlJc w:val="left"/>
      <w:lvlText w:val="•"/>
      <w:numFmt w:val="bullet"/>
      <w:start w:val="1"/>
    </w:lvl>
  </w:abstractNum>
  <w:abstractNum w:abstractNumId="80">
    <w:nsid w:val="4E5DCB5"/>
    <w:multiLevelType w:val="hybridMultilevel"/>
    <w:lvl w:ilvl="0">
      <w:lvlJc w:val="left"/>
      <w:lvlText w:val="•"/>
      <w:numFmt w:val="bullet"/>
      <w:start w:val="1"/>
    </w:lvl>
  </w:abstractNum>
  <w:abstractNum w:abstractNumId="81">
    <w:nsid w:val="41E96BDB"/>
    <w:multiLevelType w:val="hybridMultilevel"/>
    <w:lvl w:ilvl="0">
      <w:lvlJc w:val="left"/>
      <w:lvlText w:val="•"/>
      <w:numFmt w:val="bullet"/>
      <w:start w:val="1"/>
    </w:lvl>
  </w:abstractNum>
  <w:abstractNum w:abstractNumId="82">
    <w:nsid w:val="331C4250"/>
    <w:multiLevelType w:val="hybridMultilevel"/>
    <w:lvl w:ilvl="0">
      <w:lvlJc w:val="left"/>
      <w:lvlText w:val="•"/>
      <w:numFmt w:val="bullet"/>
      <w:start w:val="1"/>
    </w:lvl>
  </w:abstractNum>
  <w:abstractNum w:abstractNumId="83">
    <w:nsid w:val="1B1493C2"/>
    <w:multiLevelType w:val="hybridMultilevel"/>
    <w:lvl w:ilvl="0">
      <w:lvlJc w:val="left"/>
      <w:lvlText w:val="•"/>
      <w:numFmt w:val="bullet"/>
      <w:start w:val="1"/>
    </w:lvl>
  </w:abstractNum>
  <w:abstractNum w:abstractNumId="84">
    <w:nsid w:val="39F06DFD"/>
    <w:multiLevelType w:val="hybridMultilevel"/>
    <w:lvl w:ilvl="0">
      <w:lvlJc w:val="left"/>
      <w:lvlText w:val="•"/>
      <w:numFmt w:val="bullet"/>
      <w:start w:val="1"/>
    </w:lvl>
  </w:abstractNum>
  <w:abstractNum w:abstractNumId="85">
    <w:nsid w:val="14802F5D"/>
    <w:multiLevelType w:val="hybridMultilevel"/>
    <w:lvl w:ilvl="0">
      <w:lvlJc w:val="left"/>
      <w:lvlText w:val="•"/>
      <w:numFmt w:val="bullet"/>
      <w:start w:val="1"/>
    </w:lvl>
  </w:abstractNum>
  <w:abstractNum w:abstractNumId="86">
    <w:nsid w:val="2774A209"/>
    <w:multiLevelType w:val="hybridMultilevel"/>
    <w:lvl w:ilvl="0">
      <w:lvlJc w:val="left"/>
      <w:lvlText w:val="•"/>
      <w:numFmt w:val="bullet"/>
      <w:start w:val="1"/>
    </w:lvl>
  </w:abstractNum>
  <w:abstractNum w:abstractNumId="87">
    <w:nsid w:val="3785655A"/>
    <w:multiLevelType w:val="hybridMultilevel"/>
    <w:lvl w:ilvl="0">
      <w:lvlJc w:val="left"/>
      <w:lvlText w:val="•"/>
      <w:numFmt w:val="bullet"/>
      <w:start w:val="1"/>
    </w:lvl>
  </w:abstractNum>
  <w:abstractNum w:abstractNumId="88">
    <w:nsid w:val="B2172A"/>
    <w:multiLevelType w:val="hybridMultilevel"/>
    <w:lvl w:ilvl="0">
      <w:lvlJc w:val="left"/>
      <w:lvlText w:val="•"/>
      <w:numFmt w:val="bullet"/>
      <w:start w:val="1"/>
    </w:lvl>
  </w:abstractNum>
  <w:abstractNum w:abstractNumId="89">
    <w:nsid w:val="532C34A5"/>
    <w:multiLevelType w:val="hybridMultilevel"/>
    <w:lvl w:ilvl="0">
      <w:lvlJc w:val="left"/>
      <w:lvlText w:val="•"/>
      <w:numFmt w:val="bullet"/>
      <w:start w:val="1"/>
    </w:lvl>
  </w:abstractNum>
  <w:abstractNum w:abstractNumId="90">
    <w:nsid w:val="102809E2"/>
    <w:multiLevelType w:val="hybridMultilevel"/>
    <w:lvl w:ilvl="0">
      <w:lvlJc w:val="left"/>
      <w:lvlText w:val="(%1)"/>
      <w:numFmt w:val="decimal"/>
      <w:start w:val="1"/>
    </w:lvl>
  </w:abstractNum>
  <w:abstractNum w:abstractNumId="91">
    <w:nsid w:val="3B2125A3"/>
    <w:multiLevelType w:val="hybridMultilevel"/>
    <w:lvl w:ilvl="0">
      <w:lvlJc w:val="left"/>
      <w:lvlText w:val="(%1)"/>
      <w:numFmt w:val="decimal"/>
      <w:start w:val="1"/>
    </w:lvl>
  </w:abstractNum>
  <w:abstractNum w:abstractNumId="92">
    <w:nsid w:val="AC68FFB"/>
    <w:multiLevelType w:val="hybridMultilevel"/>
    <w:lvl w:ilvl="0">
      <w:lvlJc w:val="left"/>
      <w:lvlText w:val="*"/>
      <w:numFmt w:val="bullet"/>
      <w:start w:val="1"/>
    </w:lvl>
  </w:abstractNum>
  <w:abstractNum w:abstractNumId="93">
    <w:nsid w:val="63DF3FB7"/>
    <w:multiLevelType w:val="hybridMultilevel"/>
    <w:lvl w:ilvl="0">
      <w:lvlJc w:val="left"/>
      <w:lvlText w:val="†"/>
      <w:numFmt w:val="bullet"/>
      <w:start w:val="1"/>
    </w:lvl>
  </w:abstractNum>
  <w:abstractNum w:abstractNumId="94">
    <w:nsid w:val="64996E13"/>
    <w:multiLevelType w:val="hybridMultilevel"/>
    <w:lvl w:ilvl="0">
      <w:lvlJc w:val="left"/>
      <w:lvlText w:val="%1."/>
      <w:numFmt w:val="decimal"/>
      <w:start w:val="1"/>
    </w:lvl>
  </w:abstractNum>
  <w:abstractNum w:abstractNumId="95">
    <w:nsid w:val="57A37D47"/>
    <w:multiLevelType w:val="hybridMultilevel"/>
    <w:lvl w:ilvl="0">
      <w:lvlJc w:val="left"/>
      <w:lvlText w:val="%1."/>
      <w:numFmt w:val="decimal"/>
      <w:start w:val="1"/>
    </w:lvl>
    <w:lvl w:ilvl="1">
      <w:lvlJc w:val="left"/>
      <w:lvlText w:val="(%2)"/>
      <w:numFmt w:val="lowerLetter"/>
      <w:start w:val="1"/>
    </w:lvl>
  </w:abstractNum>
  <w:abstractNum w:abstractNumId="96">
    <w:nsid w:val="74824D54"/>
    <w:multiLevelType w:val="hybridMultilevel"/>
    <w:lvl w:ilvl="0">
      <w:lvlJc w:val="left"/>
      <w:lvlText w:val="%1."/>
      <w:numFmt w:val="decimal"/>
      <w:start w:val="2"/>
    </w:lvl>
    <w:lvl w:ilvl="1">
      <w:lvlJc w:val="left"/>
      <w:lvlText w:val="(%2)"/>
      <w:numFmt w:val="lowerLetter"/>
      <w:start w:val="1"/>
    </w:lvl>
  </w:abstractNum>
  <w:abstractNum w:abstractNumId="97">
    <w:nsid w:val="6F00529A"/>
    <w:multiLevelType w:val="hybridMultilevel"/>
    <w:lvl w:ilvl="0">
      <w:lvlJc w:val="left"/>
      <w:lvlText w:val="%1."/>
      <w:numFmt w:val="decimal"/>
      <w:start w:val="2"/>
    </w:lvl>
    <w:lvl w:ilvl="1">
      <w:lvlJc w:val="left"/>
      <w:lvlText w:val="(%2)"/>
      <w:numFmt w:val="lowerLetter"/>
      <w:start w:val="6"/>
    </w:lvl>
  </w:abstractNum>
  <w:abstractNum w:abstractNumId="98">
    <w:nsid w:val="805B331"/>
    <w:multiLevelType w:val="hybridMultilevel"/>
    <w:lvl w:ilvl="0">
      <w:lvlJc w:val="left"/>
      <w:lvlText w:val="(%1)"/>
      <w:numFmt w:val="lowerRoman"/>
      <w:start w:val="1"/>
    </w:lvl>
  </w:abstractNum>
  <w:abstractNum w:abstractNumId="99">
    <w:nsid w:val="60A1463"/>
    <w:multiLevelType w:val="hybridMultilevel"/>
    <w:lvl w:ilvl="0">
      <w:lvlJc w:val="left"/>
      <w:lvlText w:val="%1."/>
      <w:numFmt w:val="decimal"/>
      <w:start w:val="2"/>
    </w:lvl>
    <w:lvl w:ilvl="1">
      <w:lvlJc w:val="left"/>
      <w:lvlText w:val="(%2)"/>
      <w:numFmt w:val="lowerLetter"/>
      <w:start w:val="9"/>
    </w:lvl>
  </w:abstractNum>
  <w:abstractNum w:abstractNumId="100">
    <w:nsid w:val="43773132"/>
    <w:multiLevelType w:val="hybridMultilevel"/>
    <w:lvl w:ilvl="0">
      <w:lvlJc w:val="left"/>
      <w:lvlText w:val="%1."/>
      <w:numFmt w:val="decimal"/>
      <w:start w:val="2"/>
    </w:lvl>
    <w:lvl w:ilvl="1">
      <w:lvlJc w:val="left"/>
      <w:lvlText w:val="(%2)"/>
      <w:numFmt w:val="lowerLetter"/>
      <w:start w:val="14"/>
    </w:lvl>
  </w:abstractNum>
  <w:abstractNum w:abstractNumId="101">
    <w:nsid w:val="16AC4B23"/>
    <w:multiLevelType w:val="hybridMultilevel"/>
    <w:lvl w:ilvl="0">
      <w:lvlJc w:val="left"/>
      <w:lvlText w:val="%1."/>
      <w:numFmt w:val="decimal"/>
      <w:start w:val="2"/>
    </w:lvl>
    <w:lvl w:ilvl="1">
      <w:lvlJc w:val="left"/>
      <w:lvlText w:val="(%2)"/>
      <w:numFmt w:val="lowerLetter"/>
      <w:start w:val="15"/>
    </w:lvl>
  </w:abstractNum>
  <w:abstractNum w:abstractNumId="102">
    <w:nsid w:val="76C44E4E"/>
    <w:multiLevelType w:val="hybridMultilevel"/>
    <w:lvl w:ilvl="0">
      <w:lvlJc w:val="left"/>
      <w:lvlText w:val="%1."/>
      <w:numFmt w:val="decimal"/>
      <w:start w:val="2"/>
    </w:lvl>
    <w:lvl w:ilvl="1">
      <w:lvlJc w:val="left"/>
      <w:lvlText w:val="(%2)"/>
      <w:numFmt w:val="lowerLetter"/>
      <w:start w:val="19"/>
    </w:lvl>
  </w:abstractNum>
  <w:abstractNum w:abstractNumId="103">
    <w:nsid w:val="E04E6CE"/>
    <w:multiLevelType w:val="hybridMultilevel"/>
    <w:lvl w:ilvl="0">
      <w:lvlJc w:val="left"/>
      <w:lvlText w:val="%1."/>
      <w:numFmt w:val="decimal"/>
      <w:start w:val="2"/>
    </w:lvl>
    <w:lvl w:ilvl="1">
      <w:lvlJc w:val="left"/>
      <w:lvlText w:val="(%2)"/>
      <w:numFmt w:val="lowerLetter"/>
      <w:start w:val="21"/>
    </w:lvl>
    <w:lvl w:ilvl="2">
      <w:lvlJc w:val="left"/>
      <w:lvlText w:val="(%3)"/>
      <w:numFmt w:val="decimal"/>
      <w:start w:val="1"/>
    </w:lvl>
  </w:abstractNum>
  <w:abstractNum w:abstractNumId="104">
    <w:nsid w:val="31A9DB76"/>
    <w:multiLevelType w:val="hybridMultilevel"/>
    <w:lvl w:ilvl="0">
      <w:lvlJc w:val="left"/>
      <w:lvlText w:val="%1."/>
      <w:numFmt w:val="decimal"/>
      <w:start w:val="2"/>
    </w:lvl>
    <w:lvl w:ilvl="1">
      <w:lvlJc w:val="left"/>
      <w:lvlText w:val="(%2)"/>
      <w:numFmt w:val="lowerRoman"/>
      <w:start w:val="5"/>
    </w:lvl>
  </w:abstractNum>
  <w:abstractNum w:abstractNumId="105">
    <w:nsid w:val="4C4FFF5B"/>
    <w:multiLevelType w:val="hybridMultilevel"/>
    <w:lvl w:ilvl="0">
      <w:lvlJc w:val="left"/>
      <w:lvlText w:val="%1."/>
      <w:numFmt w:val="decimal"/>
      <w:start w:val="2"/>
    </w:lvl>
    <w:lvl w:ilvl="1">
      <w:lvlJc w:val="left"/>
      <w:lvlText w:val="(%2)"/>
      <w:numFmt w:val="lowerRoman"/>
      <w:start w:val="5"/>
    </w:lvl>
  </w:abstractNum>
  <w:abstractNum w:abstractNumId="106">
    <w:nsid w:val="51B76675"/>
    <w:multiLevelType w:val="hybridMultilevel"/>
    <w:lvl w:ilvl="0">
      <w:lvlJc w:val="left"/>
      <w:lvlText w:val="%1."/>
      <w:numFmt w:val="decimal"/>
      <w:start w:val="3"/>
    </w:lvl>
  </w:abstractNum>
  <w:abstractNum w:abstractNumId="107">
    <w:nsid w:val="59A4BA71"/>
    <w:multiLevelType w:val="hybridMultilevel"/>
    <w:lvl w:ilvl="0">
      <w:lvlJc w:val="left"/>
      <w:lvlText w:val="%1."/>
      <w:numFmt w:val="decimal"/>
      <w:start w:val="6"/>
    </w:lvl>
  </w:abstractNum>
  <w:abstractNum w:abstractNumId="108">
    <w:nsid w:val="450B7FB6"/>
    <w:multiLevelType w:val="hybridMultilevel"/>
    <w:lvl w:ilvl="0">
      <w:lvlJc w:val="left"/>
      <w:lvlText w:val="(%1)"/>
      <w:numFmt w:val="decimal"/>
      <w:start w:val="1"/>
    </w:lvl>
  </w:abstractNum>
  <w:abstractNum w:abstractNumId="109">
    <w:nsid w:val="340BF64D"/>
    <w:multiLevelType w:val="hybridMultilevel"/>
    <w:lvl w:ilvl="0">
      <w:lvlJc w:val="left"/>
      <w:lvlText w:val="(%1)"/>
      <w:numFmt w:val="lowerLetter"/>
      <w:start w:val="1"/>
    </w:lvl>
  </w:abstractNum>
  <w:abstractNum w:abstractNumId="110">
    <w:nsid w:val="69454021"/>
    <w:multiLevelType w:val="hybridMultilevel"/>
    <w:lvl w:ilvl="0">
      <w:lvlJc w:val="left"/>
      <w:lvlText w:val="%1."/>
      <w:numFmt w:val="decimal"/>
      <w:start w:val="7"/>
    </w:lvl>
  </w:abstractNum>
  <w:abstractNum w:abstractNumId="111">
    <w:nsid w:val="49F15C6B"/>
    <w:multiLevelType w:val="hybridMultilevel"/>
    <w:lvl w:ilvl="0">
      <w:lvlJc w:val="left"/>
      <w:lvlText w:val="(%1)"/>
      <w:numFmt w:val="lowerLetter"/>
      <w:start w:val="1"/>
    </w:lvl>
  </w:abstractNum>
  <w:abstractNum w:abstractNumId="112">
    <w:nsid w:val="75F56228"/>
    <w:multiLevelType w:val="hybridMultilevel"/>
    <w:lvl w:ilvl="0">
      <w:lvlJc w:val="left"/>
      <w:lvlText w:val="(%1)"/>
      <w:numFmt w:val="lowerRoman"/>
      <w:start w:val="8"/>
    </w:lvl>
  </w:abstractNum>
  <w:abstractNum w:abstractNumId="113">
    <w:nsid w:val="1C618271"/>
    <w:multiLevelType w:val="hybridMultilevel"/>
    <w:lvl w:ilvl="0">
      <w:lvlJc w:val="left"/>
      <w:lvlText w:val="%1."/>
      <w:numFmt w:val="decimal"/>
      <w:start w:val="7"/>
    </w:lvl>
  </w:abstractNum>
  <w:abstractNum w:abstractNumId="114">
    <w:nsid w:val="6505F02E"/>
    <w:multiLevelType w:val="hybridMultilevel"/>
    <w:lvl w:ilvl="0">
      <w:lvlJc w:val="left"/>
      <w:lvlText w:val="(%1)"/>
      <w:numFmt w:val="lowerLetter"/>
      <w:start w:val="1"/>
    </w:lvl>
  </w:abstractNum>
  <w:abstractNum w:abstractNumId="115">
    <w:nsid w:val="2FE5D025"/>
    <w:multiLevelType w:val="hybridMultilevel"/>
    <w:lvl w:ilvl="0">
      <w:lvlJc w:val="left"/>
      <w:lvlText w:val="%1."/>
      <w:numFmt w:val="decimal"/>
      <w:start w:val="7"/>
    </w:lvl>
  </w:abstractNum>
  <w:abstractNum w:abstractNumId="116">
    <w:nsid w:val="30E1B1CF"/>
    <w:multiLevelType w:val="hybridMultilevel"/>
    <w:lvl w:ilvl="0">
      <w:lvlJc w:val="left"/>
      <w:lvlText w:val="(%1)"/>
      <w:numFmt w:val="lowerLetter"/>
      <w:start w:val="1"/>
    </w:lvl>
  </w:abstractNum>
  <w:abstractNum w:abstractNumId="117">
    <w:nsid w:val="C7A9237"/>
    <w:multiLevelType w:val="hybridMultilevel"/>
    <w:lvl w:ilvl="0">
      <w:lvlJc w:val="left"/>
      <w:lvlText w:val="(%1)"/>
      <w:numFmt w:val="lowerRoman"/>
      <w:start w:val="7"/>
    </w:lvl>
  </w:abstractNum>
  <w:abstractNum w:abstractNumId="118">
    <w:nsid w:val="676B3580"/>
    <w:multiLevelType w:val="hybridMultilevel"/>
    <w:lvl w:ilvl="0">
      <w:lvlJc w:val="left"/>
      <w:lvlText w:val="%1."/>
      <w:numFmt w:val="decimal"/>
      <w:start w:val="7"/>
    </w:lvl>
  </w:abstractNum>
  <w:abstractNum w:abstractNumId="119">
    <w:nsid w:val="3193C8F9"/>
    <w:multiLevelType w:val="hybridMultilevel"/>
    <w:lvl w:ilvl="0">
      <w:lvlJc w:val="left"/>
      <w:lvlText w:val="(%1)"/>
      <w:numFmt w:val="lowerLetter"/>
      <w:start w:val="2"/>
    </w:lvl>
  </w:abstractNum>
  <w:abstractNum w:abstractNumId="120">
    <w:nsid w:val="5FA6C6DC"/>
    <w:multiLevelType w:val="hybridMultilevel"/>
    <w:lvl w:ilvl="0">
      <w:lvlJc w:val="left"/>
      <w:lvlText w:val="%1."/>
      <w:numFmt w:val="decimal"/>
      <w:start w:val="7"/>
    </w:lvl>
  </w:abstractNum>
  <w:abstractNum w:abstractNumId="121">
    <w:nsid w:val="77933F62"/>
    <w:multiLevelType w:val="hybridMultilevel"/>
    <w:lvl w:ilvl="0">
      <w:lvlJc w:val="left"/>
      <w:lvlText w:val="(%1)"/>
      <w:numFmt w:val="lowerLetter"/>
      <w:start w:val="2"/>
    </w:lvl>
  </w:abstractNum>
  <w:abstractNum w:abstractNumId="122">
    <w:nsid w:val="6CB4EE9C"/>
    <w:multiLevelType w:val="hybridMultilevel"/>
    <w:lvl w:ilvl="0">
      <w:lvlJc w:val="left"/>
      <w:lvlText w:val="(%1)"/>
      <w:numFmt w:val="lowerLetter"/>
      <w:start w:val="3"/>
    </w:lvl>
  </w:abstractNum>
  <w:abstractNum w:abstractNumId="123">
    <w:nsid w:val="6A6D56D7"/>
    <w:multiLevelType w:val="hybridMultilevel"/>
    <w:lvl w:ilvl="0">
      <w:lvlJc w:val="left"/>
      <w:lvlText w:val="%1."/>
      <w:numFmt w:val="decimal"/>
      <w:start w:val="8"/>
    </w:lvl>
    <w:lvl w:ilvl="1">
      <w:lvlJc w:val="left"/>
      <w:lvlText w:val="•"/>
      <w:numFmt w:val="bullet"/>
      <w:start w:val="1"/>
    </w:lvl>
  </w:abstractNum>
  <w:abstractNum w:abstractNumId="124">
    <w:nsid w:val="5B727F19"/>
    <w:multiLevelType w:val="hybridMultilevel"/>
    <w:lvl w:ilvl="0">
      <w:lvlJc w:val="left"/>
      <w:lvlText w:val="%1."/>
      <w:numFmt w:val="decimal"/>
      <w:start w:val="9"/>
    </w:lvl>
  </w:abstractNum>
  <w:abstractNum w:abstractNumId="125">
    <w:nsid w:val="514E5CB0"/>
    <w:multiLevelType w:val="hybridMultilevel"/>
    <w:lvl w:ilvl="0">
      <w:lvlJc w:val="left"/>
      <w:lvlText w:val="%1."/>
      <w:numFmt w:val="decimal"/>
      <w:start w:val="9"/>
    </w:lvl>
  </w:abstractNum>
  <w:abstractNum w:abstractNumId="126">
    <w:nsid w:val="4210D41E"/>
    <w:multiLevelType w:val="hybridMultilevel"/>
    <w:lvl w:ilvl="0">
      <w:lvlJc w:val="left"/>
      <w:lvlText w:val="%1."/>
      <w:numFmt w:val="decimal"/>
      <w:start w:val="10"/>
    </w:lvl>
  </w:abstractNum>
  <w:abstractNum w:abstractNumId="127">
    <w:nsid w:val="4FF4CC6D"/>
    <w:multiLevelType w:val="hybridMultilevel"/>
    <w:lvl w:ilvl="0">
      <w:lvlJc w:val="left"/>
      <w:lvlText w:val="%1."/>
      <w:numFmt w:val="decimal"/>
      <w:start w:val="10"/>
    </w:lvl>
    <w:lvl w:ilvl="1">
      <w:lvlJc w:val="left"/>
      <w:lvlText w:val="(%2)"/>
      <w:numFmt w:val="lowerLetter"/>
      <w:start w:val="1"/>
    </w:lvl>
  </w:abstractNum>
  <w:abstractNum w:abstractNumId="128">
    <w:nsid w:val="404EAF4A"/>
    <w:multiLevelType w:val="hybridMultilevel"/>
    <w:lvl w:ilvl="0">
      <w:lvlJc w:val="left"/>
      <w:lvlText w:val="%1."/>
      <w:numFmt w:val="decimal"/>
      <w:start w:val="13"/>
    </w:lvl>
    <w:lvl w:ilvl="1">
      <w:lvlJc w:val="left"/>
      <w:lvlText w:val="(%2)"/>
      <w:numFmt w:val="lowerLetter"/>
      <w:start w:val="2"/>
    </w:lvl>
  </w:abstractNum>
  <w:abstractNum w:abstractNumId="129">
    <w:nsid w:val="4A16874F"/>
    <w:multiLevelType w:val="hybridMultilevel"/>
    <w:lvl w:ilvl="0">
      <w:lvlJc w:val="left"/>
      <w:lvlText w:val="(%1)"/>
      <w:numFmt w:val="lowerLetter"/>
      <w:start w:val="3"/>
    </w:lvl>
  </w:abstractNum>
  <w:abstractNum w:abstractNumId="130">
    <w:nsid w:val="55FEE0D1"/>
    <w:multiLevelType w:val="hybridMultilevel"/>
    <w:lvl w:ilvl="0">
      <w:lvlJc w:val="left"/>
      <w:lvlText w:val="%1."/>
      <w:numFmt w:val="decimal"/>
      <w:start w:val="13"/>
    </w:lvl>
    <w:lvl w:ilvl="1">
      <w:lvlJc w:val="left"/>
      <w:lvlText w:val="(%2)"/>
      <w:numFmt w:val="lowerLetter"/>
      <w:start w:val="4"/>
    </w:lvl>
  </w:abstractNum>
  <w:abstractNum w:abstractNumId="131">
    <w:nsid w:val="3C5E07C"/>
    <w:multiLevelType w:val="hybridMultilevel"/>
    <w:lvl w:ilvl="0">
      <w:lvlJc w:val="left"/>
      <w:lvlText w:val="%1."/>
      <w:numFmt w:val="decimal"/>
      <w:start w:val="14"/>
    </w:lvl>
  </w:abstractNum>
  <w:abstractNum w:abstractNumId="132">
    <w:nsid w:val="60C2D273"/>
    <w:multiLevelType w:val="hybridMultilevel"/>
    <w:lvl w:ilvl="0">
      <w:lvlJc w:val="left"/>
      <w:lvlText w:val="(%1)"/>
      <w:numFmt w:val="decimal"/>
      <w:start w:val="1"/>
    </w:lvl>
  </w:abstractNum>
  <w:abstractNum w:abstractNumId="133">
    <w:nsid w:val="4CC32F1F"/>
    <w:multiLevelType w:val="hybridMultilevel"/>
    <w:lvl w:ilvl="0">
      <w:lvlJc w:val="left"/>
      <w:lvlText w:val="%1."/>
      <w:numFmt w:val="decimal"/>
      <w:start w:val="14"/>
    </w:lvl>
    <w:lvl w:ilvl="1">
      <w:lvlJc w:val="left"/>
      <w:lvlText w:val="(%2)"/>
      <w:numFmt w:val="lowerLetter"/>
      <w:start w:val="1"/>
    </w:lvl>
  </w:abstractNum>
  <w:abstractNum w:abstractNumId="134">
    <w:nsid w:val="11CAC74A"/>
    <w:multiLevelType w:val="hybridMultilevel"/>
    <w:lvl w:ilvl="0">
      <w:lvlJc w:val="left"/>
      <w:lvlText w:val="(%1)"/>
      <w:numFmt w:val="lowerLetter"/>
      <w:start w:val="2"/>
    </w:lvl>
  </w:abstractNum>
  <w:abstractNum w:abstractNumId="135">
    <w:nsid w:val="126CADE9"/>
    <w:multiLevelType w:val="hybridMultilevel"/>
    <w:lvl w:ilvl="0">
      <w:lvlJc w:val="left"/>
      <w:lvlText w:val="%1."/>
      <w:numFmt w:val="decimal"/>
      <w:start w:val="15"/>
    </w:lvl>
    <w:lvl w:ilvl="1">
      <w:lvlJc w:val="left"/>
      <w:lvlText w:val="(%2)"/>
      <w:numFmt w:val="lowerLetter"/>
      <w:start w:val="1"/>
    </w:lvl>
  </w:abstractNum>
  <w:abstractNum w:abstractNumId="136">
    <w:nsid w:val="19132E7B"/>
    <w:multiLevelType w:val="hybridMultilevel"/>
    <w:lvl w:ilvl="0">
      <w:lvlJc w:val="left"/>
      <w:lvlText w:val="%1."/>
      <w:numFmt w:val="decimal"/>
      <w:start w:val="16"/>
    </w:lvl>
    <w:lvl w:ilvl="1">
      <w:lvlJc w:val="left"/>
      <w:lvlText w:val="(%2)"/>
      <w:numFmt w:val="lowerLetter"/>
      <w:start w:val="3"/>
    </w:lvl>
  </w:abstractNum>
  <w:abstractNum w:abstractNumId="137">
    <w:nsid w:val="63822DC0"/>
    <w:multiLevelType w:val="hybridMultilevel"/>
    <w:lvl w:ilvl="0">
      <w:lvlJc w:val="left"/>
      <w:lvlText w:val="%1."/>
      <w:numFmt w:val="decimal"/>
      <w:start w:val="1"/>
    </w:lvl>
  </w:abstractNum>
  <w:abstractNum w:abstractNumId="138">
    <w:nsid w:val="6C11685A"/>
    <w:multiLevelType w:val="hybridMultilevel"/>
    <w:lvl w:ilvl="0">
      <w:lvlJc w:val="left"/>
      <w:lvlText w:val="%1."/>
      <w:numFmt w:val="decimal"/>
      <w:start w:val="1"/>
    </w:lvl>
  </w:abstractNum>
  <w:abstractNum w:abstractNumId="139">
    <w:nsid w:val="5E1EAE31"/>
    <w:multiLevelType w:val="hybridMultilevel"/>
    <w:lvl w:ilvl="0">
      <w:lvlJc w:val="left"/>
      <w:lvlText w:val="%1."/>
      <w:numFmt w:val="decimal"/>
      <w:start w:val="8"/>
    </w:lvl>
  </w:abstractNum>
  <w:abstractNum w:abstractNumId="140">
    <w:nsid w:val="178E240D"/>
    <w:multiLevelType w:val="hybridMultilevel"/>
    <w:lvl w:ilvl="0">
      <w:lvlJc w:val="left"/>
      <w:lvlText w:val="%1."/>
      <w:numFmt w:val="decimal"/>
      <w:start w:val="1"/>
    </w:lvl>
  </w:abstractNum>
  <w:abstractNum w:abstractNumId="141">
    <w:nsid w:val="5556A87B"/>
    <w:multiLevelType w:val="hybridMultilevel"/>
    <w:lvl w:ilvl="0">
      <w:lvlJc w:val="left"/>
      <w:lvlText w:val="(%1)"/>
      <w:numFmt w:val="lowerLetter"/>
      <w:start w:val="1"/>
    </w:lvl>
  </w:abstractNum>
  <w:abstractNum w:abstractNumId="142">
    <w:nsid w:val="28100A9C"/>
    <w:multiLevelType w:val="hybridMultilevel"/>
    <w:lvl w:ilvl="0">
      <w:lvlJc w:val="left"/>
      <w:lvlText w:val="(%1)"/>
      <w:numFmt w:val="lowerLetter"/>
      <w:start w:val="1"/>
    </w:lvl>
  </w:abstractNum>
  <w:abstractNum w:abstractNumId="143">
    <w:nsid w:val="D838636"/>
    <w:multiLevelType w:val="hybridMultilevel"/>
    <w:lvl w:ilvl="0">
      <w:lvlJc w:val="left"/>
      <w:lvlText w:val="(%1)"/>
      <w:numFmt w:val="lowerRoman"/>
      <w:start w:val="3"/>
    </w:lvl>
  </w:abstractNum>
  <w:abstractNum w:abstractNumId="144">
    <w:nsid w:val="71B82AED"/>
    <w:multiLevelType w:val="hybridMultilevel"/>
    <w:lvl w:ilvl="0">
      <w:lvlJc w:val="left"/>
      <w:lvlText w:val="(%1)"/>
      <w:numFmt w:val="decimal"/>
      <w:start w:val="20"/>
    </w:lvl>
  </w:abstractNum>
  <w:abstractNum w:abstractNumId="145">
    <w:nsid w:val="D15FACA"/>
    <w:multiLevelType w:val="hybridMultilevel"/>
    <w:lvl w:ilvl="0">
      <w:lvlJc w:val="left"/>
      <w:lvlText w:val="(%1)"/>
      <w:numFmt w:val="lowerLetter"/>
      <w:start w:val="1"/>
    </w:lvl>
  </w:abstractNum>
  <w:abstractNum w:abstractNumId="146">
    <w:nsid w:val="3D69565B"/>
    <w:multiLevelType w:val="hybridMultilevel"/>
    <w:lvl w:ilvl="0">
      <w:lvlJc w:val="left"/>
      <w:lvlText w:val="(%1)"/>
      <w:numFmt w:val="lowerLetter"/>
      <w:start w:val="1"/>
    </w:lvl>
  </w:abstractNum>
  <w:abstractNum w:abstractNumId="147">
    <w:nsid w:val="2299DCBC"/>
    <w:multiLevelType w:val="hybridMultilevel"/>
    <w:lvl w:ilvl="0">
      <w:lvlJc w:val="left"/>
      <w:lvlText w:val="%1."/>
      <w:numFmt w:val="decimal"/>
      <w:start w:val="2"/>
    </w:lvl>
    <w:lvl w:ilvl="1">
      <w:lvlJc w:val="left"/>
      <w:lvlText w:val="(%2)"/>
      <w:numFmt w:val="lowerLetter"/>
      <w:start w:val="1"/>
    </w:lvl>
  </w:abstractNum>
  <w:abstractNum w:abstractNumId="148">
    <w:nsid w:val="19908D02"/>
    <w:multiLevelType w:val="hybridMultilevel"/>
    <w:lvl w:ilvl="0">
      <w:lvlJc w:val="left"/>
      <w:lvlText w:val="%1."/>
      <w:numFmt w:val="decimal"/>
      <w:start w:val="4"/>
    </w:lvl>
  </w:abstractNum>
  <w:abstractNum w:abstractNumId="149">
    <w:nsid w:val="24D48BDB"/>
    <w:multiLevelType w:val="hybridMultilevel"/>
    <w:lvl w:ilvl="0">
      <w:lvlJc w:val="left"/>
      <w:lvlText w:val="%1."/>
      <w:numFmt w:val="decimal"/>
      <w:start w:val="7"/>
    </w:lvl>
    <w:lvl w:ilvl="1">
      <w:lvlJc w:val="left"/>
      <w:lvlText w:val="(%2)"/>
      <w:numFmt w:val="lowerLetter"/>
      <w:start w:val="1"/>
    </w:lvl>
  </w:abstractNum>
  <w:abstractNum w:abstractNumId="150">
    <w:nsid w:val="542DA5B5"/>
    <w:multiLevelType w:val="hybridMultilevel"/>
    <w:lvl w:ilvl="0">
      <w:lvlJc w:val="left"/>
      <w:lvlText w:val="%1."/>
      <w:numFmt w:val="decimal"/>
      <w:start w:val="8"/>
    </w:lvl>
  </w:abstractNum>
  <w:abstractNum w:abstractNumId="151">
    <w:nsid w:val="793753DE"/>
    <w:multiLevelType w:val="hybridMultilevel"/>
    <w:lvl w:ilvl="0">
      <w:lvlJc w:val="left"/>
      <w:lvlText w:val="%1."/>
      <w:numFmt w:val="decimal"/>
      <w:start w:val="11"/>
    </w:lvl>
    <w:lvl w:ilvl="1">
      <w:lvlJc w:val="left"/>
      <w:lvlText w:val="(%2)"/>
      <w:numFmt w:val="lowerLetter"/>
      <w:start w:val="1"/>
    </w:lvl>
  </w:abstractNum>
  <w:abstractNum w:abstractNumId="152">
    <w:nsid w:val="1C67CB3D"/>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53">
    <w:nsid w:val="40E29452"/>
    <w:multiLevelType w:val="hybridMultilevel"/>
    <w:lvl w:ilvl="0">
      <w:lvlJc w:val="left"/>
      <w:lvlText w:val="(%1)"/>
      <w:numFmt w:val="lowerLetter"/>
      <w:start w:val="4"/>
    </w:lvl>
    <w:lvl w:ilvl="1">
      <w:lvlJc w:val="left"/>
      <w:lvlText w:val="%2."/>
      <w:numFmt w:val="lowerRoman"/>
      <w:start w:val="1"/>
    </w:lvl>
  </w:abstractNum>
  <w:abstractNum w:abstractNumId="154">
    <w:nsid w:val="63A4AAB6"/>
    <w:multiLevelType w:val="hybridMultilevel"/>
    <w:lvl w:ilvl="0">
      <w:lvlJc w:val="left"/>
      <w:lvlText w:val="%1"/>
      <w:numFmt w:val="lowerLetter"/>
      <w:start w:val="1"/>
    </w:lvl>
    <w:lvl w:ilvl="1">
      <w:lvlJc w:val="left"/>
      <w:lvlText w:val="%2."/>
      <w:numFmt w:val="lowerRoman"/>
      <w:start w:val="2"/>
    </w:lvl>
  </w:abstractNum>
  <w:abstractNum w:abstractNumId="155">
    <w:nsid w:val="77DA4A57"/>
    <w:multiLevelType w:val="hybridMultilevel"/>
    <w:lvl w:ilvl="0">
      <w:lvlJc w:val="left"/>
      <w:lvlText w:val="%1."/>
      <w:numFmt w:val="decimal"/>
      <w:start w:val="13"/>
    </w:lvl>
  </w:abstractNum>
  <w:abstractNum w:abstractNumId="156">
    <w:nsid w:val="1230F102"/>
    <w:multiLevelType w:val="hybridMultilevel"/>
    <w:lvl w:ilvl="0">
      <w:lvlJc w:val="left"/>
      <w:lvlText w:val="%1."/>
      <w:numFmt w:val="decimal"/>
      <w:start w:val="16"/>
    </w:lvl>
  </w:abstractNum>
  <w:abstractNum w:abstractNumId="157">
    <w:nsid w:val="25B57ED4"/>
    <w:multiLevelType w:val="hybridMultilevel"/>
    <w:lvl w:ilvl="0">
      <w:lvlJc w:val="left"/>
      <w:lvlText w:val="%1."/>
      <w:numFmt w:val="decimal"/>
      <w:start w:val="18"/>
    </w:lvl>
    <w:lvl w:ilvl="1">
      <w:lvlJc w:val="left"/>
      <w:lvlText w:val="(%2)"/>
      <w:numFmt w:val="lowerLetter"/>
      <w:start w:val="1"/>
    </w:lvl>
  </w:abstractNum>
  <w:abstractNum w:abstractNumId="158">
    <w:nsid w:val="47CF16C4"/>
    <w:multiLevelType w:val="hybridMultilevel"/>
    <w:lvl w:ilvl="0">
      <w:lvlJc w:val="left"/>
      <w:lvlText w:val="%1."/>
      <w:numFmt w:val="decimal"/>
      <w:start w:val="24"/>
    </w:lvl>
    <w:lvl w:ilvl="1">
      <w:lvlJc w:val="left"/>
      <w:lvlText w:val="(%2)"/>
      <w:numFmt w:val="lowerLetter"/>
      <w:start w:val="1"/>
    </w:lvl>
  </w:abstractNum>
  <w:abstractNum w:abstractNumId="159">
    <w:nsid w:val="527FA04C"/>
    <w:multiLevelType w:val="hybridMultilevel"/>
    <w:lvl w:ilvl="0">
      <w:lvlJc w:val="left"/>
      <w:lvlText w:val="(%1)"/>
      <w:numFmt w:val="lowerLetter"/>
      <w:start w:val="2"/>
    </w:lvl>
  </w:abstractNum>
  <w:abstractNum w:abstractNumId="160">
    <w:nsid w:val="6FCC0624"/>
    <w:multiLevelType w:val="hybridMultilevel"/>
    <w:lvl w:ilvl="0">
      <w:lvlJc w:val="left"/>
      <w:lvlText w:val="%1."/>
      <w:numFmt w:val="decimal"/>
      <w:start w:val="25"/>
    </w:lvl>
  </w:abstractNum>
  <w:abstractNum w:abstractNumId="161">
    <w:nsid w:val="1DCDF795"/>
    <w:multiLevelType w:val="hybridMultilevel"/>
    <w:lvl w:ilvl="0">
      <w:lvlJc w:val="left"/>
      <w:lvlText w:val="%1."/>
      <w:numFmt w:val="decimal"/>
      <w:start w:val="29"/>
    </w:lvl>
    <w:lvl w:ilvl="1">
      <w:lvlJc w:val="left"/>
      <w:lvlText w:val="(%2)"/>
      <w:numFmt w:val="lowerLetter"/>
      <w:start w:val="1"/>
    </w:lvl>
  </w:abstractNum>
  <w:abstractNum w:abstractNumId="162">
    <w:nsid w:val="564580C8"/>
    <w:multiLevelType w:val="hybridMultilevel"/>
    <w:lvl w:ilvl="0">
      <w:lvlJc w:val="left"/>
      <w:lvlText w:val="%1."/>
      <w:numFmt w:val="decimal"/>
      <w:start w:val="30"/>
    </w:lvl>
  </w:abstractNum>
  <w:abstractNum w:abstractNumId="163">
    <w:nsid w:val="508ED897"/>
    <w:multiLevelType w:val="hybridMultilevel"/>
    <w:lvl w:ilvl="0">
      <w:lvlJc w:val="left"/>
      <w:lvlText w:val="%1."/>
      <w:numFmt w:val="decimal"/>
      <w:start w:val="32"/>
    </w:lvl>
  </w:abstractNum>
  <w:abstractNum w:abstractNumId="164">
    <w:nsid w:val="6A9126B5"/>
    <w:multiLevelType w:val="hybridMultilevel"/>
    <w:lvl w:ilvl="0">
      <w:lvlJc w:val="left"/>
      <w:lvlText w:val="%1."/>
      <w:numFmt w:val="decimal"/>
      <w:start w:val="33"/>
    </w:lvl>
  </w:abstractNum>
  <w:abstractNum w:abstractNumId="165">
    <w:nsid w:val="68104812"/>
    <w:multiLevelType w:val="hybridMultilevel"/>
    <w:lvl w:ilvl="0">
      <w:lvlJc w:val="left"/>
      <w:lvlText w:val="%1."/>
      <w:numFmt w:val="decimal"/>
      <w:start w:val="34"/>
    </w:lvl>
  </w:abstractNum>
  <w:abstractNum w:abstractNumId="166">
    <w:nsid w:val="62FB8680"/>
    <w:multiLevelType w:val="hybridMultilevel"/>
    <w:lvl w:ilvl="0">
      <w:lvlJc w:val="left"/>
      <w:lvlText w:val="%1."/>
      <w:numFmt w:val="decimal"/>
      <w:start w:val="37"/>
    </w:lvl>
  </w:abstractNum>
  <w:abstractNum w:abstractNumId="167">
    <w:nsid w:val="3A45530"/>
    <w:multiLevelType w:val="hybridMultilevel"/>
    <w:lvl w:ilvl="0">
      <w:lvlJc w:val="left"/>
      <w:lvlText w:val="%1."/>
      <w:numFmt w:val="decimal"/>
      <w:start w:val="38"/>
    </w:lvl>
  </w:abstractNum>
  <w:abstractNum w:abstractNumId="168">
    <w:nsid w:val="4B9275D2"/>
    <w:multiLevelType w:val="hybridMultilevel"/>
    <w:lvl w:ilvl="0">
      <w:lvlJc w:val="left"/>
      <w:lvlText w:val="%1."/>
      <w:numFmt w:val="decimal"/>
      <w:start w:val="44"/>
    </w:lvl>
  </w:abstractNum>
  <w:abstractNum w:abstractNumId="169">
    <w:nsid w:val="4F0CEEDB"/>
    <w:multiLevelType w:val="hybridMultilevel"/>
    <w:lvl w:ilvl="0">
      <w:lvlJc w:val="left"/>
      <w:lvlText w:val="%1."/>
      <w:numFmt w:val="decimal"/>
      <w:start w:val="45"/>
    </w:lvl>
  </w:abstractNum>
  <w:abstractNum w:abstractNumId="170">
    <w:nsid w:val="61C30361"/>
    <w:multiLevelType w:val="hybridMultilevel"/>
    <w:lvl w:ilvl="0">
      <w:lvlJc w:val="left"/>
      <w:lvlText w:val="%1."/>
      <w:numFmt w:val="decimal"/>
      <w:start w:val="52"/>
    </w:lvl>
  </w:abstractNum>
  <w:abstractNum w:abstractNumId="171">
    <w:nsid w:val="632099E0"/>
    <w:multiLevelType w:val="hybridMultilevel"/>
    <w:lvl w:ilvl="0">
      <w:lvlJc w:val="left"/>
      <w:lvlText w:val="%1."/>
      <w:numFmt w:val="decimal"/>
      <w:start w:val="53"/>
    </w:lvl>
  </w:abstractNum>
  <w:abstractNum w:abstractNumId="172">
    <w:nsid w:val="24639756"/>
    <w:multiLevelType w:val="hybridMultilevel"/>
    <w:lvl w:ilvl="0">
      <w:lvlJc w:val="left"/>
      <w:lvlText w:val="%1."/>
      <w:numFmt w:val="decimal"/>
      <w:start w:val="55"/>
    </w:lvl>
  </w:abstractNum>
  <w:abstractNum w:abstractNumId="173">
    <w:nsid w:val="9D30DFD"/>
    <w:multiLevelType w:val="hybridMultilevel"/>
    <w:lvl w:ilvl="0">
      <w:lvlJc w:val="left"/>
      <w:lvlText w:val="%1."/>
      <w:numFmt w:val="decimal"/>
      <w:start w:val="56"/>
    </w:lvl>
    <w:lvl w:ilvl="1">
      <w:lvlJc w:val="left"/>
      <w:lvlText w:val="(%2)"/>
      <w:numFmt w:val="lowerLetter"/>
      <w:start w:val="1"/>
    </w:lvl>
  </w:abstractNum>
  <w:abstractNum w:abstractNumId="174">
    <w:nsid w:val="70A42016"/>
    <w:multiLevelType w:val="hybridMultilevel"/>
    <w:lvl w:ilvl="0">
      <w:lvlJc w:val="left"/>
      <w:lvlText w:val="%1."/>
      <w:numFmt w:val="decimal"/>
      <w:start w:val="57"/>
    </w:lvl>
  </w:abstractNum>
  <w:abstractNum w:abstractNumId="175">
    <w:nsid w:val="161BC243"/>
    <w:multiLevelType w:val="hybridMultilevel"/>
    <w:lvl w:ilvl="0">
      <w:lvlJc w:val="left"/>
      <w:lvlText w:val="%1."/>
      <w:numFmt w:val="decimal"/>
      <w:start w:val="59"/>
    </w:lvl>
  </w:abstractNum>
  <w:abstractNum w:abstractNumId="176">
    <w:nsid w:val="16E908C8"/>
    <w:multiLevelType w:val="hybridMultilevel"/>
    <w:lvl w:ilvl="0">
      <w:lvlJc w:val="left"/>
      <w:lvlText w:val="%1."/>
      <w:numFmt w:val="decimal"/>
      <w:start w:val="60"/>
    </w:lvl>
  </w:abstractNum>
  <w:abstractNum w:abstractNumId="177">
    <w:nsid w:val="2E0D7671"/>
    <w:multiLevelType w:val="hybridMultilevel"/>
    <w:lvl w:ilvl="0">
      <w:lvlJc w:val="left"/>
      <w:lvlText w:val="%1."/>
      <w:numFmt w:val="decimal"/>
      <w:start w:val="61"/>
    </w:lvl>
  </w:abstractNum>
  <w:abstractNum w:abstractNumId="178">
    <w:nsid w:val="38B59EFF"/>
    <w:multiLevelType w:val="hybridMultilevel"/>
    <w:lvl w:ilvl="0">
      <w:lvlJc w:val="left"/>
      <w:lvlText w:val="%1."/>
      <w:numFmt w:val="decimal"/>
      <w:start w:val="63"/>
    </w:lvl>
    <w:lvl w:ilvl="1">
      <w:lvlJc w:val="left"/>
      <w:lvlText w:val="(%2)"/>
      <w:numFmt w:val="lowerLetter"/>
      <w:start w:val="2"/>
    </w:lvl>
    <w:lvl w:ilvl="2">
      <w:lvlJc w:val="left"/>
      <w:lvlText w:val="(%3)"/>
      <w:numFmt w:val="lowerLetter"/>
      <w:start w:val="2"/>
    </w:lvl>
  </w:abstractNum>
  <w:abstractNum w:abstractNumId="179">
    <w:nsid w:val="307995CA"/>
    <w:multiLevelType w:val="hybridMultilevel"/>
    <w:lvl w:ilvl="0">
      <w:lvlJc w:val="left"/>
      <w:lvlText w:val="%1"/>
      <w:numFmt w:val="decimal"/>
      <w:start w:val="1"/>
    </w:lvl>
    <w:lvl w:ilvl="1">
      <w:lvlJc w:val="left"/>
      <w:lvlText w:val="%2."/>
      <w:numFmt w:val="lowerRoman"/>
      <w:start w:val="1"/>
    </w:lvl>
  </w:abstractNum>
  <w:abstractNum w:abstractNumId="180">
    <w:nsid w:val="52E2024D"/>
    <w:multiLevelType w:val="hybridMultilevel"/>
    <w:lvl w:ilvl="0">
      <w:lvlJc w:val="left"/>
      <w:lvlText w:val="%1."/>
      <w:numFmt w:val="decimal"/>
      <w:start w:val="65"/>
    </w:lvl>
    <w:lvl w:ilvl="1">
      <w:lvlJc w:val="left"/>
      <w:lvlText w:val="%2"/>
      <w:numFmt w:val="lowerRoman"/>
      <w:start w:val="1"/>
    </w:lvl>
  </w:abstractNum>
  <w:abstractNum w:abstractNumId="181">
    <w:nsid w:val="CE344B5"/>
    <w:multiLevelType w:val="hybridMultilevel"/>
    <w:lvl w:ilvl="0">
      <w:lvlJc w:val="left"/>
      <w:lvlText w:val="%1."/>
      <w:numFmt w:val="decimal"/>
      <w:start w:val="66"/>
    </w:lvl>
    <w:lvl w:ilvl="1">
      <w:lvlJc w:val="left"/>
      <w:lvlText w:val="(%2)"/>
      <w:numFmt w:val="lowerLetter"/>
      <w:start w:val="1"/>
    </w:lvl>
  </w:abstractNum>
  <w:abstractNum w:abstractNumId="182">
    <w:nsid w:val="29B0E9A8"/>
    <w:multiLevelType w:val="hybridMultilevel"/>
    <w:lvl w:ilvl="0">
      <w:lvlJc w:val="left"/>
      <w:lvlText w:val="%1."/>
      <w:numFmt w:val="decimal"/>
      <w:start w:val="68"/>
    </w:lvl>
    <w:lvl w:ilvl="1">
      <w:lvlJc w:val="left"/>
      <w:lvlText w:val="(%2)"/>
      <w:numFmt w:val="lowerLetter"/>
      <w:start w:val="1"/>
    </w:lvl>
  </w:abstractNum>
  <w:abstractNum w:abstractNumId="183">
    <w:nsid w:val="6F49CD8A"/>
    <w:multiLevelType w:val="hybridMultilevel"/>
    <w:lvl w:ilvl="0">
      <w:lvlJc w:val="left"/>
      <w:lvlText w:val="%1."/>
      <w:numFmt w:val="decimal"/>
      <w:start w:val="71"/>
    </w:lvl>
  </w:abstractNum>
  <w:abstractNum w:abstractNumId="184">
    <w:nsid w:val="4DC5D907"/>
    <w:multiLevelType w:val="hybridMultilevel"/>
    <w:lvl w:ilvl="0">
      <w:lvlJc w:val="left"/>
      <w:lvlText w:val="%1."/>
      <w:numFmt w:val="decimal"/>
      <w:start w:val="74"/>
    </w:lvl>
  </w:abstractNum>
  <w:abstractNum w:abstractNumId="185">
    <w:nsid w:val="D55945E"/>
    <w:multiLevelType w:val="hybridMultilevel"/>
    <w:lvl w:ilvl="0">
      <w:lvlJc w:val="left"/>
      <w:lvlText w:val="%1."/>
      <w:numFmt w:val="decimal"/>
      <w:start w:val="81"/>
    </w:lvl>
  </w:abstractNum>
  <w:abstractNum w:abstractNumId="186">
    <w:nsid w:val="672417E1"/>
    <w:multiLevelType w:val="hybridMultilevel"/>
    <w:lvl w:ilvl="0">
      <w:lvlJc w:val="left"/>
      <w:lvlText w:val="%1."/>
      <w:numFmt w:val="decimal"/>
      <w:start w:val="86"/>
    </w:lvl>
  </w:abstractNum>
  <w:abstractNum w:abstractNumId="187">
    <w:nsid w:val="5FF6CA09"/>
    <w:multiLevelType w:val="hybridMultilevel"/>
    <w:lvl w:ilvl="0">
      <w:lvlJc w:val="left"/>
      <w:lvlText w:val="%1"/>
      <w:numFmt w:val="decimal"/>
      <w:start w:val="1"/>
    </w:lvl>
    <w:lvl w:ilvl="1">
      <w:lvlJc w:val="left"/>
      <w:lvlText w:val="(%2)"/>
      <w:numFmt w:val="decimal"/>
      <w:start w:val="2"/>
    </w:lvl>
  </w:abstractNum>
  <w:abstractNum w:abstractNumId="188">
    <w:nsid w:val="330B1333"/>
    <w:multiLevelType w:val="hybridMultilevel"/>
    <w:lvl w:ilvl="0">
      <w:lvlJc w:val="left"/>
      <w:lvlText w:val="%1."/>
      <w:numFmt w:val="decimal"/>
      <w:start w:val="89"/>
    </w:lvl>
    <w:lvl w:ilvl="1">
      <w:lvlJc w:val="left"/>
      <w:lvlText w:val="%2"/>
      <w:numFmt w:val="decimal"/>
      <w:start w:val="1"/>
    </w:lvl>
  </w:abstractNum>
  <w:abstractNum w:abstractNumId="189">
    <w:nsid w:val="2EF32EA6"/>
    <w:multiLevelType w:val="hybridMultilevel"/>
    <w:lvl w:ilvl="0">
      <w:lvlJc w:val="left"/>
      <w:lvlText w:val="%1."/>
      <w:numFmt w:val="decimal"/>
      <w:start w:val="94"/>
    </w:lvl>
    <w:lvl w:ilvl="1">
      <w:lvlJc w:val="left"/>
      <w:lvlText w:val="(%2)"/>
      <w:numFmt w:val="decimal"/>
      <w:start w:val="2"/>
    </w:lvl>
  </w:abstractNum>
  <w:abstractNum w:abstractNumId="190">
    <w:nsid w:val="32766A55"/>
    <w:multiLevelType w:val="hybridMultilevel"/>
    <w:lvl w:ilvl="0">
      <w:lvlJc w:val="left"/>
      <w:lvlText w:val="(%1)"/>
      <w:numFmt w:val="decimal"/>
      <w:start w:val="3"/>
    </w:lvl>
  </w:abstractNum>
  <w:abstractNum w:abstractNumId="191">
    <w:nsid w:val="22D71957"/>
    <w:multiLevelType w:val="hybridMultilevel"/>
    <w:lvl w:ilvl="0">
      <w:lvlJc w:val="left"/>
      <w:lvlText w:val="%1."/>
      <w:numFmt w:val="decimal"/>
      <w:start w:val="95"/>
    </w:lvl>
  </w:abstractNum>
  <w:abstractNum w:abstractNumId="192">
    <w:nsid w:val="4CC1263B"/>
    <w:multiLevelType w:val="hybridMultilevel"/>
    <w:lvl w:ilvl="0">
      <w:lvlJc w:val="left"/>
      <w:lvlText w:val="%1."/>
      <w:numFmt w:val="decimal"/>
      <w:start w:val="96"/>
    </w:lvl>
    <w:lvl w:ilvl="1">
      <w:lvlJc w:val="left"/>
      <w:lvlText w:val="(%2)"/>
      <w:numFmt w:val="decimal"/>
      <w:start w:val="1"/>
    </w:lvl>
  </w:abstractNum>
  <w:abstractNum w:abstractNumId="193">
    <w:nsid w:val="8BBEB1D"/>
    <w:multiLevelType w:val="hybridMultilevel"/>
    <w:lvl w:ilvl="0">
      <w:lvlJc w:val="left"/>
      <w:lvlText w:val="%1."/>
      <w:numFmt w:val="decimal"/>
      <w:start w:val="101"/>
    </w:lvl>
  </w:abstractNum>
  <w:abstractNum w:abstractNumId="194">
    <w:nsid w:val="7365F1EE"/>
    <w:multiLevelType w:val="hybridMultilevel"/>
    <w:lvl w:ilvl="0">
      <w:lvlJc w:val="left"/>
      <w:lvlText w:val="(%1)"/>
      <w:numFmt w:val="decimal"/>
      <w:start w:val="1"/>
    </w:lvl>
  </w:abstractNum>
  <w:abstractNum w:abstractNumId="195">
    <w:nsid w:val="37524CF0"/>
    <w:multiLevelType w:val="hybridMultilevel"/>
    <w:lvl w:ilvl="0">
      <w:lvlJc w:val="left"/>
      <w:lvlText w:val="%1"/>
      <w:numFmt w:val="decimal"/>
      <w:start w:val="1"/>
    </w:lvl>
    <w:lvl w:ilvl="1">
      <w:lvlJc w:val="left"/>
      <w:lvlText w:val="(%2)"/>
      <w:numFmt w:val="decimal"/>
      <w:start w:val="5"/>
    </w:lvl>
  </w:abstractNum>
  <w:abstractNum w:abstractNumId="196">
    <w:nsid w:val="70CC332F"/>
    <w:multiLevelType w:val="hybridMultilevel"/>
    <w:lvl w:ilvl="0">
      <w:lvlJc w:val="left"/>
      <w:lvlText w:val="%1."/>
      <w:numFmt w:val="decimal"/>
      <w:start w:val="107"/>
    </w:lvl>
    <w:lvl w:ilvl="1">
      <w:lvlJc w:val="left"/>
      <w:lvlText w:val="%2"/>
      <w:numFmt w:val="decimal"/>
      <w:start w:val="1"/>
    </w:lvl>
  </w:abstractNum>
  <w:abstractNum w:abstractNumId="197">
    <w:nsid w:val="5661786E"/>
    <w:multiLevelType w:val="hybridMultilevel"/>
    <w:lvl w:ilvl="0">
      <w:lvlJc w:val="left"/>
      <w:lvlText w:val="%1."/>
      <w:numFmt w:val="decimal"/>
      <w:start w:val="108"/>
    </w:lvl>
  </w:abstractNum>
  <w:abstractNum w:abstractNumId="198">
    <w:nsid w:val="3AF6A220"/>
    <w:multiLevelType w:val="hybridMultilevel"/>
    <w:lvl w:ilvl="0">
      <w:lvlJc w:val="left"/>
      <w:lvlText w:val="%1."/>
      <w:numFmt w:val="decimal"/>
      <w:start w:val="111"/>
    </w:lvl>
  </w:abstractNum>
  <w:abstractNum w:abstractNumId="199">
    <w:nsid w:val="3C5EA902"/>
    <w:multiLevelType w:val="hybridMultilevel"/>
    <w:lvl w:ilvl="0">
      <w:lvlJc w:val="left"/>
      <w:lvlText w:val="%1."/>
      <w:numFmt w:val="decimal"/>
      <w:start w:val="112"/>
    </w:lvl>
  </w:abstractNum>
  <w:abstractNum w:abstractNumId="200">
    <w:nsid w:val="256E6749"/>
    <w:multiLevelType w:val="hybridMultilevel"/>
    <w:lvl w:ilvl="0">
      <w:lvlJc w:val="left"/>
      <w:lvlText w:val="%1."/>
      <w:numFmt w:val="decimal"/>
      <w:start w:val="115"/>
    </w:lvl>
  </w:abstractNum>
  <w:abstractNum w:abstractNumId="201">
    <w:nsid w:val="1CB9A581"/>
    <w:multiLevelType w:val="hybridMultilevel"/>
    <w:lvl w:ilvl="0">
      <w:lvlJc w:val="left"/>
      <w:lvlText w:val="%1."/>
      <w:numFmt w:val="decimal"/>
      <w:start w:val="117"/>
    </w:lvl>
    <w:lvl w:ilvl="1">
      <w:lvlJc w:val="left"/>
      <w:lvlText w:val="(%2)"/>
      <w:numFmt w:val="lowerLetter"/>
      <w:start w:val="1"/>
    </w:lvl>
  </w:abstractNum>
  <w:abstractNum w:abstractNumId="202">
    <w:nsid w:val="1F7F42E2"/>
    <w:multiLevelType w:val="hybridMultilevel"/>
    <w:lvl w:ilvl="0">
      <w:lvlJc w:val="left"/>
      <w:lvlText w:val="(%1)"/>
      <w:numFmt w:val="lowerLetter"/>
      <w:start w:val="2"/>
    </w:lvl>
  </w:abstractNum>
  <w:abstractNum w:abstractNumId="203">
    <w:nsid w:val="49D1FEA0"/>
    <w:multiLevelType w:val="hybridMultilevel"/>
    <w:lvl w:ilvl="0">
      <w:lvlJc w:val="left"/>
      <w:lvlText w:val="%1."/>
      <w:numFmt w:val="decimal"/>
      <w:start w:val="125"/>
    </w:lvl>
  </w:abstractNum>
  <w:abstractNum w:abstractNumId="204">
    <w:nsid w:val="268CB37F"/>
    <w:multiLevelType w:val="hybridMultilevel"/>
    <w:lvl w:ilvl="0">
      <w:lvlJc w:val="left"/>
      <w:lvlText w:val="%1."/>
      <w:numFmt w:val="decimal"/>
      <w:start w:val="126"/>
    </w:lvl>
  </w:abstractNum>
  <w:abstractNum w:abstractNumId="205">
    <w:nsid w:val="102362F8"/>
    <w:multiLevelType w:val="hybridMultilevel"/>
    <w:lvl w:ilvl="0">
      <w:lvlJc w:val="left"/>
      <w:lvlText w:val="%1."/>
      <w:numFmt w:val="decimal"/>
      <w:start w:val="127"/>
    </w:lvl>
    <w:lvl w:ilvl="1">
      <w:lvlJc w:val="left"/>
      <w:lvlText w:val="(%2)"/>
      <w:numFmt w:val="lowerLetter"/>
      <w:start w:val="1"/>
    </w:lvl>
  </w:abstractNum>
  <w:abstractNum w:abstractNumId="206">
    <w:nsid w:val="5FEDC0E3"/>
    <w:multiLevelType w:val="hybridMultilevel"/>
    <w:lvl w:ilvl="0">
      <w:lvlJc w:val="left"/>
      <w:lvlText w:val="(%1)"/>
      <w:numFmt w:val="lowerLetter"/>
      <w:start w:val="4"/>
    </w:lvl>
  </w:abstractNum>
  <w:abstractNum w:abstractNumId="207">
    <w:nsid w:val="3D75BC47"/>
    <w:multiLevelType w:val="hybridMultilevel"/>
    <w:lvl w:ilvl="0">
      <w:lvlJc w:val="left"/>
      <w:lvlText w:val="%1."/>
      <w:numFmt w:val="decimal"/>
      <w:start w:val="130"/>
    </w:lvl>
  </w:abstractNum>
  <w:abstractNum w:abstractNumId="208">
    <w:nsid w:val="3E30D969"/>
    <w:multiLevelType w:val="hybridMultilevel"/>
    <w:lvl w:ilvl="0">
      <w:lvlJc w:val="left"/>
      <w:lvlText w:val="%1."/>
      <w:numFmt w:val="decimal"/>
      <w:start w:val="131"/>
    </w:lvl>
  </w:abstractNum>
  <w:abstractNum w:abstractNumId="209">
    <w:nsid w:val="18A35FE3"/>
    <w:multiLevelType w:val="hybridMultilevel"/>
    <w:lvl w:ilvl="0">
      <w:lvlJc w:val="left"/>
      <w:lvlText w:val="%1."/>
      <w:numFmt w:val="decimal"/>
      <w:start w:val="135"/>
    </w:lvl>
    <w:lvl w:ilvl="1">
      <w:lvlJc w:val="left"/>
      <w:lvlText w:val="(%2)"/>
      <w:numFmt w:val="lowerLetter"/>
      <w:start w:val="1"/>
    </w:lvl>
  </w:abstractNum>
  <w:abstractNum w:abstractNumId="210">
    <w:nsid w:val="6DEF5211"/>
    <w:multiLevelType w:val="hybridMultilevel"/>
    <w:lvl w:ilvl="0">
      <w:lvlJc w:val="left"/>
      <w:lvlText w:val="%1."/>
      <w:numFmt w:val="decimal"/>
      <w:start w:val="142"/>
    </w:lvl>
  </w:abstractNum>
  <w:abstractNum w:abstractNumId="211">
    <w:nsid w:val="1112DBB6"/>
    <w:multiLevelType w:val="hybridMultilevel"/>
    <w:lvl w:ilvl="0">
      <w:lvlJc w:val="left"/>
      <w:lvlText w:val="%1."/>
      <w:numFmt w:val="decimal"/>
      <w:start w:val="145"/>
    </w:lvl>
  </w:abstractNum>
  <w:abstractNum w:abstractNumId="212">
    <w:nsid w:val="2586A498"/>
    <w:multiLevelType w:val="hybridMultilevel"/>
    <w:lvl w:ilvl="0">
      <w:lvlJc w:val="left"/>
      <w:lvlText w:val="%1."/>
      <w:numFmt w:val="decimal"/>
      <w:start w:val="146"/>
    </w:lvl>
  </w:abstractNum>
  <w:abstractNum w:abstractNumId="213">
    <w:nsid w:val="17A03BB9"/>
    <w:multiLevelType w:val="hybridMultilevel"/>
    <w:lvl w:ilvl="0">
      <w:lvlJc w:val="left"/>
      <w:lvlText w:val="%1."/>
      <w:numFmt w:val="decimal"/>
      <w:start w:val="150"/>
    </w:lvl>
  </w:abstractNum>
  <w:abstractNum w:abstractNumId="214">
    <w:nsid w:val="5CA941"/>
    <w:multiLevelType w:val="hybridMultilevel"/>
    <w:lvl w:ilvl="0">
      <w:lvlJc w:val="left"/>
      <w:lvlText w:val="%1."/>
      <w:numFmt w:val="decimal"/>
      <w:start w:val="154"/>
    </w:lvl>
  </w:abstractNum>
  <w:abstractNum w:abstractNumId="215">
    <w:nsid w:val="734C7D9F"/>
    <w:multiLevelType w:val="hybridMultilevel"/>
    <w:lvl w:ilvl="0">
      <w:lvlJc w:val="left"/>
      <w:lvlText w:val="%1."/>
      <w:numFmt w:val="decimal"/>
      <w:start w:val="159"/>
    </w:lvl>
  </w:abstractNum>
  <w:abstractNum w:abstractNumId="216">
    <w:nsid w:val="24F5D018"/>
    <w:multiLevelType w:val="hybridMultilevel"/>
    <w:lvl w:ilvl="0">
      <w:lvlJc w:val="left"/>
      <w:lvlText w:val="%1."/>
      <w:numFmt w:val="decimal"/>
      <w:start w:val="162"/>
    </w:lvl>
  </w:abstractNum>
  <w:abstractNum w:abstractNumId="217">
    <w:nsid w:val="6780C122"/>
    <w:multiLevelType w:val="hybridMultilevel"/>
    <w:lvl w:ilvl="0">
      <w:lvlJc w:val="left"/>
      <w:lvlText w:val="%1."/>
      <w:numFmt w:val="decimal"/>
      <w:start w:val="163"/>
    </w:lvl>
  </w:abstractNum>
  <w:abstractNum w:abstractNumId="218">
    <w:nsid w:val="534347A8"/>
    <w:multiLevelType w:val="hybridMultilevel"/>
    <w:lvl w:ilvl="0">
      <w:lvlJc w:val="left"/>
      <w:lvlText w:val="%1."/>
      <w:numFmt w:val="decimal"/>
      <w:start w:val="167"/>
    </w:lvl>
    <w:lvl w:ilvl="1">
      <w:lvlJc w:val="left"/>
      <w:lvlText w:val="(%2)"/>
      <w:numFmt w:val="lowerLetter"/>
      <w:start w:val="1"/>
    </w:lvl>
  </w:abstractNum>
  <w:abstractNum w:abstractNumId="219">
    <w:nsid w:val="5800E34B"/>
    <w:multiLevelType w:val="hybridMultilevel"/>
    <w:lvl w:ilvl="0">
      <w:lvlJc w:val="left"/>
      <w:lvlText w:val="(%1)"/>
      <w:numFmt w:val="lowerLetter"/>
      <w:start w:val="2"/>
    </w:lvl>
  </w:abstractNum>
  <w:abstractNum w:abstractNumId="220">
    <w:nsid w:val="1673EFC8"/>
    <w:multiLevelType w:val="hybridMultilevel"/>
    <w:lvl w:ilvl="0">
      <w:lvlJc w:val="left"/>
      <w:lvlText w:val="%1."/>
      <w:numFmt w:val="decimal"/>
      <w:start w:val="170"/>
    </w:lvl>
    <w:lvl w:ilvl="1">
      <w:lvlJc w:val="left"/>
      <w:lvlText w:val="(%2)"/>
      <w:numFmt w:val="lowerLetter"/>
      <w:start w:val="1"/>
    </w:lvl>
    <w:lvl w:ilvl="2">
      <w:lvlJc w:val="left"/>
      <w:lvlText w:val="(%3)"/>
      <w:numFmt w:val="lowerRoman"/>
      <w:start w:val="1"/>
    </w:lvl>
  </w:abstractNum>
  <w:abstractNum w:abstractNumId="221">
    <w:nsid w:val="5B9B1FD"/>
    <w:multiLevelType w:val="hybridMultilevel"/>
    <w:lvl w:ilvl="0">
      <w:lvlJc w:val="left"/>
      <w:lvlText w:val="(%1)"/>
      <w:numFmt w:val="lowerLetter"/>
      <w:start w:val="3"/>
    </w:lvl>
    <w:lvl w:ilvl="1">
      <w:lvlJc w:val="left"/>
      <w:lvlText w:val="(%2)"/>
      <w:numFmt w:val="lowerRoman"/>
      <w:start w:val="1"/>
    </w:lvl>
  </w:abstractNum>
  <w:abstractNum w:abstractNumId="222">
    <w:nsid w:val="7AD7FCA2"/>
    <w:multiLevelType w:val="hybridMultilevel"/>
    <w:lvl w:ilvl="0">
      <w:lvlJc w:val="left"/>
      <w:lvlText w:val="(%1)"/>
      <w:numFmt w:val="lowerLetter"/>
      <w:start w:val="5"/>
    </w:lvl>
  </w:abstractNum>
  <w:abstractNum w:abstractNumId="223">
    <w:nsid w:val="63351604"/>
    <w:multiLevelType w:val="hybridMultilevel"/>
    <w:lvl w:ilvl="0">
      <w:lvlJc w:val="left"/>
      <w:lvlText w:val="%1."/>
      <w:numFmt w:val="decimal"/>
      <w:start w:val="171"/>
    </w:lvl>
  </w:abstractNum>
  <w:abstractNum w:abstractNumId="224">
    <w:nsid w:val="E759D1A"/>
    <w:multiLevelType w:val="hybridMultilevel"/>
    <w:lvl w:ilvl="0">
      <w:lvlJc w:val="left"/>
      <w:lvlText w:val="%1."/>
      <w:numFmt w:val="decimal"/>
      <w:start w:val="173"/>
    </w:lvl>
  </w:abstractNum>
  <w:abstractNum w:abstractNumId="225">
    <w:nsid w:val="6E3DEE90"/>
    <w:multiLevelType w:val="hybridMultilevel"/>
    <w:lvl w:ilvl="0">
      <w:lvlJc w:val="left"/>
      <w:lvlText w:val="%1."/>
      <w:numFmt w:val="decimal"/>
      <w:start w:val="177"/>
    </w:lvl>
  </w:abstractNum>
  <w:abstractNum w:abstractNumId="226">
    <w:nsid w:val="1A8762F4"/>
    <w:multiLevelType w:val="hybridMultilevel"/>
    <w:lvl w:ilvl="0">
      <w:lvlJc w:val="left"/>
      <w:lvlText w:val="%1."/>
      <w:numFmt w:val="decimal"/>
      <w:start w:val="178"/>
    </w:lvl>
  </w:abstractNum>
  <w:abstractNum w:abstractNumId="227">
    <w:nsid w:val="7F41D049"/>
    <w:multiLevelType w:val="hybridMultilevel"/>
    <w:lvl w:ilvl="0">
      <w:lvlJc w:val="left"/>
      <w:lvlText w:val="%1."/>
      <w:numFmt w:val="decimal"/>
      <w:start w:val="179"/>
    </w:lvl>
    <w:lvl w:ilvl="1">
      <w:lvlJc w:val="left"/>
      <w:lvlText w:val="(%2)"/>
      <w:numFmt w:val="lowerLetter"/>
      <w:start w:val="1"/>
    </w:lvl>
  </w:abstractNum>
  <w:abstractNum w:abstractNumId="228">
    <w:nsid w:val="449F66FE"/>
    <w:multiLevelType w:val="hybridMultilevel"/>
    <w:lvl w:ilvl="0">
      <w:lvlJc w:val="left"/>
      <w:lvlText w:val="%1."/>
      <w:numFmt w:val="decimal"/>
      <w:start w:val="181"/>
    </w:lvl>
  </w:abstractNum>
  <w:abstractNum w:abstractNumId="229">
    <w:nsid w:val="557E0515"/>
    <w:multiLevelType w:val="hybridMultilevel"/>
    <w:lvl w:ilvl="0">
      <w:lvlJc w:val="left"/>
      <w:lvlText w:val="%1."/>
      <w:numFmt w:val="decimal"/>
      <w:start w:val="182"/>
    </w:lvl>
  </w:abstractNum>
  <w:abstractNum w:abstractNumId="230">
    <w:nsid w:val="3BA0794B"/>
    <w:multiLevelType w:val="hybridMultilevel"/>
    <w:lvl w:ilvl="0">
      <w:lvlJc w:val="left"/>
      <w:lvlText w:val="%1."/>
      <w:numFmt w:val="decimal"/>
      <w:start w:val="183"/>
    </w:lvl>
  </w:abstractNum>
  <w:abstractNum w:abstractNumId="231">
    <w:nsid w:val="6A0DCE48"/>
    <w:multiLevelType w:val="hybridMultilevel"/>
    <w:lvl w:ilvl="0">
      <w:lvlJc w:val="left"/>
      <w:lvlText w:val="%1."/>
      <w:numFmt w:val="decimal"/>
      <w:start w:val="184"/>
    </w:lvl>
    <w:lvl w:ilvl="1">
      <w:lvlJc w:val="left"/>
      <w:lvlText w:val="(%2)"/>
      <w:numFmt w:val="decimal"/>
      <w:start w:val="2"/>
    </w:lvl>
  </w:abstractNum>
  <w:abstractNum w:abstractNumId="232">
    <w:nsid w:val="7237AA96"/>
    <w:multiLevelType w:val="hybridMultilevel"/>
    <w:lvl w:ilvl="0">
      <w:lvlJc w:val="left"/>
      <w:lvlText w:val="%1."/>
      <w:numFmt w:val="decimal"/>
      <w:start w:val="186"/>
    </w:lvl>
  </w:abstractNum>
  <w:abstractNum w:abstractNumId="233">
    <w:nsid w:val="5B1FBC2D"/>
    <w:multiLevelType w:val="hybridMultilevel"/>
    <w:lvl w:ilvl="0">
      <w:lvlJc w:val="left"/>
      <w:lvlText w:val="%1."/>
      <w:numFmt w:val="decimal"/>
      <w:start w:val="187"/>
    </w:lvl>
  </w:abstractNum>
  <w:abstractNum w:abstractNumId="234">
    <w:nsid w:val="33DFCCE8"/>
    <w:multiLevelType w:val="hybridMultilevel"/>
    <w:lvl w:ilvl="0">
      <w:lvlJc w:val="left"/>
      <w:lvlText w:val="(%1)"/>
      <w:numFmt w:val="decimal"/>
      <w:start w:val="2"/>
    </w:lvl>
  </w:abstractNum>
  <w:abstractNum w:abstractNumId="235">
    <w:nsid w:val="18C45E15"/>
    <w:multiLevelType w:val="hybridMultilevel"/>
    <w:lvl w:ilvl="0">
      <w:lvlJc w:val="left"/>
      <w:lvlText w:val="(%1)"/>
      <w:numFmt w:val="decimal"/>
      <w:start w:val="4"/>
    </w:lvl>
  </w:abstractNum>
  <w:abstractNum w:abstractNumId="236">
    <w:nsid w:val="6B431F25"/>
    <w:multiLevelType w:val="hybridMultilevel"/>
    <w:lvl w:ilvl="0">
      <w:lvlJc w:val="left"/>
      <w:lvlText w:val="%1."/>
      <w:numFmt w:val="decimal"/>
      <w:start w:val="188"/>
    </w:lvl>
  </w:abstractNum>
  <w:abstractNum w:abstractNumId="237">
    <w:nsid w:val="13CD8DCB"/>
    <w:multiLevelType w:val="hybridMultilevel"/>
    <w:lvl w:ilvl="0">
      <w:lvlJc w:val="left"/>
      <w:lvlText w:val="%1."/>
      <w:numFmt w:val="decimal"/>
      <w:start w:val="190"/>
    </w:lvl>
  </w:abstractNum>
  <w:abstractNum w:abstractNumId="238">
    <w:nsid w:val="563A1A5C"/>
    <w:multiLevelType w:val="hybridMultilevel"/>
    <w:lvl w:ilvl="0">
      <w:lvlJc w:val="left"/>
      <w:lvlText w:val="%1."/>
      <w:numFmt w:val="decimal"/>
      <w:start w:val="191"/>
    </w:lvl>
    <w:lvl w:ilvl="1">
      <w:lvlJc w:val="left"/>
      <w:lvlText w:val="(%2)"/>
      <w:numFmt w:val="lowerLetter"/>
      <w:start w:val="2"/>
    </w:lvl>
  </w:abstractNum>
  <w:abstractNum w:abstractNumId="239">
    <w:nsid w:val="2973F88F"/>
    <w:multiLevelType w:val="hybridMultilevel"/>
    <w:lvl w:ilvl="0">
      <w:lvlJc w:val="left"/>
      <w:lvlText w:val="%1."/>
      <w:numFmt w:val="decimal"/>
      <w:start w:val="193"/>
    </w:lvl>
  </w:abstractNum>
  <w:abstractNum w:abstractNumId="240">
    <w:nsid w:val="2C70EDAE"/>
    <w:multiLevelType w:val="hybridMultilevel"/>
    <w:lvl w:ilvl="0">
      <w:lvlJc w:val="left"/>
      <w:lvlText w:val="%1."/>
      <w:numFmt w:val="decimal"/>
      <w:start w:val="1"/>
    </w:lvl>
  </w:abstractNum>
  <w:abstractNum w:abstractNumId="241">
    <w:nsid w:val="44296C6D"/>
    <w:multiLevelType w:val="hybridMultilevel"/>
    <w:lvl w:ilvl="0">
      <w:lvlJc w:val="left"/>
      <w:lvlText w:val="%1."/>
      <w:numFmt w:val="decimal"/>
      <w:start w:val="2"/>
    </w:lvl>
  </w:abstractNum>
  <w:abstractNum w:abstractNumId="242">
    <w:nsid w:val="3A86D445"/>
    <w:multiLevelType w:val="hybridMultilevel"/>
    <w:lvl w:ilvl="0">
      <w:lvlJc w:val="left"/>
      <w:lvlText w:val="%1."/>
      <w:numFmt w:val="decimal"/>
      <w:start w:val="3"/>
    </w:lvl>
  </w:abstractNum>
  <w:abstractNum w:abstractNumId="243">
    <w:nsid w:val="51F79246"/>
    <w:multiLevelType w:val="hybridMultilevel"/>
    <w:lvl w:ilvl="0">
      <w:lvlJc w:val="left"/>
      <w:lvlText w:val="%1."/>
      <w:numFmt w:val="decimal"/>
      <w:start w:val="4"/>
    </w:lvl>
  </w:abstractNum>
  <w:abstractNum w:abstractNumId="244">
    <w:nsid w:val="5BC9A827"/>
    <w:multiLevelType w:val="hybridMultilevel"/>
    <w:lvl w:ilvl="0">
      <w:lvlJc w:val="left"/>
      <w:lvlText w:val="%1."/>
      <w:numFmt w:val="decimal"/>
      <w:start w:val="7"/>
    </w:lvl>
    <w:lvl w:ilvl="1">
      <w:lvlJc w:val="left"/>
      <w:lvlText w:val="(%2)"/>
      <w:numFmt w:val="lowerLetter"/>
      <w:start w:val="1"/>
    </w:lvl>
  </w:abstractNum>
  <w:abstractNum w:abstractNumId="245">
    <w:nsid w:val="3AE37D86"/>
    <w:multiLevelType w:val="hybridMultilevel"/>
    <w:lvl w:ilvl="0">
      <w:lvlJc w:val="left"/>
      <w:lvlText w:val="(%1)"/>
      <w:numFmt w:val="lowerLetter"/>
      <w:start w:val="2"/>
    </w:lvl>
  </w:abstractNum>
  <w:abstractNum w:abstractNumId="246">
    <w:nsid w:val="45440FE5"/>
    <w:multiLevelType w:val="hybridMultilevel"/>
    <w:lvl w:ilvl="0">
      <w:lvlJc w:val="left"/>
      <w:lvlText w:val="%1."/>
      <w:numFmt w:val="decimal"/>
      <w:start w:val="9"/>
    </w:lvl>
  </w:abstractNum>
  <w:abstractNum w:abstractNumId="247">
    <w:nsid w:val="BF783F"/>
    <w:multiLevelType w:val="hybridMultilevel"/>
    <w:lvl w:ilvl="0">
      <w:lvlJc w:val="left"/>
      <w:lvlText w:val="%1."/>
      <w:numFmt w:val="decimal"/>
      <w:start w:val="10"/>
    </w:lvl>
    <w:lvl w:ilvl="1">
      <w:lvlJc w:val="left"/>
      <w:lvlText w:val="(%2)"/>
      <w:numFmt w:val="lowerLetter"/>
      <w:start w:val="1"/>
    </w:lvl>
  </w:abstractNum>
  <w:abstractNum w:abstractNumId="248">
    <w:nsid w:val="22643EA9"/>
    <w:multiLevelType w:val="hybridMultilevel"/>
    <w:lvl w:ilvl="0">
      <w:lvlJc w:val="left"/>
      <w:lvlText w:val="%1."/>
      <w:numFmt w:val="decimal"/>
      <w:start w:val="12"/>
    </w:lvl>
  </w:abstractNum>
  <w:abstractNum w:abstractNumId="249">
    <w:nsid w:val="1887578D"/>
    <w:multiLevelType w:val="hybridMultilevel"/>
    <w:lvl w:ilvl="0">
      <w:lvlJc w:val="left"/>
      <w:lvlText w:val="%1."/>
      <w:numFmt w:val="decimal"/>
      <w:start w:val="13"/>
    </w:lvl>
  </w:abstractNum>
  <w:abstractNum w:abstractNumId="250">
    <w:nsid w:val="58C05B8A"/>
    <w:multiLevelType w:val="hybridMultilevel"/>
    <w:lvl w:ilvl="0">
      <w:lvlJc w:val="left"/>
      <w:lvlText w:val="%1."/>
      <w:numFmt w:val="decimal"/>
      <w:start w:val="14"/>
    </w:lvl>
  </w:abstractNum>
  <w:abstractNum w:abstractNumId="251">
    <w:nsid w:val="38D82E71"/>
    <w:multiLevelType w:val="hybridMultilevel"/>
    <w:lvl w:ilvl="0">
      <w:lvlJc w:val="left"/>
      <w:lvlText w:val="%1."/>
      <w:numFmt w:val="decimal"/>
      <w:start w:val="15"/>
    </w:lvl>
  </w:abstractNum>
  <w:abstractNum w:abstractNumId="252">
    <w:nsid w:val="1E41098A"/>
    <w:multiLevelType w:val="hybridMultilevel"/>
    <w:lvl w:ilvl="0">
      <w:lvlJc w:val="left"/>
      <w:lvlText w:val="%1."/>
      <w:numFmt w:val="decimal"/>
      <w:start w:val="16"/>
    </w:lvl>
    <w:lvl w:ilvl="1">
      <w:lvlJc w:val="left"/>
      <w:lvlText w:val="(%2)"/>
      <w:numFmt w:val="lowerLetter"/>
      <w:start w:val="1"/>
    </w:lvl>
  </w:abstractNum>
  <w:abstractNum w:abstractNumId="253">
    <w:nsid w:val="5398582C"/>
    <w:multiLevelType w:val="hybridMultilevel"/>
    <w:lvl w:ilvl="0">
      <w:lvlJc w:val="left"/>
      <w:lvlText w:val="%1."/>
      <w:numFmt w:val="decimal"/>
      <w:start w:val="17"/>
    </w:lvl>
    <w:lvl w:ilvl="1">
      <w:lvlJc w:val="left"/>
      <w:lvlText w:val="(%2)"/>
      <w:numFmt w:val="lowerRoman"/>
      <w:start w:val="1"/>
    </w:lvl>
  </w:abstractNum>
  <w:abstractNum w:abstractNumId="254">
    <w:nsid w:val="1C0D4475"/>
    <w:multiLevelType w:val="hybridMultilevel"/>
    <w:lvl w:ilvl="0">
      <w:lvlJc w:val="left"/>
      <w:lvlText w:val="%1"/>
      <w:numFmt w:val="lowerLetter"/>
      <w:start w:val="1"/>
    </w:lvl>
    <w:lvl w:ilvl="1">
      <w:lvlJc w:val="left"/>
      <w:lvlText w:val="(%2)"/>
      <w:numFmt w:val="lowerRoman"/>
      <w:start w:val="1"/>
    </w:lvl>
  </w:abstractNum>
  <w:abstractNum w:abstractNumId="255">
    <w:nsid w:val="2CB6A6A4"/>
    <w:multiLevelType w:val="hybridMultilevel"/>
    <w:lvl w:ilvl="0">
      <w:lvlJc w:val="left"/>
      <w:lvlText w:val="(%1)"/>
      <w:numFmt w:val="lowerLetter"/>
      <w:start w:val="3"/>
    </w:lvl>
    <w:lvl w:ilvl="1">
      <w:lvlJc w:val="left"/>
      <w:lvlText w:val="%2"/>
      <w:numFmt w:val="lowerRoman"/>
      <w:start w:val="1"/>
    </w:lvl>
  </w:abstractNum>
  <w:abstractNum w:abstractNumId="256">
    <w:nsid w:val="41D646BC"/>
    <w:multiLevelType w:val="hybridMultilevel"/>
    <w:lvl w:ilvl="0">
      <w:lvlJc w:val="left"/>
      <w:lvlText w:val="%1."/>
      <w:numFmt w:val="decimal"/>
      <w:start w:val="18"/>
    </w:lvl>
  </w:abstractNum>
  <w:abstractNum w:abstractNumId="257">
    <w:nsid w:val="3694A76A"/>
    <w:multiLevelType w:val="hybridMultilevel"/>
    <w:lvl w:ilvl="0">
      <w:lvlJc w:val="left"/>
      <w:lvlText w:val="%1."/>
      <w:numFmt w:val="decimal"/>
      <w:start w:val="19"/>
    </w:lvl>
  </w:abstractNum>
  <w:abstractNum w:abstractNumId="258">
    <w:nsid w:val="2BF876EE"/>
    <w:multiLevelType w:val="hybridMultilevel"/>
    <w:lvl w:ilvl="0">
      <w:lvlJc w:val="left"/>
      <w:lvlText w:val="%1."/>
      <w:numFmt w:val="decimal"/>
      <w:start w:val="20"/>
    </w:lvl>
  </w:abstractNum>
  <w:abstractNum w:abstractNumId="259">
    <w:nsid w:val="675ADBA"/>
    <w:multiLevelType w:val="hybridMultilevel"/>
    <w:lvl w:ilvl="0">
      <w:lvlJc w:val="left"/>
      <w:lvlText w:val="%1."/>
      <w:numFmt w:val="decimal"/>
      <w:start w:val="22"/>
    </w:lvl>
    <w:lvl w:ilvl="1">
      <w:lvlJc w:val="left"/>
      <w:lvlText w:val="(%2)"/>
      <w:numFmt w:val="lowerLetter"/>
      <w:start w:val="1"/>
    </w:lvl>
  </w:abstractNum>
  <w:abstractNum w:abstractNumId="260">
    <w:nsid w:val="C12AC7F"/>
    <w:multiLevelType w:val="hybridMultilevel"/>
    <w:lvl w:ilvl="0">
      <w:lvlJc w:val="left"/>
      <w:lvlText w:val="%1."/>
      <w:numFmt w:val="decimal"/>
      <w:start w:val="23"/>
    </w:lvl>
  </w:abstractNum>
  <w:abstractNum w:abstractNumId="261">
    <w:nsid w:val="6798F039"/>
    <w:multiLevelType w:val="hybridMultilevel"/>
    <w:lvl w:ilvl="0">
      <w:lvlJc w:val="left"/>
      <w:lvlText w:val="%1."/>
      <w:numFmt w:val="decimal"/>
      <w:start w:val="24"/>
    </w:lvl>
    <w:lvl w:ilvl="1">
      <w:lvlJc w:val="left"/>
      <w:lvlText w:val="(%2)"/>
      <w:numFmt w:val="lowerLetter"/>
      <w:start w:val="1"/>
    </w:lvl>
  </w:abstractNum>
  <w:abstractNum w:abstractNumId="262">
    <w:nsid w:val="70837C02"/>
    <w:multiLevelType w:val="hybridMultilevel"/>
    <w:lvl w:ilvl="0">
      <w:lvlJc w:val="left"/>
      <w:lvlText w:val="%1."/>
      <w:numFmt w:val="decimal"/>
      <w:start w:val="25"/>
    </w:lvl>
  </w:abstractNum>
  <w:abstractNum w:abstractNumId="263">
    <w:nsid w:val="7E4A5715"/>
    <w:multiLevelType w:val="hybridMultilevel"/>
    <w:lvl w:ilvl="0">
      <w:lvlJc w:val="left"/>
      <w:lvlText w:val="%1."/>
      <w:numFmt w:val="decimal"/>
      <w:start w:val="26"/>
    </w:lvl>
  </w:abstractNum>
  <w:abstractNum w:abstractNumId="264">
    <w:nsid w:val="42B8AC67"/>
    <w:multiLevelType w:val="hybridMultilevel"/>
    <w:lvl w:ilvl="0">
      <w:lvlJc w:val="left"/>
      <w:lvlText w:val="%1."/>
      <w:numFmt w:val="decimal"/>
      <w:start w:val="27"/>
    </w:lvl>
    <w:lvl w:ilvl="1">
      <w:lvlJc w:val="left"/>
      <w:lvlText w:val="(%2)"/>
      <w:numFmt w:val="lowerLetter"/>
      <w:start w:val="1"/>
    </w:lvl>
  </w:abstractNum>
  <w:abstractNum w:abstractNumId="265">
    <w:nsid w:val="246348EA"/>
    <w:multiLevelType w:val="hybridMultilevel"/>
    <w:lvl w:ilvl="0">
      <w:lvlJc w:val="left"/>
      <w:lvlText w:val="%1."/>
      <w:numFmt w:val="decimal"/>
      <w:start w:val="1"/>
    </w:lvl>
    <w:lvl w:ilvl="1">
      <w:lvlJc w:val="left"/>
      <w:lvlText w:val="(%2)"/>
      <w:numFmt w:val="lowerLetter"/>
      <w:start w:val="1"/>
    </w:lvl>
  </w:abstractNum>
  <w:abstractNum w:abstractNumId="266">
    <w:nsid w:val="170EB52B"/>
    <w:multiLevelType w:val="hybridMultilevel"/>
    <w:lvl w:ilvl="0">
      <w:lvlJc w:val="left"/>
      <w:lvlText w:val="(%1)"/>
      <w:numFmt w:val="lowerLetter"/>
      <w:start w:val="1"/>
    </w:lvl>
  </w:abstractNum>
  <w:abstractNum w:abstractNumId="267">
    <w:nsid w:val="2DFBCB8C"/>
    <w:multiLevelType w:val="hybridMultilevel"/>
    <w:lvl w:ilvl="0">
      <w:lvlJc w:val="left"/>
      <w:lvlText w:val="(%1)"/>
      <w:numFmt w:val="lowerLetter"/>
      <w:start w:val="1"/>
    </w:lvl>
  </w:abstractNum>
  <w:abstractNum w:abstractNumId="268">
    <w:nsid w:val="3830D6B6"/>
    <w:multiLevelType w:val="hybridMultilevel"/>
    <w:lvl w:ilvl="0">
      <w:lvlJc w:val="left"/>
      <w:lvlText w:val="(%1)"/>
      <w:numFmt w:val="lowerRoman"/>
      <w:start w:val="1"/>
    </w:lvl>
  </w:abstractNum>
  <w:abstractNum w:abstractNumId="269">
    <w:nsid w:val="6D48CF87"/>
    <w:multiLevelType w:val="hybridMultilevel"/>
    <w:lvl w:ilvl="0">
      <w:lvlJc w:val="left"/>
      <w:lvlText w:val="%1."/>
      <w:numFmt w:val="decimal"/>
      <w:start w:val="2"/>
    </w:lvl>
    <w:lvl w:ilvl="1">
      <w:lvlJc w:val="left"/>
      <w:lvlText w:val="(%2)"/>
      <w:numFmt w:val="lowerLetter"/>
      <w:start w:val="1"/>
    </w:lvl>
  </w:abstractNum>
  <w:abstractNum w:abstractNumId="270">
    <w:nsid w:val="576FC41B"/>
    <w:multiLevelType w:val="hybridMultilevel"/>
    <w:lvl w:ilvl="0">
      <w:lvlJc w:val="left"/>
      <w:lvlText w:val="%1."/>
      <w:numFmt w:val="decimal"/>
      <w:start w:val="4"/>
    </w:lvl>
  </w:abstractNum>
  <w:abstractNum w:abstractNumId="271">
    <w:nsid w:val="64A1C464"/>
    <w:multiLevelType w:val="hybridMultilevel"/>
    <w:lvl w:ilvl="0">
      <w:lvlJc w:val="left"/>
      <w:lvlText w:val="%1."/>
      <w:numFmt w:val="decimal"/>
      <w:start w:val="8"/>
    </w:lvl>
    <w:lvl w:ilvl="1">
      <w:lvlJc w:val="left"/>
      <w:lvlText w:val="(%2)"/>
      <w:numFmt w:val="lowerLetter"/>
      <w:start w:val="1"/>
    </w:lvl>
  </w:abstractNum>
  <w:abstractNum w:abstractNumId="272">
    <w:nsid w:val="31723BF5"/>
    <w:multiLevelType w:val="hybridMultilevel"/>
    <w:lvl w:ilvl="0">
      <w:lvlJc w:val="left"/>
      <w:lvlText w:val="%1."/>
      <w:numFmt w:val="decimal"/>
      <w:start w:val="9"/>
    </w:lvl>
    <w:lvl w:ilvl="1">
      <w:lvlJc w:val="left"/>
      <w:lvlText w:val="(%2)"/>
      <w:numFmt w:val="lowerLetter"/>
      <w:start w:val="1"/>
    </w:lvl>
  </w:abstractNum>
  <w:abstractNum w:abstractNumId="273">
    <w:nsid w:val="11F69861"/>
    <w:multiLevelType w:val="hybridMultilevel"/>
    <w:lvl w:ilvl="0">
      <w:lvlJc w:val="left"/>
      <w:lvlText w:val="%1."/>
      <w:numFmt w:val="decimal"/>
      <w:start w:val="11"/>
    </w:lvl>
    <w:lvl w:ilvl="1">
      <w:lvlJc w:val="left"/>
      <w:lvlText w:val="(%2)"/>
      <w:numFmt w:val="lowerLetter"/>
      <w:start w:val="1"/>
    </w:lvl>
  </w:abstractNum>
  <w:abstractNum w:abstractNumId="274">
    <w:nsid w:val="369956AB"/>
    <w:multiLevelType w:val="hybridMultilevel"/>
    <w:lvl w:ilvl="0">
      <w:lvlJc w:val="left"/>
      <w:lvlText w:val="%1."/>
      <w:numFmt w:val="decimal"/>
      <w:start w:val="19"/>
    </w:lvl>
  </w:abstractNum>
  <w:abstractNum w:abstractNumId="275">
    <w:nsid w:val="D3BE41C"/>
    <w:multiLevelType w:val="hybridMultilevel"/>
    <w:lvl w:ilvl="0">
      <w:lvlJc w:val="left"/>
      <w:lvlText w:val="%1."/>
      <w:numFmt w:val="decimal"/>
      <w:start w:val="20"/>
    </w:lvl>
  </w:abstractNum>
  <w:abstractNum w:abstractNumId="276">
    <w:nsid w:val="4CDA15E7"/>
    <w:multiLevelType w:val="hybridMultilevel"/>
    <w:lvl w:ilvl="0">
      <w:lvlJc w:val="left"/>
      <w:lvlText w:val="%1."/>
      <w:numFmt w:val="decimal"/>
      <w:start w:val="21"/>
    </w:lvl>
  </w:abstractNum>
  <w:abstractNum w:abstractNumId="277">
    <w:nsid w:val="7BDD6690"/>
    <w:multiLevelType w:val="hybridMultilevel"/>
    <w:lvl w:ilvl="0">
      <w:lvlJc w:val="left"/>
      <w:lvlText w:val="%1."/>
      <w:numFmt w:val="decimal"/>
      <w:start w:val="22"/>
    </w:lvl>
    <w:lvl w:ilvl="1">
      <w:lvlJc w:val="left"/>
      <w:lvlText w:val="(%2)"/>
      <w:numFmt w:val="lowerLetter"/>
      <w:start w:val="1"/>
    </w:lvl>
  </w:abstractNum>
  <w:abstractNum w:abstractNumId="278">
    <w:nsid w:val="DFB5C5B"/>
    <w:multiLevelType w:val="hybridMultilevel"/>
    <w:lvl w:ilvl="0">
      <w:lvlJc w:val="left"/>
      <w:lvlText w:val="%1."/>
      <w:numFmt w:val="decimal"/>
      <w:start w:val="27"/>
    </w:lvl>
  </w:abstractNum>
  <w:abstractNum w:abstractNumId="279">
    <w:nsid w:val="6F3E5490"/>
    <w:multiLevelType w:val="hybridMultilevel"/>
    <w:lvl w:ilvl="0">
      <w:lvlJc w:val="left"/>
      <w:lvlText w:val="%1."/>
      <w:numFmt w:val="decimal"/>
      <w:start w:val="30"/>
    </w:lvl>
  </w:abstractNum>
  <w:abstractNum w:abstractNumId="280">
    <w:nsid w:val="1464BE1E"/>
    <w:multiLevelType w:val="hybridMultilevel"/>
    <w:lvl w:ilvl="0">
      <w:lvlJc w:val="left"/>
      <w:lvlText w:val="%1."/>
      <w:numFmt w:val="decimal"/>
      <w:start w:val="32"/>
    </w:lvl>
  </w:abstractNum>
  <w:abstractNum w:abstractNumId="281">
    <w:nsid w:val="66BBB7E5"/>
    <w:multiLevelType w:val="hybridMultilevel"/>
    <w:lvl w:ilvl="0">
      <w:lvlJc w:val="left"/>
      <w:lvlText w:val="%1."/>
      <w:numFmt w:val="decimal"/>
      <w:start w:val="35"/>
    </w:lvl>
    <w:lvl w:ilvl="1">
      <w:lvlJc w:val="left"/>
      <w:lvlText w:val="(%2)"/>
      <w:numFmt w:val="lowerLetter"/>
      <w:start w:val="1"/>
    </w:lvl>
  </w:abstractNum>
  <w:abstractNum w:abstractNumId="282">
    <w:nsid w:val="28168302"/>
    <w:multiLevelType w:val="hybridMultilevel"/>
    <w:lvl w:ilvl="0">
      <w:lvlJc w:val="left"/>
      <w:lvlText w:val="%1."/>
      <w:numFmt w:val="decimal"/>
      <w:start w:val="36"/>
    </w:lvl>
    <w:lvl w:ilvl="1">
      <w:lvlJc w:val="left"/>
      <w:lvlText w:val="(%2)"/>
      <w:numFmt w:val="lowerLetter"/>
      <w:start w:val="1"/>
    </w:lvl>
  </w:abstractNum>
  <w:abstractNum w:abstractNumId="283">
    <w:nsid w:val="32A5C7A8"/>
    <w:multiLevelType w:val="hybridMultilevel"/>
    <w:lvl w:ilvl="0">
      <w:lvlJc w:val="left"/>
      <w:lvlText w:val="%1."/>
      <w:numFmt w:val="decimal"/>
      <w:start w:val="37"/>
    </w:lvl>
  </w:abstractNum>
  <w:abstractNum w:abstractNumId="284">
    <w:nsid w:val="3A541011"/>
    <w:multiLevelType w:val="hybridMultilevel"/>
    <w:lvl w:ilvl="0">
      <w:lvlJc w:val="left"/>
      <w:lvlText w:val="%1."/>
      <w:numFmt w:val="decimal"/>
      <w:start w:val="41"/>
    </w:lvl>
  </w:abstractNum>
  <w:abstractNum w:abstractNumId="285">
    <w:nsid w:val="4423C777"/>
    <w:multiLevelType w:val="hybridMultilevel"/>
    <w:lvl w:ilvl="0">
      <w:lvlJc w:val="left"/>
      <w:lvlText w:val="%1."/>
      <w:numFmt w:val="decimal"/>
      <w:start w:val="44"/>
    </w:lvl>
    <w:lvl w:ilvl="1">
      <w:lvlJc w:val="left"/>
      <w:lvlText w:val="(%2)"/>
      <w:numFmt w:val="lowerLetter"/>
      <w:start w:val="1"/>
    </w:lvl>
  </w:abstractNum>
  <w:abstractNum w:abstractNumId="286">
    <w:nsid w:val="5F5C6E4D"/>
    <w:multiLevelType w:val="hybridMultilevel"/>
    <w:lvl w:ilvl="0">
      <w:lvlJc w:val="left"/>
      <w:lvlText w:val="%1."/>
      <w:numFmt w:val="decimal"/>
      <w:start w:val="46"/>
    </w:lvl>
  </w:abstractNum>
  <w:abstractNum w:abstractNumId="287">
    <w:nsid w:val="7C2A56CD"/>
    <w:multiLevelType w:val="hybridMultilevel"/>
    <w:lvl w:ilvl="0">
      <w:lvlJc w:val="left"/>
      <w:lvlText w:val="%1."/>
      <w:numFmt w:val="decimal"/>
      <w:start w:val="47"/>
    </w:lvl>
  </w:abstractNum>
  <w:abstractNum w:abstractNumId="288">
    <w:nsid w:val="7AB86EE1"/>
    <w:multiLevelType w:val="hybridMultilevel"/>
    <w:lvl w:ilvl="0">
      <w:lvlJc w:val="left"/>
      <w:lvlText w:val="%1."/>
      <w:numFmt w:val="decimal"/>
      <w:start w:val="53"/>
    </w:lvl>
  </w:abstractNum>
  <w:abstractNum w:abstractNumId="289">
    <w:nsid w:val="B54E53B"/>
    <w:multiLevelType w:val="hybridMultilevel"/>
    <w:lvl w:ilvl="0">
      <w:lvlJc w:val="left"/>
      <w:lvlText w:val="%1."/>
      <w:numFmt w:val="decimal"/>
      <w:start w:val="58"/>
    </w:lvl>
  </w:abstractNum>
  <w:abstractNum w:abstractNumId="290">
    <w:nsid w:val="2A00487"/>
    <w:multiLevelType w:val="hybridMultilevel"/>
    <w:lvl w:ilvl="0">
      <w:lvlJc w:val="left"/>
      <w:lvlText w:val="%1."/>
      <w:numFmt w:val="decimal"/>
      <w:start w:val="59"/>
    </w:lvl>
    <w:lvl w:ilvl="1">
      <w:lvlJc w:val="left"/>
      <w:lvlText w:val="(%2)"/>
      <w:numFmt w:val="lowerLetter"/>
      <w:start w:val="1"/>
    </w:lvl>
  </w:abstractNum>
  <w:abstractNum w:abstractNumId="291">
    <w:nsid w:val="6CB1B60"/>
    <w:multiLevelType w:val="hybridMultilevel"/>
    <w:lvl w:ilvl="0">
      <w:lvlJc w:val="left"/>
      <w:lvlText w:val="%1."/>
      <w:numFmt w:val="decimal"/>
      <w:start w:val="61"/>
    </w:lvl>
  </w:abstractNum>
  <w:abstractNum w:abstractNumId="292">
    <w:nsid w:val="72EDD574"/>
    <w:multiLevelType w:val="hybridMultilevel"/>
    <w:lvl w:ilvl="0">
      <w:lvlJc w:val="left"/>
      <w:lvlText w:val="%1."/>
      <w:numFmt w:val="decimal"/>
      <w:start w:val="70"/>
    </w:lvl>
  </w:abstractNum>
  <w:abstractNum w:abstractNumId="293">
    <w:nsid w:val="7323808A"/>
    <w:multiLevelType w:val="hybridMultilevel"/>
    <w:lvl w:ilvl="0">
      <w:lvlJc w:val="left"/>
      <w:lvlText w:val="%1."/>
      <w:numFmt w:val="decimal"/>
      <w:start w:val="71"/>
    </w:lvl>
  </w:abstractNum>
  <w:abstractNum w:abstractNumId="294">
    <w:nsid w:val="5157276"/>
    <w:multiLevelType w:val="hybridMultilevel"/>
    <w:lvl w:ilvl="0">
      <w:lvlJc w:val="left"/>
      <w:lvlText w:val="%1."/>
      <w:numFmt w:val="decimal"/>
      <w:start w:val="72"/>
    </w:lvl>
    <w:lvl w:ilvl="1">
      <w:lvlJc w:val="left"/>
      <w:lvlText w:val="(%2)"/>
      <w:numFmt w:val="lowerLetter"/>
      <w:start w:val="1"/>
    </w:lvl>
  </w:abstractNum>
  <w:abstractNum w:abstractNumId="295">
    <w:nsid w:val="35A681DB"/>
    <w:multiLevelType w:val="hybridMultilevel"/>
    <w:lvl w:ilvl="0">
      <w:lvlJc w:val="left"/>
      <w:lvlText w:val="%1."/>
      <w:numFmt w:val="decimal"/>
      <w:start w:val="75"/>
    </w:lvl>
  </w:abstractNum>
  <w:abstractNum w:abstractNumId="296">
    <w:nsid w:val="1786C974"/>
    <w:multiLevelType w:val="hybridMultilevel"/>
    <w:lvl w:ilvl="0">
      <w:lvlJc w:val="left"/>
      <w:lvlText w:val="%1"/>
      <w:numFmt w:val="decimal"/>
      <w:start w:val="1"/>
    </w:lvl>
    <w:lvl w:ilvl="1">
      <w:lvlJc w:val="left"/>
      <w:lvlText w:val="(%2)"/>
      <w:numFmt w:val="lowerLetter"/>
      <w:start w:val="1"/>
    </w:lvl>
  </w:abstractNum>
  <w:abstractNum w:abstractNumId="297">
    <w:nsid w:val="1C2427A1"/>
    <w:multiLevelType w:val="hybridMultilevel"/>
    <w:lvl w:ilvl="0">
      <w:lvlJc w:val="left"/>
      <w:lvlText w:val="%1."/>
      <w:numFmt w:val="decimal"/>
      <w:start w:val="82"/>
    </w:lvl>
    <w:lvl w:ilvl="1">
      <w:lvlJc w:val="left"/>
      <w:lvlText w:val="%2"/>
      <w:numFmt w:val="lowerLetter"/>
      <w:start w:val="1"/>
    </w:lvl>
  </w:abstractNum>
  <w:abstractNum w:abstractNumId="298">
    <w:nsid w:val="63A24D68"/>
    <w:multiLevelType w:val="hybridMultilevel"/>
    <w:lvl w:ilvl="0">
      <w:lvlJc w:val="left"/>
      <w:lvlText w:val="%1."/>
      <w:numFmt w:val="decimal"/>
      <w:start w:val="83"/>
    </w:lvl>
  </w:abstractNum>
  <w:abstractNum w:abstractNumId="299">
    <w:nsid w:val="4FB7A02A"/>
    <w:multiLevelType w:val="hybridMultilevel"/>
    <w:lvl w:ilvl="0">
      <w:lvlJc w:val="left"/>
      <w:lvlText w:val="%1."/>
      <w:numFmt w:val="decimal"/>
      <w:start w:val="84"/>
    </w:lvl>
  </w:abstractNum>
  <w:abstractNum w:abstractNumId="300">
    <w:nsid w:val="96CF728"/>
    <w:multiLevelType w:val="hybridMultilevel"/>
    <w:lvl w:ilvl="0">
      <w:lvlJc w:val="left"/>
      <w:lvlText w:val="%1."/>
      <w:numFmt w:val="decimal"/>
      <w:start w:val="89"/>
    </w:lvl>
    <w:lvl w:ilvl="1">
      <w:lvlJc w:val="left"/>
      <w:lvlText w:val="(%2)"/>
      <w:numFmt w:val="lowerLetter"/>
      <w:start w:val="1"/>
    </w:lvl>
  </w:abstractNum>
  <w:abstractNum w:abstractNumId="301">
    <w:nsid w:val="3B121183"/>
    <w:multiLevelType w:val="hybridMultilevel"/>
    <w:lvl w:ilvl="0">
      <w:lvlJc w:val="left"/>
      <w:lvlText w:val="%1."/>
      <w:numFmt w:val="decimal"/>
      <w:start w:val="92"/>
    </w:lvl>
  </w:abstractNum>
  <w:abstractNum w:abstractNumId="302">
    <w:nsid w:val="3459648F"/>
    <w:multiLevelType w:val="hybridMultilevel"/>
    <w:lvl w:ilvl="0">
      <w:lvlJc w:val="left"/>
      <w:lvlText w:val="%1."/>
      <w:numFmt w:val="decimal"/>
      <w:start w:val="93"/>
    </w:lvl>
  </w:abstractNum>
  <w:abstractNum w:abstractNumId="303">
    <w:nsid w:val="3ADF331D"/>
    <w:multiLevelType w:val="hybridMultilevel"/>
    <w:lvl w:ilvl="0">
      <w:lvlJc w:val="left"/>
      <w:lvlText w:val="%1."/>
      <w:numFmt w:val="decimal"/>
      <w:start w:val="94"/>
    </w:lvl>
    <w:lvl w:ilvl="1">
      <w:lvlJc w:val="left"/>
      <w:lvlText w:val="(%2)"/>
      <w:numFmt w:val="lowerLetter"/>
      <w:start w:val="1"/>
    </w:lvl>
  </w:abstractNum>
  <w:abstractNum w:abstractNumId="304">
    <w:nsid w:val="4D08A9E4"/>
    <w:multiLevelType w:val="hybridMultilevel"/>
    <w:lvl w:ilvl="0">
      <w:lvlJc w:val="left"/>
      <w:lvlText w:val="%1."/>
      <w:numFmt w:val="decimal"/>
      <w:start w:val="104"/>
    </w:lvl>
  </w:abstractNum>
  <w:abstractNum w:abstractNumId="305">
    <w:nsid w:val="6AF2BB3A"/>
    <w:multiLevelType w:val="hybridMultilevel"/>
    <w:lvl w:ilvl="0">
      <w:lvlJc w:val="left"/>
      <w:lvlText w:val="%1."/>
      <w:numFmt w:val="decimal"/>
      <w:start w:val="109"/>
    </w:lvl>
  </w:abstractNum>
  <w:abstractNum w:abstractNumId="306">
    <w:nsid w:val="481B1739"/>
    <w:multiLevelType w:val="hybridMultilevel"/>
    <w:lvl w:ilvl="0">
      <w:lvlJc w:val="left"/>
      <w:lvlText w:val="%1."/>
      <w:numFmt w:val="decimal"/>
      <w:start w:val="113"/>
    </w:lvl>
    <w:lvl w:ilvl="1">
      <w:lvlJc w:val="left"/>
      <w:lvlText w:val="(%2)"/>
      <w:numFmt w:val="lowerLetter"/>
      <w:start w:val="1"/>
    </w:lvl>
  </w:abstractNum>
  <w:abstractNum w:abstractNumId="307">
    <w:nsid w:val="19E2BFCC"/>
    <w:multiLevelType w:val="hybridMultilevel"/>
    <w:lvl w:ilvl="0">
      <w:lvlJc w:val="left"/>
      <w:lvlText w:val="%1."/>
      <w:numFmt w:val="decimal"/>
      <w:start w:val="117"/>
    </w:lvl>
    <w:lvl w:ilvl="1">
      <w:lvlJc w:val="left"/>
      <w:lvlText w:val="(%2)"/>
      <w:numFmt w:val="lowerLetter"/>
      <w:start w:val="1"/>
    </w:lvl>
  </w:abstractNum>
  <w:abstractNum w:abstractNumId="308">
    <w:nsid w:val="66D021CA"/>
    <w:multiLevelType w:val="hybridMultilevel"/>
    <w:lvl w:ilvl="0">
      <w:lvlJc w:val="left"/>
      <w:lvlText w:val="(%1)"/>
      <w:numFmt w:val="lowerLetter"/>
      <w:start w:val="6"/>
    </w:lvl>
  </w:abstractNum>
  <w:abstractNum w:abstractNumId="309">
    <w:nsid w:val="56167394"/>
    <w:multiLevelType w:val="hybridMultilevel"/>
    <w:lvl w:ilvl="0">
      <w:lvlJc w:val="left"/>
      <w:lvlText w:val="%1."/>
      <w:numFmt w:val="decimal"/>
      <w:start w:val="118"/>
    </w:lvl>
  </w:abstractNum>
  <w:abstractNum w:abstractNumId="310">
    <w:nsid w:val="921145C"/>
    <w:multiLevelType w:val="hybridMultilevel"/>
    <w:lvl w:ilvl="0">
      <w:lvlJc w:val="left"/>
      <w:lvlText w:val="%1."/>
      <w:numFmt w:val="decimal"/>
      <w:start w:val="123"/>
    </w:lvl>
    <w:lvl w:ilvl="1">
      <w:lvlJc w:val="left"/>
      <w:lvlText w:val="(%2)"/>
      <w:numFmt w:val="lowerLetter"/>
      <w:start w:val="1"/>
    </w:lvl>
  </w:abstractNum>
  <w:abstractNum w:abstractNumId="311">
    <w:nsid w:val="7B34DFE8"/>
    <w:multiLevelType w:val="hybridMultilevel"/>
    <w:lvl w:ilvl="0">
      <w:lvlJc w:val="left"/>
      <w:lvlText w:val="%1."/>
      <w:numFmt w:val="decimal"/>
      <w:start w:val="127"/>
    </w:lvl>
  </w:abstractNum>
  <w:abstractNum w:abstractNumId="312">
    <w:nsid w:val="3CD22B79"/>
    <w:multiLevelType w:val="hybridMultilevel"/>
    <w:lvl w:ilvl="0">
      <w:lvlJc w:val="left"/>
      <w:lvlText w:val="%1."/>
      <w:numFmt w:val="decimal"/>
      <w:start w:val="128"/>
    </w:lvl>
    <w:lvl w:ilvl="1">
      <w:lvlJc w:val="left"/>
      <w:lvlText w:val="(%2)"/>
      <w:numFmt w:val="lowerLetter"/>
      <w:start w:val="1"/>
    </w:lvl>
  </w:abstractNum>
  <w:abstractNum w:abstractNumId="313">
    <w:nsid w:val="3137975E"/>
    <w:multiLevelType w:val="hybridMultilevel"/>
    <w:lvl w:ilvl="0">
      <w:lvlJc w:val="left"/>
      <w:lvlText w:val="%1."/>
      <w:numFmt w:val="decimal"/>
      <w:start w:val="133"/>
    </w:lvl>
    <w:lvl w:ilvl="1">
      <w:lvlJc w:val="left"/>
      <w:lvlText w:val="(%2)"/>
      <w:numFmt w:val="lowerLetter"/>
      <w:start w:val="1"/>
    </w:lvl>
  </w:abstractNum>
  <w:abstractNum w:abstractNumId="314">
    <w:nsid w:val="2DDAA791"/>
    <w:multiLevelType w:val="hybridMultilevel"/>
    <w:lvl w:ilvl="0">
      <w:lvlJc w:val="left"/>
      <w:lvlText w:val="(%1)"/>
      <w:numFmt w:val="lowerLetter"/>
      <w:start w:val="4"/>
    </w:lvl>
  </w:abstractNum>
  <w:abstractNum w:abstractNumId="315">
    <w:nsid w:val="77263B8A"/>
    <w:multiLevelType w:val="hybridMultilevel"/>
    <w:lvl w:ilvl="0">
      <w:lvlJc w:val="left"/>
      <w:lvlText w:val="%1."/>
      <w:numFmt w:val="decimal"/>
      <w:start w:val="136"/>
    </w:lvl>
    <w:lvl w:ilvl="1">
      <w:lvlJc w:val="left"/>
      <w:lvlText w:val="(%2)"/>
      <w:numFmt w:val="lowerLetter"/>
      <w:start w:val="1"/>
    </w:lvl>
  </w:abstractNum>
  <w:abstractNum w:abstractNumId="316">
    <w:nsid w:val="755B5ED6"/>
    <w:multiLevelType w:val="hybridMultilevel"/>
    <w:lvl w:ilvl="0">
      <w:lvlJc w:val="left"/>
      <w:lvlText w:val="%1."/>
      <w:numFmt w:val="decimal"/>
      <w:start w:val="138"/>
    </w:lvl>
    <w:lvl w:ilvl="1">
      <w:lvlJc w:val="left"/>
      <w:lvlText w:val="(%2)"/>
      <w:numFmt w:val="lowerLetter"/>
      <w:start w:val="1"/>
    </w:lvl>
  </w:abstractNum>
  <w:abstractNum w:abstractNumId="317">
    <w:nsid w:val="D3715DE"/>
    <w:multiLevelType w:val="hybridMultilevel"/>
    <w:lvl w:ilvl="0">
      <w:lvlJc w:val="left"/>
      <w:lvlText w:val="%1."/>
      <w:numFmt w:val="decimal"/>
      <w:start w:val="141"/>
    </w:lvl>
  </w:abstractNum>
  <w:abstractNum w:abstractNumId="318">
    <w:nsid w:val="73509257"/>
    <w:multiLevelType w:val="hybridMultilevel"/>
    <w:lvl w:ilvl="0">
      <w:lvlJc w:val="left"/>
      <w:lvlText w:val="%1."/>
      <w:numFmt w:val="decimal"/>
      <w:start w:val="146"/>
    </w:lvl>
  </w:abstractNum>
  <w:abstractNum w:abstractNumId="319">
    <w:nsid w:val="7013CDB7"/>
    <w:multiLevelType w:val="hybridMultilevel"/>
    <w:lvl w:ilvl="0">
      <w:lvlJc w:val="left"/>
      <w:lvlText w:val="%1."/>
      <w:numFmt w:val="decimal"/>
      <w:start w:val="147"/>
    </w:lvl>
  </w:abstractNum>
  <w:abstractNum w:abstractNumId="320">
    <w:nsid w:val="188BFB19"/>
    <w:multiLevelType w:val="hybridMultilevel"/>
    <w:lvl w:ilvl="0">
      <w:lvlJc w:val="left"/>
      <w:lvlText w:val="%1."/>
      <w:numFmt w:val="decimal"/>
      <w:start w:val="148"/>
    </w:lvl>
    <w:lvl w:ilvl="1">
      <w:lvlJc w:val="left"/>
      <w:lvlText w:val="(%2)"/>
      <w:numFmt w:val="lowerLetter"/>
      <w:start w:val="1"/>
    </w:lvl>
  </w:abstractNum>
  <w:abstractNum w:abstractNumId="321">
    <w:nsid w:val="75F096DF"/>
    <w:multiLevelType w:val="hybridMultilevel"/>
    <w:lvl w:ilvl="0">
      <w:lvlJc w:val="left"/>
      <w:lvlText w:val="%1."/>
      <w:numFmt w:val="decimal"/>
      <w:start w:val="151"/>
    </w:lvl>
  </w:abstractNum>
  <w:abstractNum w:abstractNumId="322">
    <w:nsid w:val="76DEE918"/>
    <w:multiLevelType w:val="hybridMultilevel"/>
    <w:lvl w:ilvl="0">
      <w:lvlJc w:val="left"/>
      <w:lvlText w:val="%1."/>
      <w:numFmt w:val="decimal"/>
      <w:start w:val="154"/>
    </w:lvl>
  </w:abstractNum>
  <w:abstractNum w:abstractNumId="323">
    <w:nsid w:val="B79D08D"/>
    <w:multiLevelType w:val="hybridMultilevel"/>
    <w:lvl w:ilvl="0">
      <w:lvlJc w:val="left"/>
      <w:lvlText w:val="%1."/>
      <w:numFmt w:val="decimal"/>
      <w:start w:val="155"/>
    </w:lvl>
  </w:abstractNum>
  <w:abstractNum w:abstractNumId="324">
    <w:nsid w:val="69141769"/>
    <w:multiLevelType w:val="hybridMultilevel"/>
    <w:lvl w:ilvl="0">
      <w:lvlJc w:val="left"/>
      <w:lvlText w:val="%1."/>
      <w:numFmt w:val="decimal"/>
      <w:start w:val="11"/>
    </w:lvl>
  </w:abstractNum>
  <w:abstractNum w:abstractNumId="325">
    <w:nsid w:val="7BF45B8E"/>
    <w:multiLevelType w:val="hybridMultilevel"/>
    <w:lvl w:ilvl="0">
      <w:lvlJc w:val="left"/>
      <w:lvlText w:val="(%1)"/>
      <w:numFmt w:val="decimal"/>
      <w:start w:val="1"/>
    </w:lvl>
  </w:abstractNum>
  <w:abstractNum w:abstractNumId="326">
    <w:nsid w:val="41205269"/>
    <w:multiLevelType w:val="hybridMultilevel"/>
    <w:lvl w:ilvl="0">
      <w:lvlJc w:val="left"/>
      <w:lvlText w:val="(%1)"/>
      <w:numFmt w:val="upperLetter"/>
      <w:start w:val="1"/>
    </w:lvl>
  </w:abstractNum>
  <w:abstractNum w:abstractNumId="327">
    <w:nsid w:val="9AE0DD"/>
    <w:multiLevelType w:val="hybridMultilevel"/>
    <w:lvl w:ilvl="0">
      <w:lvlJc w:val="left"/>
      <w:lvlText w:val="%1."/>
      <w:numFmt w:val="decimal"/>
      <w:start w:val="1"/>
    </w:lvl>
  </w:abstractNum>
  <w:abstractNum w:abstractNumId="328">
    <w:nsid w:val="1818832F"/>
    <w:multiLevelType w:val="hybridMultilevel"/>
    <w:lvl w:ilvl="0">
      <w:lvlJc w:val="left"/>
      <w:lvlText w:val="(%1)"/>
      <w:numFmt w:val="lowerLetter"/>
      <w:start w:val="1"/>
    </w:lvl>
  </w:abstractNum>
  <w:abstractNum w:abstractNumId="329">
    <w:nsid w:val="24C29FD1"/>
    <w:multiLevelType w:val="hybridMultilevel"/>
    <w:lvl w:ilvl="0">
      <w:lvlJc w:val="left"/>
      <w:lvlText w:val="(%1)"/>
      <w:numFmt w:val="lowerLetter"/>
      <w:start w:val="1"/>
    </w:lvl>
  </w:abstractNum>
  <w:abstractNum w:abstractNumId="330">
    <w:nsid w:val="50528108"/>
    <w:multiLevelType w:val="hybridMultilevel"/>
    <w:lvl w:ilvl="0">
      <w:lvlJc w:val="left"/>
      <w:lvlText w:val="(%1)"/>
      <w:numFmt w:val="lowerLetter"/>
      <w:start w:val="1"/>
    </w:lvl>
  </w:abstractNum>
  <w:abstractNum w:abstractNumId="331">
    <w:nsid w:val="21857A57"/>
    <w:multiLevelType w:val="hybridMultilevel"/>
    <w:lvl w:ilvl="0">
      <w:lvlJc w:val="left"/>
      <w:lvlText w:val="(%1)"/>
      <w:numFmt w:val="lowerLetter"/>
      <w:start w:val="1"/>
    </w:lvl>
  </w:abstractNum>
  <w:abstractNum w:abstractNumId="332">
    <w:nsid w:val="5FD4B154"/>
    <w:multiLevelType w:val="hybridMultilevel"/>
    <w:lvl w:ilvl="0">
      <w:lvlJc w:val="left"/>
      <w:lvlText w:val="(%1)"/>
      <w:numFmt w:val="lowerLetter"/>
      <w:start w:val="1"/>
    </w:lvl>
    <w:lvl w:ilvl="1">
      <w:lvlJc w:val="left"/>
      <w:lvlText w:val="(%2)"/>
      <w:numFmt w:val="lowerRoman"/>
      <w:start w:val="1"/>
    </w:lvl>
  </w:abstractNum>
  <w:abstractNum w:abstractNumId="333">
    <w:nsid w:val="4ABE597"/>
    <w:multiLevelType w:val="hybridMultilevel"/>
    <w:lvl w:ilvl="0">
      <w:lvlJc w:val="left"/>
      <w:lvlText w:val="(%1)"/>
      <w:numFmt w:val="lowerLetter"/>
      <w:start w:val="1"/>
    </w:lvl>
  </w:abstractNum>
  <w:abstractNum w:abstractNumId="334">
    <w:nsid w:val="5C64AD75"/>
    <w:multiLevelType w:val="hybridMultilevel"/>
    <w:lvl w:ilvl="0">
      <w:lvlJc w:val="left"/>
      <w:lvlText w:val="(%1)"/>
      <w:numFmt w:val="decimal"/>
      <w:start w:val="25"/>
    </w:lvl>
  </w:abstractNum>
  <w:abstractNum w:abstractNumId="335">
    <w:nsid w:val="2CDD5B39"/>
    <w:multiLevelType w:val="hybridMultilevel"/>
    <w:lvl w:ilvl="0">
      <w:lvlJc w:val="left"/>
      <w:lvlText w:val="(%1)"/>
      <w:numFmt w:val="lowerLetter"/>
      <w:start w:val="1"/>
    </w:lvl>
  </w:abstractNum>
  <w:abstractNum w:abstractNumId="336">
    <w:nsid w:val="6F9EA0D1"/>
    <w:multiLevelType w:val="hybridMultilevel"/>
    <w:lvl w:ilvl="0">
      <w:lvlJc w:val="left"/>
      <w:lvlText w:val="(%1)"/>
      <w:numFmt w:val="lowerLetter"/>
      <w:start w:val="2"/>
    </w:lvl>
  </w:abstractNum>
  <w:abstractNum w:abstractNumId="337">
    <w:nsid w:val="247FC4AE"/>
    <w:multiLevelType w:val="hybridMultilevel"/>
    <w:lvl w:ilvl="0">
      <w:lvlJc w:val="left"/>
      <w:lvlText w:val="(%1)"/>
      <w:numFmt w:val="lowerLetter"/>
      <w:start w:val="1"/>
    </w:lvl>
  </w:abstractNum>
  <w:abstractNum w:abstractNumId="338">
    <w:nsid w:val="46C01B05"/>
    <w:multiLevelType w:val="hybridMultilevel"/>
    <w:lvl w:ilvl="0">
      <w:lvlJc w:val="left"/>
      <w:lvlText w:val="(%1)"/>
      <w:numFmt w:val="lowerLetter"/>
      <w:start w:val="24"/>
    </w:lvl>
  </w:abstractNum>
  <w:abstractNum w:abstractNumId="339">
    <w:nsid w:val="566EC29B"/>
    <w:multiLevelType w:val="hybridMultilevel"/>
    <w:lvl w:ilvl="0">
      <w:lvlJc w:val="left"/>
      <w:lvlText w:val="(%1)"/>
      <w:numFmt w:val="lowerLetter"/>
      <w:start w:val="1"/>
    </w:lvl>
  </w:abstractNum>
  <w:abstractNum w:abstractNumId="340">
    <w:nsid w:val="7A963843"/>
    <w:multiLevelType w:val="hybridMultilevel"/>
    <w:lvl w:ilvl="0">
      <w:lvlJc w:val="left"/>
      <w:lvlText w:val="(%1)"/>
      <w:numFmt w:val="lowerLetter"/>
      <w:start w:val="2"/>
    </w:lvl>
  </w:abstractNum>
  <w:abstractNum w:abstractNumId="341">
    <w:nsid w:val="4FE12F61"/>
    <w:multiLevelType w:val="hybridMultilevel"/>
    <w:lvl w:ilvl="0">
      <w:lvlJc w:val="left"/>
      <w:lvlText w:val="(%1)"/>
      <w:numFmt w:val="lowerLetter"/>
      <w:start w:val="1"/>
    </w:lvl>
    <w:lvl w:ilvl="1">
      <w:lvlJc w:val="left"/>
      <w:lvlText w:val="(%2)"/>
      <w:numFmt w:val="lowerRoman"/>
      <w:start w:val="1"/>
    </w:lvl>
  </w:abstractNum>
  <w:abstractNum w:abstractNumId="342">
    <w:nsid w:val="51A3A284"/>
    <w:multiLevelType w:val="hybridMultilevel"/>
    <w:lvl w:ilvl="0">
      <w:lvlJc w:val="left"/>
      <w:lvlText w:val="%1"/>
      <w:numFmt w:val="lowerLetter"/>
      <w:start w:val="1"/>
    </w:lvl>
    <w:lvl w:ilvl="1">
      <w:lvlJc w:val="left"/>
      <w:lvlText w:val="(%2)"/>
      <w:numFmt w:val="lowerRoman"/>
      <w:start w:val="12"/>
    </w:lvl>
  </w:abstractNum>
  <w:abstractNum w:abstractNumId="343">
    <w:nsid w:val="376863BC"/>
    <w:multiLevelType w:val="hybridMultilevel"/>
    <w:lvl w:ilvl="0">
      <w:lvlJc w:val="left"/>
      <w:lvlText w:val="(%1)"/>
      <w:numFmt w:val="lowerLetter"/>
      <w:start w:val="7"/>
    </w:lvl>
    <w:lvl w:ilvl="1">
      <w:lvlJc w:val="left"/>
      <w:lvlText w:val="%2"/>
      <w:numFmt w:val="lowerRoman"/>
      <w:start w:val="1"/>
    </w:lvl>
  </w:abstractNum>
  <w:abstractNum w:abstractNumId="344">
    <w:nsid w:val="118C6C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45">
    <w:nsid w:val="7F7E4A15"/>
    <w:multiLevelType w:val="hybridMultilevel"/>
    <w:lvl w:ilvl="0">
      <w:lvlJc w:val="left"/>
      <w:lvlText w:val="(%1)"/>
      <w:numFmt w:val="lowerLetter"/>
      <w:start w:val="3"/>
    </w:lvl>
  </w:abstractNum>
  <w:abstractNum w:abstractNumId="346">
    <w:nsid w:val="2E8E9F47"/>
    <w:multiLevelType w:val="hybridMultilevel"/>
    <w:lvl w:ilvl="0">
      <w:lvlJc w:val="left"/>
      <w:lvlText w:val="(%1)"/>
      <w:numFmt w:val="lowerLetter"/>
      <w:start w:val="4"/>
    </w:lvl>
  </w:abstractNum>
  <w:abstractNum w:abstractNumId="347">
    <w:nsid w:val="76742596"/>
    <w:multiLevelType w:val="hybridMultilevel"/>
    <w:lvl w:ilvl="0">
      <w:lvlJc w:val="left"/>
      <w:lvlText w:val="(%1)"/>
      <w:numFmt w:val="lowerLetter"/>
      <w:start w:val="1"/>
    </w:lvl>
    <w:lvl w:ilvl="1">
      <w:lvlJc w:val="left"/>
      <w:lvlText w:val="(%2)"/>
      <w:numFmt w:val="lowerRoman"/>
      <w:start w:val="1"/>
    </w:lvl>
  </w:abstractNum>
  <w:abstractNum w:abstractNumId="348">
    <w:nsid w:val="CB55FF3"/>
    <w:multiLevelType w:val="hybridMultilevel"/>
    <w:lvl w:ilvl="0">
      <w:lvlJc w:val="left"/>
      <w:lvlText w:val="(%1)"/>
      <w:numFmt w:val="lowerLetter"/>
      <w:start w:val="7"/>
    </w:lvl>
  </w:abstractNum>
  <w:abstractNum w:abstractNumId="349">
    <w:nsid w:val="21DF319E"/>
    <w:multiLevelType w:val="hybridMultilevel"/>
    <w:lvl w:ilvl="0">
      <w:lvlJc w:val="left"/>
      <w:lvlText w:val="(%1)"/>
      <w:numFmt w:val="lowerLetter"/>
      <w:start w:val="1"/>
    </w:lvl>
  </w:abstractNum>
  <w:abstractNum w:abstractNumId="350">
    <w:nsid w:val="6687F34D"/>
    <w:multiLevelType w:val="hybridMultilevel"/>
    <w:lvl w:ilvl="0">
      <w:lvlJc w:val="left"/>
      <w:lvlText w:val="(%1)"/>
      <w:numFmt w:val="lowerLetter"/>
      <w:start w:val="1"/>
    </w:lvl>
  </w:abstractNum>
  <w:abstractNum w:abstractNumId="351">
    <w:nsid w:val="25415B0C"/>
    <w:multiLevelType w:val="hybridMultilevel"/>
    <w:lvl w:ilvl="0">
      <w:lvlJc w:val="left"/>
      <w:lvlText w:val="(%1)"/>
      <w:numFmt w:val="lowerLetter"/>
      <w:start w:val="6"/>
    </w:lvl>
  </w:abstractNum>
  <w:abstractNum w:abstractNumId="352">
    <w:nsid w:val="17CFC87D"/>
    <w:multiLevelType w:val="hybridMultilevel"/>
    <w:lvl w:ilvl="0">
      <w:lvlJc w:val="left"/>
      <w:lvlText w:val="(%1)"/>
      <w:numFmt w:val="lowerLetter"/>
      <w:start w:val="1"/>
    </w:lvl>
  </w:abstractNum>
  <w:abstractNum w:abstractNumId="353">
    <w:nsid w:val="5D66DC65"/>
    <w:multiLevelType w:val="hybridMultilevel"/>
    <w:lvl w:ilvl="0">
      <w:lvlJc w:val="left"/>
      <w:lvlText w:val="(%1)"/>
      <w:numFmt w:val="lowerLetter"/>
      <w:start w:val="1"/>
    </w:lvl>
  </w:abstractNum>
  <w:abstractNum w:abstractNumId="354">
    <w:nsid w:val="30BB2B99"/>
    <w:multiLevelType w:val="hybridMultilevel"/>
    <w:lvl w:ilvl="0">
      <w:lvlJc w:val="left"/>
      <w:lvlText w:val="(%1)"/>
      <w:numFmt w:val="lowerLetter"/>
      <w:start w:val="1"/>
    </w:lvl>
  </w:abstractNum>
  <w:abstractNum w:abstractNumId="355">
    <w:nsid w:val="E3DFE6"/>
    <w:multiLevelType w:val="hybridMultilevel"/>
    <w:lvl w:ilvl="0">
      <w:lvlJc w:val="left"/>
      <w:lvlText w:val="%1"/>
      <w:numFmt w:val="lowerLetter"/>
      <w:start w:val="1"/>
    </w:lvl>
    <w:lvl w:ilvl="1">
      <w:lvlJc w:val="left"/>
      <w:lvlText w:val="(%2)"/>
      <w:numFmt w:val="lowerRoman"/>
      <w:start w:val="1"/>
    </w:lvl>
  </w:abstractNum>
  <w:abstractNum w:abstractNumId="356">
    <w:nsid w:val="595B37F3"/>
    <w:multiLevelType w:val="hybridMultilevel"/>
    <w:lvl w:ilvl="0">
      <w:lvlJc w:val="left"/>
      <w:lvlText w:val="(%1)"/>
      <w:numFmt w:val="lowerLetter"/>
      <w:start w:val="2"/>
    </w:lvl>
    <w:lvl w:ilvl="1">
      <w:lvlJc w:val="left"/>
      <w:lvlText w:val="%2"/>
      <w:numFmt w:val="lowerRoman"/>
      <w:start w:val="1"/>
    </w:lvl>
  </w:abstractNum>
  <w:abstractNum w:abstractNumId="357">
    <w:nsid w:val="71DB7E02"/>
    <w:multiLevelType w:val="hybridMultilevel"/>
    <w:lvl w:ilvl="0">
      <w:lvlJc w:val="left"/>
      <w:lvlText w:val="(%1)"/>
      <w:numFmt w:val="lowerLetter"/>
      <w:start w:val="1"/>
    </w:lvl>
  </w:abstractNum>
  <w:abstractNum w:abstractNumId="358">
    <w:nsid w:val="17EC0C4"/>
    <w:multiLevelType w:val="hybridMultilevel"/>
    <w:lvl w:ilvl="0">
      <w:lvlJc w:val="left"/>
      <w:lvlText w:val="%1."/>
      <w:numFmt w:val="decimal"/>
      <w:start w:val="3"/>
    </w:lvl>
  </w:abstractNum>
  <w:abstractNum w:abstractNumId="359">
    <w:nsid w:val="7173BB22"/>
    <w:multiLevelType w:val="hybridMultilevel"/>
    <w:lvl w:ilvl="0">
      <w:lvlJc w:val="left"/>
      <w:lvlText w:val="(%1)"/>
      <w:numFmt w:val="lowerLetter"/>
      <w:start w:val="1"/>
    </w:lvl>
  </w:abstractNum>
  <w:abstractNum w:abstractNumId="360">
    <w:nsid w:val="169E1DD3"/>
    <w:multiLevelType w:val="hybridMultilevel"/>
    <w:lvl w:ilvl="0">
      <w:lvlJc w:val="left"/>
      <w:lvlText w:val="(%1)"/>
      <w:numFmt w:val="lowerLetter"/>
      <w:start w:val="1"/>
    </w:lvl>
    <w:lvl w:ilvl="1">
      <w:lvlJc w:val="left"/>
      <w:lvlText w:val="(%2)"/>
      <w:numFmt w:val="lowerRoman"/>
      <w:start w:val="1"/>
    </w:lvl>
  </w:abstractNum>
  <w:abstractNum w:abstractNumId="361">
    <w:nsid w:val="51D141CC"/>
    <w:multiLevelType w:val="hybridMultilevel"/>
    <w:lvl w:ilvl="0">
      <w:lvlJc w:val="left"/>
      <w:lvlText w:val="(%1)"/>
      <w:numFmt w:val="lowerLetter"/>
      <w:start w:val="1"/>
    </w:lvl>
  </w:abstractNum>
  <w:abstractNum w:abstractNumId="362">
    <w:nsid w:val="12F9357A"/>
    <w:multiLevelType w:val="hybridMultilevel"/>
    <w:lvl w:ilvl="0">
      <w:lvlJc w:val="left"/>
      <w:lvlText w:val="(%1)"/>
      <w:numFmt w:val="lowerLetter"/>
      <w:start w:val="1"/>
    </w:lvl>
  </w:abstractNum>
  <w:abstractNum w:abstractNumId="363">
    <w:nsid w:val="7672CF28"/>
    <w:multiLevelType w:val="hybridMultilevel"/>
    <w:lvl w:ilvl="0">
      <w:lvlJc w:val="left"/>
      <w:lvlText w:val="(%1)"/>
      <w:numFmt w:val="lowerLetter"/>
      <w:start w:val="2"/>
    </w:lvl>
  </w:abstractNum>
  <w:abstractNum w:abstractNumId="364">
    <w:nsid w:val="567D2763"/>
    <w:multiLevelType w:val="hybridMultilevel"/>
    <w:lvl w:ilvl="0">
      <w:lvlJc w:val="left"/>
      <w:lvlText w:val="%1."/>
      <w:numFmt w:val="decimal"/>
      <w:start w:val="4"/>
    </w:lvl>
    <w:lvl w:ilvl="1">
      <w:lvlJc w:val="left"/>
      <w:lvlText w:val="(%2)"/>
      <w:numFmt w:val="lowerLetter"/>
      <w:start w:val="1"/>
    </w:lvl>
  </w:abstractNum>
  <w:abstractNum w:abstractNumId="365">
    <w:nsid w:val="6F5DE2EF"/>
    <w:multiLevelType w:val="hybridMultilevel"/>
    <w:lvl w:ilvl="0">
      <w:lvlJc w:val="left"/>
      <w:lvlText w:val="(%1)"/>
      <w:numFmt w:val="lowerLetter"/>
      <w:start w:val="1"/>
    </w:lvl>
    <w:lvl w:ilvl="1">
      <w:lvlJc w:val="left"/>
      <w:lvlText w:val="(%2)"/>
      <w:numFmt w:val="lowerRoman"/>
      <w:start w:val="1"/>
    </w:lvl>
  </w:abstractNum>
  <w:abstractNum w:abstractNumId="366">
    <w:nsid w:val="23502A6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367">
    <w:nsid w:val="461BC834"/>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368">
    <w:nsid w:val="13DDA79D"/>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369">
    <w:nsid w:val="6A104566"/>
    <w:multiLevelType w:val="hybridMultilevel"/>
    <w:lvl w:ilvl="0">
      <w:lvlJc w:val="left"/>
      <w:lvlText w:val="(%1)"/>
      <w:numFmt w:val="lowerLetter"/>
      <w:start w:val="1"/>
    </w:lvl>
  </w:abstractNum>
  <w:abstractNum w:abstractNumId="370">
    <w:nsid w:val="1C8A8ACF"/>
    <w:multiLevelType w:val="hybridMultilevel"/>
    <w:lvl w:ilvl="0">
      <w:lvlJc w:val="left"/>
      <w:lvlText w:val="%1."/>
      <w:numFmt w:val="decimal"/>
      <w:start w:val="6"/>
    </w:lvl>
  </w:abstractNum>
  <w:abstractNum w:abstractNumId="371">
    <w:nsid w:val="E73DFE0"/>
    <w:multiLevelType w:val="hybridMultilevel"/>
    <w:lvl w:ilvl="0">
      <w:lvlJc w:val="left"/>
      <w:lvlText w:val="(%1)"/>
      <w:numFmt w:val="lowerLetter"/>
      <w:start w:val="1"/>
    </w:lvl>
  </w:abstractNum>
  <w:abstractNum w:abstractNumId="372">
    <w:nsid w:val="39F174C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73">
    <w:nsid w:val="6E2E2D53"/>
    <w:multiLevelType w:val="hybridMultilevel"/>
    <w:lvl w:ilvl="0">
      <w:lvlJc w:val="left"/>
      <w:lvlText w:val="(%1)"/>
      <w:numFmt w:val="lowerLetter"/>
      <w:start w:val="1"/>
    </w:lvl>
  </w:abstractNum>
  <w:abstractNum w:abstractNumId="374">
    <w:nsid w:val="45DC439D"/>
    <w:multiLevelType w:val="hybridMultilevel"/>
    <w:lvl w:ilvl="0">
      <w:lvlJc w:val="left"/>
      <w:lvlText w:val="(%1)"/>
      <w:numFmt w:val="lowerLetter"/>
      <w:start w:val="1"/>
    </w:lvl>
    <w:lvl w:ilvl="1">
      <w:lvlJc w:val="left"/>
      <w:lvlText w:val="(%2)"/>
      <w:numFmt w:val="lowerLetter"/>
      <w:start w:val="35"/>
    </w:lvl>
  </w:abstractNum>
  <w:abstractNum w:abstractNumId="375">
    <w:nsid w:val="3B0A3B87"/>
    <w:multiLevelType w:val="hybridMultilevel"/>
    <w:lvl w:ilvl="0">
      <w:lvlJc w:val="left"/>
      <w:lvlText w:val="(%1)"/>
      <w:numFmt w:val="lowerLetter"/>
      <w:start w:val="1"/>
    </w:lvl>
  </w:abstractNum>
  <w:abstractNum w:abstractNumId="376">
    <w:nsid w:val="6DAC7768"/>
    <w:multiLevelType w:val="hybridMultilevel"/>
    <w:lvl w:ilvl="0">
      <w:lvlJc w:val="left"/>
      <w:lvlText w:val="(%1)"/>
      <w:numFmt w:val="lowerLetter"/>
      <w:start w:val="1"/>
    </w:lvl>
    <w:lvl w:ilvl="1">
      <w:lvlJc w:val="left"/>
      <w:lvlText w:val="(%2)"/>
      <w:numFmt w:val="lowerRoman"/>
      <w:start w:val="1"/>
    </w:lvl>
  </w:abstractNum>
  <w:abstractNum w:abstractNumId="377">
    <w:nsid w:val="746AE2E4"/>
    <w:multiLevelType w:val="hybridMultilevel"/>
    <w:lvl w:ilvl="0">
      <w:lvlJc w:val="left"/>
      <w:lvlText w:val="(%1)"/>
      <w:numFmt w:val="lowerLetter"/>
      <w:start w:val="1"/>
    </w:lvl>
  </w:abstractNum>
  <w:abstractNum w:abstractNumId="378">
    <w:nsid w:val="317E611D"/>
    <w:multiLevelType w:val="hybridMultilevel"/>
    <w:lvl w:ilvl="0">
      <w:lvlJc w:val="left"/>
      <w:lvlText w:val="%1."/>
      <w:numFmt w:val="decimal"/>
      <w:start w:val="8"/>
    </w:lvl>
    <w:lvl w:ilvl="1">
      <w:lvlJc w:val="left"/>
      <w:lvlText w:val="(%2)"/>
      <w:numFmt w:val="lowerLetter"/>
      <w:start w:val="1"/>
    </w:lvl>
  </w:abstractNum>
  <w:abstractNum w:abstractNumId="379">
    <w:nsid w:val="7A61D75B"/>
    <w:multiLevelType w:val="hybridMultilevel"/>
    <w:lvl w:ilvl="0">
      <w:lvlJc w:val="left"/>
      <w:lvlText w:val="(%1)"/>
      <w:numFmt w:val="lowerLetter"/>
      <w:start w:val="3"/>
    </w:lvl>
  </w:abstractNum>
  <w:abstractNum w:abstractNumId="380">
    <w:nsid w:val="164A1482"/>
    <w:multiLevelType w:val="hybridMultilevel"/>
    <w:lvl w:ilvl="0">
      <w:lvlJc w:val="left"/>
      <w:lvlText w:val="%1."/>
      <w:numFmt w:val="decimal"/>
      <w:start w:val="9"/>
    </w:lvl>
    <w:lvl w:ilvl="1">
      <w:lvlJc w:val="left"/>
      <w:lvlText w:val="(%2)"/>
      <w:numFmt w:val="lowerLetter"/>
      <w:start w:val="1"/>
    </w:lvl>
  </w:abstractNum>
  <w:abstractNum w:abstractNumId="381">
    <w:nsid w:val="1806546B"/>
    <w:multiLevelType w:val="hybridMultilevel"/>
    <w:lvl w:ilvl="0">
      <w:lvlJc w:val="left"/>
      <w:lvlText w:val="(%1)"/>
      <w:numFmt w:val="lowerLetter"/>
      <w:start w:val="1"/>
    </w:lvl>
  </w:abstractNum>
  <w:abstractNum w:abstractNumId="382">
    <w:nsid w:val="1FA33267"/>
    <w:multiLevelType w:val="hybridMultilevel"/>
    <w:lvl w:ilvl="0">
      <w:lvlJc w:val="left"/>
      <w:lvlText w:val="%1"/>
      <w:numFmt w:val="decimal"/>
      <w:start w:val="1"/>
    </w:lvl>
    <w:lvl w:ilvl="1">
      <w:lvlJc w:val="left"/>
      <w:lvlText w:val="(%2)"/>
      <w:numFmt w:val="lowerLetter"/>
      <w:start w:val="2"/>
    </w:lvl>
  </w:abstractNum>
  <w:abstractNum w:abstractNumId="383">
    <w:nsid w:val="2E19DD00"/>
    <w:multiLevelType w:val="hybridMultilevel"/>
    <w:lvl w:ilvl="0">
      <w:lvlJc w:val="left"/>
      <w:lvlText w:val="%1."/>
      <w:numFmt w:val="decimal"/>
      <w:start w:val="10"/>
    </w:lvl>
    <w:lvl w:ilvl="1">
      <w:lvlJc w:val="left"/>
      <w:lvlText w:val="%2"/>
      <w:numFmt w:val="lowerLetter"/>
      <w:start w:val="1"/>
    </w:lvl>
  </w:abstractNum>
  <w:abstractNum w:abstractNumId="384">
    <w:nsid w:val="756D30D0"/>
    <w:multiLevelType w:val="hybridMultilevel"/>
    <w:lvl w:ilvl="0">
      <w:lvlJc w:val="left"/>
      <w:lvlText w:val="(%1)"/>
      <w:numFmt w:val="lowerLetter"/>
      <w:start w:val="1"/>
    </w:lvl>
  </w:abstractNum>
  <w:abstractNum w:abstractNumId="385">
    <w:nsid w:val="505E5E01"/>
    <w:multiLevelType w:val="hybridMultilevel"/>
    <w:lvl w:ilvl="0">
      <w:lvlJc w:val="left"/>
      <w:lvlText w:val="(%1)"/>
      <w:numFmt w:val="lowerLetter"/>
      <w:start w:val="1"/>
    </w:lvl>
  </w:abstractNum>
  <w:abstractNum w:abstractNumId="386">
    <w:nsid w:val="2EFDBCE6"/>
    <w:multiLevelType w:val="hybridMultilevel"/>
    <w:lvl w:ilvl="0">
      <w:lvlJc w:val="left"/>
      <w:lvlText w:val="(%1)"/>
      <w:numFmt w:val="lowerLetter"/>
      <w:start w:val="2"/>
    </w:lvl>
  </w:abstractNum>
  <w:abstractNum w:abstractNumId="387">
    <w:nsid w:val="4EC868C4"/>
    <w:multiLevelType w:val="hybridMultilevel"/>
    <w:lvl w:ilvl="0">
      <w:lvlJc w:val="left"/>
      <w:lvlText w:val="(%1)"/>
      <w:numFmt w:val="lowerLetter"/>
      <w:start w:val="1"/>
    </w:lvl>
  </w:abstractNum>
  <w:abstractNum w:abstractNumId="388">
    <w:nsid w:val="4239DC03"/>
    <w:multiLevelType w:val="hybridMultilevel"/>
    <w:lvl w:ilvl="0">
      <w:lvlJc w:val="left"/>
      <w:lvlText w:val="%1."/>
      <w:numFmt w:val="decimal"/>
      <w:start w:val="11"/>
    </w:lvl>
  </w:abstractNum>
  <w:abstractNum w:abstractNumId="389">
    <w:nsid w:val="307C7DAA"/>
    <w:multiLevelType w:val="hybridMultilevel"/>
    <w:lvl w:ilvl="0">
      <w:lvlJc w:val="left"/>
      <w:lvlText w:val="%1."/>
      <w:numFmt w:val="decimal"/>
      <w:start w:val="12"/>
    </w:lvl>
    <w:lvl w:ilvl="1">
      <w:lvlJc w:val="left"/>
      <w:lvlText w:val="(%2)"/>
      <w:numFmt w:val="lowerLetter"/>
      <w:start w:val="1"/>
    </w:lvl>
  </w:abstractNum>
  <w:abstractNum w:abstractNumId="390">
    <w:nsid w:val="403C23E6"/>
    <w:multiLevelType w:val="hybridMultilevel"/>
    <w:lvl w:ilvl="0">
      <w:lvlJc w:val="left"/>
      <w:lvlText w:val="(%1)"/>
      <w:numFmt w:val="lowerLetter"/>
      <w:start w:val="1"/>
    </w:lvl>
  </w:abstractNum>
  <w:abstractNum w:abstractNumId="391">
    <w:nsid w:val="58D7F9D7"/>
    <w:multiLevelType w:val="hybridMultilevel"/>
    <w:lvl w:ilvl="0">
      <w:lvlJc w:val="left"/>
      <w:lvlText w:val="%1."/>
      <w:numFmt w:val="decimal"/>
      <w:start w:val="13"/>
    </w:lvl>
    <w:lvl w:ilvl="1">
      <w:lvlJc w:val="left"/>
      <w:lvlText w:val="(%2)"/>
      <w:numFmt w:val="lowerLetter"/>
      <w:start w:val="1"/>
    </w:lvl>
  </w:abstractNum>
  <w:abstractNum w:abstractNumId="392">
    <w:nsid w:val="24DBF76"/>
    <w:multiLevelType w:val="hybridMultilevel"/>
    <w:lvl w:ilvl="0">
      <w:lvlJc w:val="left"/>
      <w:lvlText w:val="(%1)"/>
      <w:numFmt w:val="lowerLetter"/>
      <w:start w:val="1"/>
    </w:lvl>
  </w:abstractNum>
  <w:abstractNum w:abstractNumId="393">
    <w:nsid w:val="53355960"/>
    <w:multiLevelType w:val="hybridMultilevel"/>
    <w:lvl w:ilvl="0">
      <w:lvlJc w:val="left"/>
      <w:lvlText w:val="(%1)"/>
      <w:numFmt w:val="lowerLetter"/>
      <w:start w:val="1"/>
    </w:lvl>
    <w:lvl w:ilvl="1">
      <w:lvlJc w:val="left"/>
      <w:lvlText w:val="(%2)"/>
      <w:numFmt w:val="lowerRoman"/>
      <w:start w:val="1"/>
    </w:lvl>
  </w:abstractNum>
  <w:abstractNum w:abstractNumId="394">
    <w:nsid w:val="4F4AC8FF"/>
    <w:multiLevelType w:val="hybridMultilevel"/>
    <w:lvl w:ilvl="0">
      <w:lvlJc w:val="left"/>
      <w:lvlText w:val="(%1)"/>
      <w:numFmt w:val="lowerLetter"/>
      <w:start w:val="1"/>
    </w:lvl>
  </w:abstractNum>
  <w:abstractNum w:abstractNumId="395">
    <w:nsid w:val="58CAE6D9"/>
    <w:multiLevelType w:val="hybridMultilevel"/>
    <w:lvl w:ilvl="0">
      <w:lvlJc w:val="left"/>
      <w:lvlText w:val="(%1)"/>
      <w:numFmt w:val="lowerLetter"/>
      <w:start w:val="2"/>
    </w:lvl>
  </w:abstractNum>
  <w:abstractNum w:abstractNumId="396">
    <w:nsid w:val="42933C4F"/>
    <w:multiLevelType w:val="hybridMultilevel"/>
    <w:lvl w:ilvl="0">
      <w:lvlJc w:val="left"/>
      <w:lvlText w:val="(%1)"/>
      <w:numFmt w:val="lowerLetter"/>
      <w:start w:val="1"/>
    </w:lvl>
  </w:abstractNum>
  <w:abstractNum w:abstractNumId="397">
    <w:nsid w:val="729AF360"/>
    <w:multiLevelType w:val="hybridMultilevel"/>
    <w:lvl w:ilvl="0">
      <w:lvlJc w:val="left"/>
      <w:lvlText w:val="(%1)"/>
      <w:numFmt w:val="lowerLetter"/>
      <w:start w:val="3"/>
    </w:lvl>
  </w:abstractNum>
  <w:abstractNum w:abstractNumId="398">
    <w:nsid w:val="1EE6AF0D"/>
    <w:multiLevelType w:val="hybridMultilevel"/>
    <w:lvl w:ilvl="0">
      <w:lvlJc w:val="left"/>
      <w:lvlText w:val="(%1)"/>
      <w:numFmt w:val="lowerLetter"/>
      <w:start w:val="1"/>
    </w:lvl>
  </w:abstractNum>
  <w:abstractNum w:abstractNumId="399">
    <w:nsid w:val="5670E3ED"/>
    <w:multiLevelType w:val="hybridMultilevel"/>
    <w:lvl w:ilvl="0">
      <w:lvlJc w:val="left"/>
      <w:lvlText w:val="A"/>
      <w:numFmt w:val="bullet"/>
      <w:start w:val="1"/>
    </w:lvl>
  </w:abstractNum>
  <w:abstractNum w:abstractNumId="400">
    <w:nsid w:val="5CAB38C6"/>
    <w:multiLevelType w:val="hybridMultilevel"/>
    <w:lvl w:ilvl="0">
      <w:lvlJc w:val="left"/>
      <w:lvlText w:val="B"/>
      <w:numFmt w:val="bullet"/>
      <w:start w:val="1"/>
    </w:lvl>
  </w:abstractNum>
  <w:abstractNum w:abstractNumId="401">
    <w:nsid w:val="3B7139DD"/>
    <w:multiLevelType w:val="hybridMultilevel"/>
    <w:lvl w:ilvl="0">
      <w:lvlJc w:val="left"/>
      <w:lvlText w:val="C"/>
      <w:numFmt w:val="bullet"/>
      <w:start w:val="1"/>
    </w:lvl>
  </w:abstractNum>
  <w:abstractNum w:abstractNumId="402">
    <w:nsid w:val="64E4C3CD"/>
    <w:multiLevelType w:val="hybridMultilevel"/>
    <w:lvl w:ilvl="0">
      <w:lvlJc w:val="left"/>
      <w:lvlText w:val="1"/>
      <w:numFmt w:val="bullet"/>
      <w:start w:val="1"/>
    </w:lvl>
  </w:abstractNum>
  <w:abstractNum w:abstractNumId="403">
    <w:nsid w:val="169CAD8D"/>
    <w:multiLevelType w:val="hybridMultilevel"/>
    <w:lvl w:ilvl="0">
      <w:lvlJc w:val="left"/>
      <w:lvlText w:val="(%1)"/>
      <w:numFmt w:val="lowerLetter"/>
      <w:start w:val="1"/>
    </w:lvl>
  </w:abstractNum>
  <w:abstractNum w:abstractNumId="404">
    <w:nsid w:val="299F6730"/>
    <w:multiLevelType w:val="hybridMultilevel"/>
    <w:lvl w:ilvl="0">
      <w:lvlJc w:val="left"/>
      <w:lvlText w:val="(%1)"/>
      <w:numFmt w:val="lowerLetter"/>
      <w:start w:val="3"/>
    </w:lvl>
  </w:abstractNum>
  <w:abstractNum w:abstractNumId="405">
    <w:nsid w:val="2AC1076A"/>
    <w:multiLevelType w:val="hybridMultilevel"/>
    <w:lvl w:ilvl="0">
      <w:lvlJc w:val="left"/>
      <w:lvlText w:val="(%1)"/>
      <w:numFmt w:val="lowerLetter"/>
      <w:start w:val="1"/>
    </w:lvl>
  </w:abstractNum>
  <w:abstractNum w:abstractNumId="406">
    <w:nsid w:val="51A6E915"/>
    <w:multiLevelType w:val="hybridMultilevel"/>
    <w:lvl w:ilvl="0">
      <w:lvlJc w:val="left"/>
      <w:lvlText w:val="(%1)"/>
      <w:numFmt w:val="lowerLetter"/>
      <w:start w:val="1"/>
    </w:lvl>
    <w:lvl w:ilvl="1">
      <w:lvlJc w:val="left"/>
      <w:lvlText w:val="(%2)"/>
      <w:numFmt w:val="lowerRoman"/>
      <w:start w:val="1"/>
    </w:lvl>
  </w:abstractNum>
  <w:abstractNum w:abstractNumId="407">
    <w:nsid w:val="174BDE99"/>
    <w:multiLevelType w:val="hybridMultilevel"/>
    <w:lvl w:ilvl="0">
      <w:lvlJc w:val="left"/>
      <w:lvlText w:val="(%1)"/>
      <w:numFmt w:val="lowerRoman"/>
      <w:start w:val="1"/>
    </w:lvl>
  </w:abstractNum>
  <w:abstractNum w:abstractNumId="408">
    <w:nsid w:val="1F2BEA4E"/>
    <w:multiLevelType w:val="hybridMultilevel"/>
    <w:lvl w:ilvl="0">
      <w:lvlJc w:val="left"/>
      <w:lvlText w:val="2"/>
      <w:numFmt w:val="bullet"/>
      <w:start w:val="1"/>
    </w:lvl>
  </w:abstractNum>
  <w:abstractNum w:abstractNumId="409">
    <w:nsid w:val="3254A32"/>
    <w:multiLevelType w:val="hybridMultilevel"/>
    <w:lvl w:ilvl="0">
      <w:lvlJc w:val="left"/>
      <w:lvlText w:val="(%1)"/>
      <w:numFmt w:val="lowerLetter"/>
      <w:start w:val="1"/>
    </w:lvl>
    <w:lvl w:ilvl="1">
      <w:lvlJc w:val="left"/>
      <w:lvlText w:val="(%2)"/>
      <w:numFmt w:val="lowerRoman"/>
      <w:start w:val="1"/>
    </w:lvl>
  </w:abstractNum>
  <w:abstractNum w:abstractNumId="410">
    <w:nsid w:val="11ADB5F4"/>
    <w:multiLevelType w:val="hybridMultilevel"/>
    <w:lvl w:ilvl="0">
      <w:lvlJc w:val="left"/>
      <w:lvlText w:val="(%1)"/>
      <w:numFmt w:val="lowerLetter"/>
      <w:start w:val="1"/>
    </w:lvl>
  </w:abstractNum>
  <w:abstractNum w:abstractNumId="411">
    <w:nsid w:val="3575FED1"/>
    <w:multiLevelType w:val="hybridMultilevel"/>
    <w:lvl w:ilvl="0">
      <w:lvlJc w:val="left"/>
      <w:lvlText w:val="(%1)"/>
      <w:numFmt w:val="lowerLetter"/>
      <w:start w:val="1"/>
    </w:lvl>
  </w:abstractNum>
  <w:abstractNum w:abstractNumId="412">
    <w:nsid w:val="1B2B9E9D"/>
    <w:multiLevelType w:val="hybridMultilevel"/>
    <w:lvl w:ilvl="0">
      <w:lvlJc w:val="left"/>
      <w:lvlText w:val="(%1)"/>
      <w:numFmt w:val="lowerLetter"/>
      <w:start w:val="1"/>
    </w:lvl>
    <w:lvl w:ilvl="1">
      <w:lvlJc w:val="left"/>
      <w:lvlText w:val="(%2)"/>
      <w:numFmt w:val="lowerLetter"/>
      <w:start w:val="9"/>
    </w:lvl>
  </w:abstractNum>
  <w:abstractNum w:abstractNumId="413">
    <w:nsid w:val="3150E85C"/>
    <w:multiLevelType w:val="hybridMultilevel"/>
    <w:lvl w:ilvl="0">
      <w:lvlJc w:val="left"/>
      <w:lvlText w:val="%1"/>
      <w:numFmt w:val="lowerLetter"/>
      <w:start w:val="1"/>
    </w:lvl>
    <w:lvl w:ilvl="1">
      <w:lvlJc w:val="left"/>
      <w:lvlText w:val="(%2)"/>
      <w:numFmt w:val="lowerRoman"/>
      <w:start w:val="2"/>
    </w:lvl>
  </w:abstractNum>
  <w:abstractNum w:abstractNumId="414">
    <w:nsid w:val="638FDBD1"/>
    <w:multiLevelType w:val="hybridMultilevel"/>
    <w:lvl w:ilvl="0">
      <w:lvlJc w:val="left"/>
      <w:lvlText w:val="(%1)"/>
      <w:numFmt w:val="lowerLetter"/>
      <w:start w:val="2"/>
    </w:lvl>
    <w:lvl w:ilvl="1">
      <w:lvlJc w:val="left"/>
      <w:lvlText w:val="%2"/>
      <w:numFmt w:val="lowerRoman"/>
      <w:start w:val="1"/>
    </w:lvl>
  </w:abstractNum>
  <w:abstractNum w:abstractNumId="415">
    <w:nsid w:val="1098CF6E"/>
    <w:multiLevelType w:val="hybridMultilevel"/>
    <w:lvl w:ilvl="0">
      <w:lvlJc w:val="left"/>
      <w:lvlText w:val="(%1)"/>
      <w:numFmt w:val="lowerLetter"/>
      <w:start w:val="1"/>
    </w:lvl>
  </w:abstractNum>
  <w:abstractNum w:abstractNumId="416">
    <w:nsid w:val="1AF465D"/>
    <w:multiLevelType w:val="hybridMultilevel"/>
    <w:lvl w:ilvl="0">
      <w:lvlJc w:val="left"/>
      <w:lvlText w:val="3"/>
      <w:numFmt w:val="bullet"/>
      <w:start w:val="1"/>
    </w:lvl>
  </w:abstractNum>
  <w:abstractNum w:abstractNumId="417">
    <w:nsid w:val="128D98B7"/>
    <w:multiLevelType w:val="hybridMultilevel"/>
    <w:lvl w:ilvl="0">
      <w:lvlJc w:val="left"/>
      <w:lvlText w:val="1"/>
      <w:numFmt w:val="bullet"/>
      <w:start w:val="1"/>
    </w:lvl>
  </w:abstractNum>
  <w:abstractNum w:abstractNumId="418">
    <w:nsid w:val="5F613832"/>
    <w:multiLevelType w:val="hybridMultilevel"/>
    <w:lvl w:ilvl="0">
      <w:lvlJc w:val="left"/>
      <w:lvlText w:val="2"/>
      <w:numFmt w:val="bullet"/>
      <w:start w:val="1"/>
    </w:lvl>
  </w:abstractNum>
  <w:abstractNum w:abstractNumId="419">
    <w:nsid w:val="43E92260"/>
    <w:multiLevelType w:val="hybridMultilevel"/>
    <w:lvl w:ilvl="0">
      <w:lvlJc w:val="left"/>
      <w:lvlText w:val="(%1)"/>
      <w:numFmt w:val="lowerLetter"/>
      <w:start w:val="1"/>
    </w:lvl>
  </w:abstractNum>
  <w:abstractNum w:abstractNumId="420">
    <w:nsid w:val="430A1662"/>
    <w:multiLevelType w:val="hybridMultilevel"/>
    <w:lvl w:ilvl="0">
      <w:lvlJc w:val="left"/>
      <w:lvlText w:val="4"/>
      <w:numFmt w:val="bullet"/>
      <w:start w:val="1"/>
    </w:lvl>
  </w:abstractNum>
  <w:abstractNum w:abstractNumId="421">
    <w:nsid w:val="1F9D5C18"/>
    <w:multiLevelType w:val="hybridMultilevel"/>
    <w:lvl w:ilvl="0">
      <w:lvlJc w:val="left"/>
      <w:lvlText w:val="(%1)"/>
      <w:numFmt w:val="lowerLetter"/>
      <w:start w:val="1"/>
    </w:lvl>
    <w:lvl w:ilvl="1">
      <w:lvlJc w:val="left"/>
      <w:lvlText w:val="(%2)"/>
      <w:numFmt w:val="lowerRoman"/>
      <w:start w:val="1"/>
    </w:lvl>
  </w:abstractNum>
  <w:abstractNum w:abstractNumId="422">
    <w:nsid w:val="1CC11C37"/>
    <w:multiLevelType w:val="hybridMultilevel"/>
    <w:lvl w:ilvl="0">
      <w:lvlJc w:val="left"/>
      <w:lvlText w:val="(%1)"/>
      <w:numFmt w:val="lowerLetter"/>
      <w:start w:val="2"/>
    </w:lvl>
  </w:abstractNum>
  <w:abstractNum w:abstractNumId="423">
    <w:nsid w:val="4557D5D8"/>
    <w:multiLevelType w:val="hybridMultilevel"/>
    <w:lvl w:ilvl="0">
      <w:lvlJc w:val="left"/>
      <w:lvlText w:val="5"/>
      <w:numFmt w:val="bullet"/>
      <w:start w:val="1"/>
    </w:lvl>
  </w:abstractNum>
  <w:abstractNum w:abstractNumId="424">
    <w:nsid w:val="72D2B579"/>
    <w:multiLevelType w:val="hybridMultilevel"/>
    <w:lvl w:ilvl="0">
      <w:lvlJc w:val="left"/>
      <w:lvlText w:val="(%1)"/>
      <w:numFmt w:val="lowerLetter"/>
      <w:start w:val="1"/>
    </w:lvl>
    <w:lvl w:ilvl="1">
      <w:lvlJc w:val="left"/>
      <w:lvlText w:val="(%2)"/>
      <w:numFmt w:val="lowerRoman"/>
      <w:start w:val="1"/>
    </w:lvl>
  </w:abstractNum>
  <w:abstractNum w:abstractNumId="425">
    <w:nsid w:val="6C0BE536"/>
    <w:multiLevelType w:val="hybridMultilevel"/>
    <w:lvl w:ilvl="0">
      <w:lvlJc w:val="left"/>
      <w:lvlText w:val="6"/>
      <w:numFmt w:val="bullet"/>
      <w:start w:val="1"/>
    </w:lvl>
    <w:lvl w:ilvl="1">
      <w:lvlJc w:val="left"/>
      <w:lvlText w:val="(%2)"/>
      <w:numFmt w:val="lowerLetter"/>
      <w:start w:val="1"/>
    </w:lvl>
  </w:abstractNum>
  <w:abstractNum w:abstractNumId="426">
    <w:nsid w:val="1E22BCB2"/>
    <w:multiLevelType w:val="hybridMultilevel"/>
    <w:lvl w:ilvl="0">
      <w:lvlJc w:val="left"/>
      <w:lvlText w:val="7"/>
      <w:numFmt w:val="bullet"/>
      <w:start w:val="1"/>
    </w:lvl>
    <w:lvl w:ilvl="1">
      <w:lvlJc w:val="left"/>
      <w:lvlText w:val="(%2)"/>
      <w:numFmt w:val="lowerLetter"/>
      <w:start w:val="1"/>
    </w:lvl>
  </w:abstractNum>
  <w:abstractNum w:abstractNumId="427">
    <w:nsid w:val="3565F1C8"/>
    <w:multiLevelType w:val="hybridMultilevel"/>
    <w:lvl w:ilvl="0">
      <w:lvlJc w:val="left"/>
      <w:lvlText w:val="8"/>
      <w:numFmt w:val="bullet"/>
      <w:start w:val="1"/>
    </w:lvl>
  </w:abstractNum>
  <w:abstractNum w:abstractNumId="428">
    <w:nsid w:val="5EA6D8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9">
    <w:nsid w:val="3D096BBF"/>
    <w:multiLevelType w:val="hybridMultilevel"/>
    <w:lvl w:ilvl="0">
      <w:lvlJc w:val="left"/>
      <w:lvlText w:val="3"/>
      <w:numFmt w:val="bullet"/>
      <w:start w:val="1"/>
    </w:lvl>
  </w:abstractNum>
  <w:abstractNum w:abstractNumId="430">
    <w:nsid w:val="BD6D5B5"/>
    <w:multiLevelType w:val="hybridMultilevel"/>
    <w:lvl w:ilvl="0">
      <w:lvlJc w:val="left"/>
      <w:lvlText w:val="(%1)"/>
      <w:numFmt w:val="lowerLetter"/>
      <w:start w:val="1"/>
    </w:lvl>
  </w:abstractNum>
  <w:abstractNum w:abstractNumId="431">
    <w:nsid w:val="3B52115C"/>
    <w:multiLevelType w:val="hybridMultilevel"/>
    <w:lvl w:ilvl="0">
      <w:lvlJc w:val="left"/>
      <w:lvlText w:val="(%1)"/>
      <w:numFmt w:val="lowerLetter"/>
      <w:start w:val="1"/>
    </w:lvl>
    <w:lvl w:ilvl="1">
      <w:lvlJc w:val="left"/>
      <w:lvlText w:val="(%2)"/>
      <w:numFmt w:val="lowerRoman"/>
      <w:start w:val="1"/>
    </w:lvl>
  </w:abstractNum>
  <w:abstractNum w:abstractNumId="432">
    <w:nsid w:val="787AA59C"/>
    <w:multiLevelType w:val="hybridMultilevel"/>
    <w:lvl w:ilvl="0">
      <w:lvlJc w:val="left"/>
      <w:lvlText w:val="9"/>
      <w:numFmt w:val="bullet"/>
      <w:start w:val="1"/>
    </w:lvl>
  </w:abstractNum>
  <w:abstractNum w:abstractNumId="433">
    <w:nsid w:val="70BB9983"/>
    <w:multiLevelType w:val="hybridMultilevel"/>
    <w:lvl w:ilvl="0">
      <w:lvlJc w:val="left"/>
      <w:lvlText w:val="(%1)"/>
      <w:numFmt w:val="lowerLetter"/>
      <w:start w:val="1"/>
    </w:lvl>
  </w:abstractNum>
  <w:abstractNum w:abstractNumId="434">
    <w:nsid w:val="51EEBEEA"/>
    <w:multiLevelType w:val="hybridMultilevel"/>
    <w:lvl w:ilvl="0">
      <w:lvlJc w:val="left"/>
      <w:lvlText w:val="(%1)"/>
      <w:numFmt w:val="lowerLetter"/>
      <w:start w:val="1"/>
    </w:lvl>
  </w:abstractNum>
  <w:abstractNum w:abstractNumId="435">
    <w:nsid w:val="221A0CCD"/>
    <w:multiLevelType w:val="hybridMultilevel"/>
    <w:lvl w:ilvl="0">
      <w:lvlJc w:val="left"/>
      <w:lvlText w:val="(%1)"/>
      <w:numFmt w:val="lowerLetter"/>
      <w:start w:val="1"/>
    </w:lvl>
  </w:abstractNum>
  <w:abstractNum w:abstractNumId="436">
    <w:nsid w:val="1B7CA0ED"/>
    <w:multiLevelType w:val="hybridMultilevel"/>
    <w:lvl w:ilvl="0">
      <w:lvlJc w:val="left"/>
      <w:lvlText w:val="A"/>
      <w:numFmt w:val="bullet"/>
      <w:start w:val="1"/>
    </w:lvl>
  </w:abstractNum>
  <w:abstractNum w:abstractNumId="437">
    <w:nsid w:val="2395A7FF"/>
    <w:multiLevelType w:val="hybridMultilevel"/>
    <w:lvl w:ilvl="0">
      <w:lvlJc w:val="left"/>
      <w:lvlText w:val="1"/>
      <w:numFmt w:val="bullet"/>
      <w:start w:val="1"/>
    </w:lvl>
  </w:abstractNum>
  <w:abstractNum w:abstractNumId="438">
    <w:nsid w:val="3965EB66"/>
    <w:multiLevelType w:val="hybridMultilevel"/>
    <w:lvl w:ilvl="0">
      <w:lvlJc w:val="left"/>
      <w:lvlText w:val="2"/>
      <w:numFmt w:val="bullet"/>
      <w:start w:val="1"/>
    </w:lvl>
  </w:abstractNum>
  <w:abstractNum w:abstractNumId="439">
    <w:nsid w:val="3AA88B3C"/>
    <w:multiLevelType w:val="hybridMultilevel"/>
    <w:lvl w:ilvl="0">
      <w:lvlJc w:val="left"/>
      <w:lvlText w:val="3"/>
      <w:numFmt w:val="bullet"/>
      <w:start w:val="1"/>
    </w:lvl>
    <w:lvl w:ilvl="1">
      <w:lvlJc w:val="left"/>
      <w:lvlText w:val="(%2)"/>
      <w:numFmt w:val="lowerLetter"/>
      <w:start w:val="1"/>
    </w:lvl>
  </w:abstractNum>
  <w:abstractNum w:abstractNumId="440">
    <w:nsid w:val="26BAF231"/>
    <w:multiLevelType w:val="hybridMultilevel"/>
    <w:lvl w:ilvl="0">
      <w:lvlJc w:val="left"/>
      <w:lvlText w:val="(%1)"/>
      <w:numFmt w:val="lowerLetter"/>
      <w:start w:val="1"/>
    </w:lvl>
  </w:abstractNum>
  <w:abstractNum w:abstractNumId="441">
    <w:nsid w:val="4B13A15A"/>
    <w:multiLevelType w:val="hybridMultilevel"/>
    <w:lvl w:ilvl="0">
      <w:lvlJc w:val="left"/>
      <w:lvlText w:val="(%1)"/>
      <w:numFmt w:val="lowerLetter"/>
      <w:start w:val="2"/>
    </w:lvl>
  </w:abstractNum>
  <w:abstractNum w:abstractNumId="442">
    <w:nsid w:val="701E8A0D"/>
    <w:multiLevelType w:val="hybridMultilevel"/>
    <w:lvl w:ilvl="0">
      <w:lvlJc w:val="left"/>
      <w:lvlText w:val="(%1)"/>
      <w:numFmt w:val="decimal"/>
      <w:start w:val="1"/>
    </w:lvl>
  </w:abstractNum>
  <w:abstractNum w:abstractNumId="443">
    <w:nsid w:val="41E690CF"/>
    <w:multiLevelType w:val="hybridMultilevel"/>
    <w:lvl w:ilvl="0">
      <w:lvlJc w:val="left"/>
      <w:lvlText w:val="\ldblquote"/>
      <w:numFmt w:val="bullet"/>
      <w:start w:val="1"/>
    </w:lvl>
  </w:abstractNum>
  <w:abstractNum w:abstractNumId="444">
    <w:nsid w:val="7C6489B6"/>
    <w:multiLevelType w:val="hybridMultilevel"/>
    <w:lvl w:ilvl="0">
      <w:lvlJc w:val="left"/>
      <w:lvlText w:val="%1."/>
      <w:numFmt w:val="decimal"/>
      <w:start w:val="2"/>
    </w:lvl>
    <w:lvl w:ilvl="1">
      <w:lvlJc w:val="left"/>
      <w:lvlText w:val="(%2)"/>
      <w:numFmt w:val="lowerLetter"/>
      <w:start w:val="1"/>
    </w:lvl>
  </w:abstractNum>
  <w:abstractNum w:abstractNumId="445">
    <w:nsid w:val="53AE65DE"/>
    <w:multiLevelType w:val="hybridMultilevel"/>
    <w:lvl w:ilvl="0">
      <w:lvlJc w:val="left"/>
      <w:lvlText w:val="(%1)"/>
      <w:numFmt w:val="decimal"/>
      <w:start w:val="1"/>
    </w:lvl>
  </w:abstractNum>
  <w:abstractNum w:abstractNumId="446">
    <w:nsid w:val="527F603D"/>
    <w:multiLevelType w:val="hybridMultilevel"/>
    <w:lvl w:ilvl="0">
      <w:lvlJc w:val="left"/>
      <w:lvlText w:val="(%1)"/>
      <w:numFmt w:val="decimal"/>
      <w:start w:val="1"/>
    </w:lvl>
  </w:abstractNum>
  <w:abstractNum w:abstractNumId="447">
    <w:nsid w:val="7E13D013"/>
    <w:multiLevelType w:val="hybridMultilevel"/>
    <w:lvl w:ilvl="0">
      <w:lvlJc w:val="left"/>
      <w:lvlText w:val="%1"/>
      <w:numFmt w:val="upperLetter"/>
      <w:start w:val="1"/>
    </w:lvl>
    <w:lvl w:ilvl="1">
      <w:lvlJc w:val="left"/>
      <w:lvlText w:val="(%2)"/>
      <w:numFmt w:val="decimal"/>
      <w:start w:val="7"/>
    </w:lvl>
  </w:abstractNum>
  <w:abstractNum w:abstractNumId="448">
    <w:nsid w:val="663BFE95"/>
    <w:multiLevelType w:val="hybridMultilevel"/>
    <w:lvl w:ilvl="0">
      <w:lvlJc w:val="left"/>
      <w:lvlText w:val="(%1)"/>
      <w:numFmt w:val="decimal"/>
      <w:start w:val="1"/>
    </w:lvl>
  </w:abstractNum>
  <w:abstractNum w:abstractNumId="449">
    <w:nsid w:val="31E0986F"/>
    <w:multiLevelType w:val="hybridMultilevel"/>
    <w:lvl w:ilvl="0">
      <w:lvlJc w:val="left"/>
      <w:lvlText w:val="(%1)"/>
      <w:numFmt w:val="decimal"/>
      <w:start w:val="1"/>
    </w:lvl>
  </w:abstractNum>
  <w:abstractNum w:abstractNumId="450">
    <w:nsid w:val="41FCF274"/>
    <w:multiLevelType w:val="hybridMultilevel"/>
    <w:lvl w:ilvl="0">
      <w:lvlJc w:val="left"/>
      <w:lvlText w:val="(%1)"/>
      <w:numFmt w:val="decimal"/>
      <w:start w:val="1"/>
    </w:lvl>
  </w:abstractNum>
  <w:abstractNum w:abstractNumId="451">
    <w:nsid w:val="294614F7"/>
    <w:multiLevelType w:val="hybridMultilevel"/>
    <w:lvl w:ilvl="0">
      <w:lvlJc w:val="left"/>
      <w:lvlText w:val="(%1)"/>
      <w:numFmt w:val="decimal"/>
      <w:start w:val="2"/>
    </w:lvl>
  </w:abstractNum>
  <w:abstractNum w:abstractNumId="452">
    <w:nsid w:val="517DF487"/>
    <w:multiLevelType w:val="hybridMultilevel"/>
    <w:lvl w:ilvl="0">
      <w:lvlJc w:val="left"/>
      <w:lvlText w:val="(%1)"/>
      <w:numFmt w:val="decimal"/>
      <w:start w:val="1"/>
    </w:lvl>
    <w:lvl w:ilvl="1">
      <w:lvlJc w:val="left"/>
      <w:lvlText w:val="(%2)"/>
      <w:numFmt w:val="upperLetter"/>
      <w:start w:val="1"/>
    </w:lvl>
  </w:abstractNum>
  <w:abstractNum w:abstractNumId="453">
    <w:nsid w:val="5EBE0EAB"/>
    <w:multiLevelType w:val="hybridMultilevel"/>
    <w:lvl w:ilvl="0">
      <w:lvlJc w:val="left"/>
      <w:lvlText w:val="(%1)"/>
      <w:numFmt w:val="upperLetter"/>
      <w:start w:val="3"/>
    </w:lvl>
  </w:abstractNum>
  <w:abstractNum w:abstractNumId="454">
    <w:nsid w:val="6E9DEAD0"/>
    <w:multiLevelType w:val="hybridMultilevel"/>
    <w:lvl w:ilvl="0">
      <w:lvlJc w:val="left"/>
      <w:lvlText w:val="(%1)"/>
      <w:numFmt w:val="decimal"/>
      <w:start w:val="1"/>
    </w:lvl>
  </w:abstractNum>
  <w:abstractNum w:abstractNumId="455">
    <w:nsid w:val="4450AA00"/>
    <w:multiLevelType w:val="hybridMultilevel"/>
    <w:lvl w:ilvl="0">
      <w:lvlJc w:val="left"/>
      <w:lvlText w:val="\ldblquote"/>
      <w:numFmt w:val="bullet"/>
      <w:start w:val="1"/>
    </w:lvl>
  </w:abstractNum>
  <w:abstractNum w:abstractNumId="456">
    <w:nsid w:val="4AC9F3E2"/>
    <w:multiLevelType w:val="hybridMultilevel"/>
    <w:lvl w:ilvl="0">
      <w:lvlJc w:val="left"/>
      <w:lvlText w:val="\ldblquote"/>
      <w:numFmt w:val="bullet"/>
      <w:start w:val="1"/>
    </w:lvl>
  </w:abstractNum>
  <w:abstractNum w:abstractNumId="457">
    <w:nsid w:val="CC0A782"/>
    <w:multiLevelType w:val="hybridMultilevel"/>
    <w:lvl w:ilvl="0">
      <w:lvlJc w:val="left"/>
      <w:lvlText w:val="(%1)"/>
      <w:numFmt w:val="decimal"/>
      <w:start w:val="1"/>
    </w:lvl>
  </w:abstractNum>
  <w:abstractNum w:abstractNumId="458">
    <w:nsid w:val="79B69BC9"/>
    <w:multiLevelType w:val="hybridMultilevel"/>
    <w:lvl w:ilvl="0">
      <w:lvlJc w:val="left"/>
      <w:lvlText w:val="(%1)"/>
      <w:numFmt w:val="decimal"/>
      <w:start w:val="4"/>
    </w:lvl>
  </w:abstractNum>
  <w:abstractNum w:abstractNumId="459">
    <w:nsid w:val="2970CC78"/>
    <w:multiLevelType w:val="hybridMultilevel"/>
    <w:lvl w:ilvl="0">
      <w:lvlJc w:val="left"/>
      <w:lvlText w:val="(%1)"/>
      <w:numFmt w:val="decimal"/>
      <w:start w:val="2"/>
    </w:lvl>
  </w:abstractNum>
  <w:abstractNum w:abstractNumId="460">
    <w:nsid w:val="49CA1341"/>
    <w:multiLevelType w:val="hybridMultilevel"/>
    <w:lvl w:ilvl="0">
      <w:lvlJc w:val="left"/>
      <w:lvlText w:val="(%1)"/>
      <w:numFmt w:val="decimal"/>
      <w:start w:val="1"/>
    </w:lvl>
  </w:abstractNum>
  <w:abstractNum w:abstractNumId="461">
    <w:nsid w:val="58D717E"/>
    <w:multiLevelType w:val="hybridMultilevel"/>
    <w:lvl w:ilvl="0">
      <w:lvlJc w:val="left"/>
      <w:lvlText w:val="(%1)"/>
      <w:numFmt w:val="lowerLetter"/>
      <w:start w:val="2"/>
    </w:lvl>
  </w:abstractNum>
  <w:abstractNum w:abstractNumId="462">
    <w:nsid w:val="64C2DDD5"/>
    <w:multiLevelType w:val="hybridMultilevel"/>
    <w:lvl w:ilvl="0">
      <w:lvlJc w:val="left"/>
      <w:lvlText w:val="(%1)"/>
      <w:numFmt w:val="decimal"/>
      <w:start w:val="1"/>
    </w:lvl>
  </w:abstractNum>
  <w:abstractNum w:abstractNumId="463">
    <w:nsid w:val="4244B8DE"/>
    <w:multiLevelType w:val="hybridMultilevel"/>
    <w:lvl w:ilvl="0">
      <w:lvlJc w:val="left"/>
      <w:lvlText w:val="(%1)"/>
      <w:numFmt w:val="decimal"/>
      <w:start w:val="6"/>
    </w:lvl>
  </w:abstractNum>
  <w:abstractNum w:abstractNumId="464">
    <w:nsid w:val="76490B01"/>
    <w:multiLevelType w:val="hybridMultilevel"/>
    <w:lvl w:ilvl="0">
      <w:lvlJc w:val="left"/>
      <w:lvlText w:val="%1"/>
      <w:numFmt w:val="decimal"/>
      <w:start w:val="1"/>
    </w:lvl>
    <w:lvl w:ilvl="1">
      <w:lvlJc w:val="left"/>
      <w:lvlText w:val="(%2)"/>
      <w:numFmt w:val="decimal"/>
      <w:start w:val="1"/>
    </w:lvl>
  </w:abstractNum>
  <w:abstractNum w:abstractNumId="465">
    <w:nsid w:val="36B19CBF"/>
    <w:multiLevelType w:val="hybridMultilevel"/>
    <w:lvl w:ilvl="0">
      <w:lvlJc w:val="left"/>
      <w:lvlText w:val="(%1)"/>
      <w:numFmt w:val="decimal"/>
      <w:start w:val="22"/>
    </w:lvl>
    <w:lvl w:ilvl="1">
      <w:lvlJc w:val="left"/>
      <w:lvlText w:val="(%2)"/>
      <w:numFmt w:val="decimal"/>
      <w:start w:val="4"/>
    </w:lvl>
  </w:abstractNum>
  <w:abstractNum w:abstractNumId="466">
    <w:nsid w:val="645EC5AB"/>
    <w:multiLevelType w:val="hybridMultilevel"/>
    <w:lvl w:ilvl="0">
      <w:lvlJc w:val="left"/>
      <w:lvlText w:val="(%1)"/>
      <w:numFmt w:val="decimal"/>
      <w:start w:val="1"/>
    </w:lvl>
  </w:abstractNum>
  <w:abstractNum w:abstractNumId="467">
    <w:nsid w:val="11C5ABEF"/>
    <w:multiLevelType w:val="hybridMultilevel"/>
    <w:lvl w:ilvl="0">
      <w:lvlJc w:val="left"/>
      <w:lvlText w:val="(%1)"/>
      <w:numFmt w:val="decimal"/>
      <w:start w:val="1"/>
    </w:lvl>
  </w:abstractNum>
  <w:abstractNum w:abstractNumId="468">
    <w:nsid w:val="5A4744BE"/>
    <w:multiLevelType w:val="hybridMultilevel"/>
    <w:lvl w:ilvl="0">
      <w:lvlJc w:val="left"/>
      <w:lvlText w:val="(%1)"/>
      <w:numFmt w:val="decimal"/>
      <w:start w:val="5"/>
    </w:lvl>
  </w:abstractNum>
  <w:abstractNum w:abstractNumId="469">
    <w:nsid w:val="1DC4B111"/>
    <w:multiLevelType w:val="hybridMultilevel"/>
    <w:lvl w:ilvl="0">
      <w:lvlJc w:val="left"/>
      <w:lvlText w:val="(%1)"/>
      <w:numFmt w:val="upperLetter"/>
      <w:start w:val="1"/>
    </w:lvl>
  </w:abstractNum>
  <w:abstractNum w:abstractNumId="470">
    <w:nsid w:val="4C6E372B"/>
    <w:multiLevelType w:val="hybridMultilevel"/>
    <w:lvl w:ilvl="0">
      <w:lvlJc w:val="left"/>
      <w:lvlText w:val="%1"/>
      <w:numFmt w:val="lowerLetter"/>
      <w:start w:val="1"/>
    </w:lvl>
    <w:lvl w:ilvl="1">
      <w:lvlJc w:val="left"/>
      <w:lvlText w:val="(%2)"/>
      <w:numFmt w:val="decimal"/>
      <w:start w:val="1"/>
    </w:lvl>
  </w:abstractNum>
  <w:abstractNum w:abstractNumId="471">
    <w:nsid w:val="10236EF"/>
    <w:multiLevelType w:val="hybridMultilevel"/>
    <w:lvl w:ilvl="0">
      <w:lvlJc w:val="left"/>
      <w:lvlText w:val="(%1)"/>
      <w:numFmt w:val="lowerLetter"/>
      <w:start w:val="2"/>
    </w:lvl>
    <w:lvl w:ilvl="1">
      <w:lvlJc w:val="left"/>
      <w:lvlText w:val="(%2)"/>
      <w:numFmt w:val="decimal"/>
      <w:start w:val="2"/>
    </w:lvl>
  </w:abstractNum>
  <w:abstractNum w:abstractNumId="472">
    <w:nsid w:val="68D8526B"/>
    <w:multiLevelType w:val="hybridMultilevel"/>
    <w:lvl w:ilvl="0">
      <w:lvlJc w:val="left"/>
      <w:lvlText w:val="%1"/>
      <w:numFmt w:val="lowerLetter"/>
      <w:start w:val="1"/>
    </w:lvl>
    <w:lvl w:ilvl="1">
      <w:lvlJc w:val="left"/>
      <w:lvlText w:val="(%2)"/>
      <w:numFmt w:val="decimal"/>
      <w:start w:val="1"/>
    </w:lvl>
  </w:abstractNum>
  <w:abstractNum w:abstractNumId="473">
    <w:nsid w:val="3C8CC138"/>
    <w:multiLevelType w:val="hybridMultilevel"/>
    <w:lvl w:ilvl="0">
      <w:lvlJc w:val="left"/>
      <w:lvlText w:val="(%1)"/>
      <w:numFmt w:val="lowerLetter"/>
      <w:start w:val="3"/>
    </w:lvl>
    <w:lvl w:ilvl="1">
      <w:lvlJc w:val="left"/>
      <w:lvlText w:val="(%2)"/>
      <w:numFmt w:val="decimal"/>
      <w:start w:val="2"/>
    </w:lvl>
  </w:abstractNum>
  <w:abstractNum w:abstractNumId="474">
    <w:nsid w:val="42E8C7BE"/>
    <w:multiLevelType w:val="hybridMultilevel"/>
    <w:lvl w:ilvl="0">
      <w:lvlJc w:val="left"/>
      <w:lvlText w:val="(%1)"/>
      <w:numFmt w:val="decimal"/>
      <w:start w:val="1"/>
    </w:lvl>
    <w:lvl w:ilvl="1">
      <w:lvlJc w:val="left"/>
      <w:lvlText w:val="(%2)"/>
      <w:numFmt w:val="upperLetter"/>
      <w:start w:val="1"/>
    </w:lvl>
  </w:abstractNum>
  <w:abstractNum w:abstractNumId="475">
    <w:nsid w:val="653CDC22"/>
    <w:multiLevelType w:val="hybridMultilevel"/>
    <w:lvl w:ilvl="0">
      <w:lvlJc w:val="left"/>
      <w:lvlText w:val="(%1)"/>
      <w:numFmt w:val="decimal"/>
      <w:start w:val="14"/>
    </w:lvl>
  </w:abstractNum>
  <w:abstractNum w:abstractNumId="476">
    <w:nsid w:val="103B2716"/>
    <w:multiLevelType w:val="hybridMultilevel"/>
    <w:lvl w:ilvl="0">
      <w:lvlJc w:val="left"/>
      <w:lvlText w:val="(%1)"/>
      <w:numFmt w:val="decimal"/>
      <w:start w:val="1"/>
    </w:lvl>
  </w:abstractNum>
  <w:abstractNum w:abstractNumId="477">
    <w:nsid w:val="156827FB"/>
    <w:multiLevelType w:val="hybridMultilevel"/>
    <w:lvl w:ilvl="0">
      <w:lvlJc w:val="left"/>
      <w:lvlText w:val="(%1)"/>
      <w:numFmt w:val="decimal"/>
      <w:start w:val="4"/>
    </w:lvl>
    <w:lvl w:ilvl="1">
      <w:lvlJc w:val="left"/>
      <w:lvlText w:val="(%2)"/>
      <w:numFmt w:val="upperLetter"/>
      <w:start w:val="1"/>
    </w:lvl>
  </w:abstractNum>
  <w:abstractNum w:abstractNumId="478">
    <w:nsid w:val="6350AC35"/>
    <w:multiLevelType w:val="hybridMultilevel"/>
    <w:lvl w:ilvl="0">
      <w:lvlJc w:val="left"/>
      <w:lvlText w:val="%1"/>
      <w:numFmt w:val="lowerRoman"/>
      <w:start w:val="1"/>
    </w:lvl>
    <w:lvl w:ilvl="1">
      <w:lvlJc w:val="left"/>
      <w:lvlText w:val="(%2)"/>
      <w:numFmt w:val="decimal"/>
      <w:start w:val="14"/>
    </w:lvl>
  </w:abstractNum>
  <w:abstractNum w:abstractNumId="479">
    <w:nsid w:val="767725AB"/>
    <w:multiLevelType w:val="hybridMultilevel"/>
    <w:lvl w:ilvl="0">
      <w:lvlJc w:val="left"/>
      <w:lvlText w:val="(%1)"/>
      <w:numFmt w:val="lowerRoman"/>
      <w:start w:val="3"/>
    </w:lvl>
    <w:lvl w:ilvl="1">
      <w:lvlJc w:val="left"/>
      <w:lvlText w:val="(%2)"/>
      <w:numFmt w:val="decimal"/>
      <w:start w:val="15"/>
    </w:lvl>
  </w:abstractNum>
  <w:abstractNum w:abstractNumId="480">
    <w:nsid w:val="4748C06A"/>
    <w:multiLevelType w:val="hybridMultilevel"/>
    <w:lvl w:ilvl="0">
      <w:lvlJc w:val="left"/>
      <w:lvlText w:val="(%1)"/>
      <w:numFmt w:val="decimal"/>
      <w:start w:val="1"/>
    </w:lvl>
  </w:abstractNum>
  <w:abstractNum w:abstractNumId="481">
    <w:nsid w:val="254D9EA9"/>
    <w:multiLevelType w:val="hybridMultilevel"/>
    <w:lvl w:ilvl="0">
      <w:lvlJc w:val="left"/>
      <w:lvlText w:val="(%1)"/>
      <w:numFmt w:val="decimal"/>
      <w:start w:val="1"/>
    </w:lvl>
  </w:abstractNum>
  <w:abstractNum w:abstractNumId="482">
    <w:nsid w:val="1FBD3AA3"/>
    <w:multiLevelType w:val="hybridMultilevel"/>
    <w:lvl w:ilvl="0">
      <w:lvlJc w:val="left"/>
      <w:lvlText w:val="(%1)"/>
      <w:numFmt w:val="decimal"/>
      <w:start w:val="1"/>
    </w:lvl>
  </w:abstractNum>
  <w:abstractNum w:abstractNumId="483">
    <w:nsid w:val="18C6B4F2"/>
    <w:multiLevelType w:val="hybridMultilevel"/>
    <w:lvl w:ilvl="0">
      <w:lvlJc w:val="left"/>
      <w:lvlText w:val="(%1)"/>
      <w:numFmt w:val="decimal"/>
      <w:start w:val="1"/>
    </w:lvl>
  </w:abstractNum>
  <w:abstractNum w:abstractNumId="484">
    <w:nsid w:val="40BAD55"/>
    <w:multiLevelType w:val="hybridMultilevel"/>
    <w:lvl w:ilvl="0">
      <w:lvlJc w:val="left"/>
      <w:lvlText w:val="\ldblquote"/>
      <w:numFmt w:val="bullet"/>
      <w:start w:val="1"/>
    </w:lvl>
  </w:abstractNum>
  <w:abstractNum w:abstractNumId="485">
    <w:nsid w:val="E5B2573"/>
    <w:multiLevelType w:val="hybridMultilevel"/>
    <w:lvl w:ilvl="0">
      <w:lvlJc w:val="left"/>
      <w:lvlText w:val="(%1)"/>
      <w:numFmt w:val="decimal"/>
      <w:start w:val="1"/>
    </w:lvl>
  </w:abstractNum>
  <w:abstractNum w:abstractNumId="486">
    <w:nsid w:val="5D175EF2"/>
    <w:multiLevelType w:val="hybridMultilevel"/>
    <w:lvl w:ilvl="0">
      <w:lvlJc w:val="left"/>
      <w:lvlText w:val="%1"/>
      <w:numFmt w:val="lowerLetter"/>
      <w:start w:val="1"/>
    </w:lvl>
    <w:lvl w:ilvl="1">
      <w:lvlJc w:val="left"/>
      <w:lvlText w:val="(%2)"/>
      <w:numFmt w:val="decimal"/>
      <w:start w:val="2"/>
    </w:lvl>
  </w:abstractNum>
  <w:abstractNum w:abstractNumId="487">
    <w:nsid w:val="4ED5A137"/>
    <w:multiLevelType w:val="hybridMultilevel"/>
    <w:lvl w:ilvl="0">
      <w:lvlJc w:val="left"/>
      <w:lvlText w:val="(%1)"/>
      <w:numFmt w:val="lowerLetter"/>
      <w:start w:val="2"/>
    </w:lvl>
    <w:lvl w:ilvl="1">
      <w:lvlJc w:val="left"/>
      <w:lvlText w:val="%2"/>
      <w:numFmt w:val="decimal"/>
      <w:start w:val="1"/>
    </w:lvl>
  </w:abstractNum>
  <w:abstractNum w:abstractNumId="488">
    <w:nsid w:val="1B1BCCF5"/>
    <w:multiLevelType w:val="hybridMultilevel"/>
    <w:lvl w:ilvl="0">
      <w:lvlJc w:val="left"/>
      <w:lvlText w:val="\ldblquote"/>
      <w:numFmt w:val="bullet"/>
      <w:start w:val="1"/>
    </w:lvl>
    <w:lvl w:ilvl="1">
      <w:lvlJc w:val="left"/>
      <w:lvlText w:val="(%2)"/>
      <w:numFmt w:val="decimal"/>
      <w:start w:val="1"/>
    </w:lvl>
  </w:abstractNum>
  <w:abstractNum w:abstractNumId="489">
    <w:nsid w:val="56CDFABB"/>
    <w:multiLevelType w:val="hybridMultilevel"/>
    <w:lvl w:ilvl="0">
      <w:lvlJc w:val="left"/>
      <w:lvlText w:val="(%1)"/>
      <w:numFmt w:val="decimal"/>
      <w:start w:val="4"/>
    </w:lvl>
  </w:abstractNum>
  <w:abstractNum w:abstractNumId="490">
    <w:nsid w:val="78466DAF"/>
    <w:multiLevelType w:val="hybridMultilevel"/>
    <w:lvl w:ilvl="0">
      <w:lvlJc w:val="left"/>
      <w:lvlText w:val="(%1)"/>
      <w:numFmt w:val="decimal"/>
      <w:start w:val="1"/>
    </w:lvl>
  </w:abstractNum>
  <w:abstractNum w:abstractNumId="491">
    <w:nsid w:val="64E5E036"/>
    <w:multiLevelType w:val="hybridMultilevel"/>
    <w:lvl w:ilvl="0">
      <w:lvlJc w:val="left"/>
      <w:lvlText w:val="(%1)"/>
      <w:numFmt w:val="decimal"/>
      <w:start w:val="1"/>
    </w:lvl>
  </w:abstractNum>
  <w:abstractNum w:abstractNumId="492">
    <w:nsid w:val="5C5B6C3A"/>
    <w:multiLevelType w:val="hybridMultilevel"/>
    <w:lvl w:ilvl="0">
      <w:lvlJc w:val="left"/>
      <w:lvlText w:val="(%1)"/>
      <w:numFmt w:val="decimal"/>
      <w:start w:val="1"/>
    </w:lvl>
  </w:abstractNum>
  <w:abstractNum w:abstractNumId="493">
    <w:nsid w:val="5D094B84"/>
    <w:multiLevelType w:val="hybridMultilevel"/>
    <w:lvl w:ilvl="0">
      <w:lvlJc w:val="left"/>
      <w:lvlText w:val="(%1)"/>
      <w:numFmt w:val="lowerLetter"/>
      <w:start w:val="1"/>
    </w:lvl>
  </w:abstractNum>
  <w:abstractNum w:abstractNumId="494">
    <w:nsid w:val="272A9914"/>
    <w:multiLevelType w:val="hybridMultilevel"/>
    <w:lvl w:ilvl="0">
      <w:lvlJc w:val="left"/>
      <w:lvlText w:val="(%1)"/>
      <w:numFmt w:val="lowerLetter"/>
      <w:start w:val="2"/>
    </w:lvl>
  </w:abstractNum>
  <w:abstractNum w:abstractNumId="495">
    <w:nsid w:val="52A4773B"/>
    <w:multiLevelType w:val="hybridMultilevel"/>
    <w:lvl w:ilvl="0">
      <w:lvlJc w:val="left"/>
      <w:lvlText w:val="(%1)"/>
      <w:numFmt w:val="lowerLetter"/>
      <w:start w:val="1"/>
    </w:lvl>
  </w:abstractNum>
  <w:abstractNum w:abstractNumId="496">
    <w:nsid w:val="13BAE843"/>
    <w:multiLevelType w:val="hybridMultilevel"/>
    <w:lvl w:ilvl="0">
      <w:lvlJc w:val="left"/>
      <w:lvlText w:val="(%1)"/>
      <w:numFmt w:val="decimal"/>
      <w:start w:val="1"/>
    </w:lvl>
  </w:abstractNum>
  <w:abstractNum w:abstractNumId="497">
    <w:nsid w:val="B895EBF"/>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Letter"/>
      <w:start w:val="9"/>
    </w:lvl>
  </w:abstractNum>
  <w:abstractNum w:abstractNumId="498">
    <w:nsid w:val="646A232A"/>
    <w:multiLevelType w:val="hybridMultilevel"/>
    <w:lvl w:ilvl="0">
      <w:lvlJc w:val="left"/>
      <w:lvlText w:val="%1"/>
      <w:numFmt w:val="upperLetter"/>
      <w:start w:val="1"/>
    </w:lvl>
    <w:lvl w:ilvl="1">
      <w:lvlJc w:val="left"/>
      <w:lvlText w:val="(%2)"/>
      <w:numFmt w:val="lowerRoman"/>
      <w:start w:val="2"/>
    </w:lvl>
  </w:abstractNum>
  <w:abstractNum w:abstractNumId="499">
    <w:nsid w:val="6E022D01"/>
    <w:multiLevelType w:val="hybridMultilevel"/>
    <w:lvl w:ilvl="0">
      <w:lvlJc w:val="left"/>
      <w:lvlText w:val="(%1)"/>
      <w:numFmt w:val="upperLetter"/>
      <w:start w:val="2"/>
    </w:lvl>
    <w:lvl w:ilvl="1">
      <w:lvlJc w:val="left"/>
      <w:lvlText w:val="(%2)"/>
      <w:numFmt w:val="lowerRoman"/>
      <w:start w:val="1"/>
    </w:lvl>
  </w:abstractNum>
  <w:abstractNum w:abstractNumId="500">
    <w:nsid w:val="294E0FD0"/>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501">
    <w:nsid w:val="30D85A5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02">
    <w:nsid w:val="6F0463F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03">
    <w:nsid w:val="122662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04">
    <w:nsid w:val="6D651B8D"/>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505">
    <w:nsid w:val="31ED2BAF"/>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506">
    <w:nsid w:val="77633E5E"/>
    <w:multiLevelType w:val="hybridMultilevel"/>
    <w:lvl w:ilvl="0">
      <w:lvlJc w:val="left"/>
      <w:lvlText w:val="(%1)"/>
      <w:numFmt w:val="upperLetter"/>
      <w:start w:val="3"/>
    </w:lvl>
  </w:abstractNum>
  <w:abstractNum w:abstractNumId="507">
    <w:nsid w:val="7DA042A3"/>
    <w:multiLevelType w:val="hybridMultilevel"/>
    <w:lvl w:ilvl="0">
      <w:lvlJc w:val="left"/>
      <w:lvlText w:val="(%1)"/>
      <w:numFmt w:val="decimal"/>
      <w:start w:val="2"/>
    </w:lvl>
    <w:lvl w:ilvl="1">
      <w:lvlJc w:val="left"/>
      <w:lvlText w:val="(%2)"/>
      <w:numFmt w:val="lowerRoman"/>
      <w:start w:val="1"/>
    </w:lvl>
  </w:abstractNum>
  <w:abstractNum w:abstractNumId="508">
    <w:nsid w:val="475553AB"/>
    <w:multiLevelType w:val="hybridMultilevel"/>
    <w:lvl w:ilvl="0">
      <w:lvlJc w:val="left"/>
      <w:lvlText w:val="(%1)"/>
      <w:numFmt w:val="decimal"/>
      <w:start w:val="3"/>
    </w:lvl>
  </w:abstractNum>
  <w:abstractNum w:abstractNumId="509">
    <w:nsid w:val="5AB3EA93"/>
    <w:multiLevelType w:val="hybridMultilevel"/>
    <w:lvl w:ilvl="0">
      <w:lvlJc w:val="left"/>
      <w:lvlText w:val="(%1)"/>
      <w:numFmt w:val="decimal"/>
      <w:start w:val="3"/>
    </w:lvl>
  </w:abstractNum>
  <w:abstractNum w:abstractNumId="510">
    <w:nsid w:val="7417684F"/>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11">
    <w:nsid w:val="E9E1415"/>
    <w:multiLevelType w:val="hybridMultilevel"/>
    <w:lvl w:ilvl="0">
      <w:lvlJc w:val="left"/>
      <w:lvlText w:val="(%1)"/>
      <w:numFmt w:val="decimal"/>
      <w:start w:val="3"/>
    </w:lvl>
  </w:abstractNum>
  <w:abstractNum w:abstractNumId="512">
    <w:nsid w:val="1893D"/>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513">
    <w:nsid w:val="13D4A2F2"/>
    <w:multiLevelType w:val="hybridMultilevel"/>
    <w:lvl w:ilvl="0">
      <w:lvlJc w:val="left"/>
      <w:lvlText w:val="(%1)"/>
      <w:numFmt w:val="upperLetter"/>
      <w:start w:val="5"/>
    </w:lvl>
  </w:abstractNum>
  <w:abstractNum w:abstractNumId="514">
    <w:nsid w:val="2764C907"/>
    <w:multiLevelType w:val="hybridMultilevel"/>
    <w:lvl w:ilvl="0">
      <w:lvlJc w:val="left"/>
      <w:lvlText w:val="(%1)"/>
      <w:numFmt w:val="upperLetter"/>
      <w:start w:val="9"/>
    </w:lvl>
  </w:abstractNum>
  <w:abstractNum w:abstractNumId="515">
    <w:nsid w:val="40D3692"/>
    <w:multiLevelType w:val="hybridMultilevel"/>
    <w:lvl w:ilvl="0">
      <w:lvlJc w:val="left"/>
      <w:lvlText w:val="(%1)"/>
      <w:numFmt w:val="upperLetter"/>
      <w:start w:val="2"/>
    </w:lvl>
  </w:abstractNum>
  <w:abstractNum w:abstractNumId="516">
    <w:nsid w:val="222FC865"/>
    <w:multiLevelType w:val="hybridMultilevel"/>
    <w:lvl w:ilvl="0">
      <w:lvlJc w:val="left"/>
      <w:lvlText w:val="(%1)"/>
      <w:numFmt w:val="upperLetter"/>
      <w:start w:val="5"/>
    </w:lvl>
  </w:abstractNum>
  <w:abstractNum w:abstractNumId="517">
    <w:nsid w:val="47C27FA"/>
    <w:multiLevelType w:val="hybridMultilevel"/>
    <w:lvl w:ilvl="0">
      <w:lvlJc w:val="left"/>
      <w:lvlText w:val="(%1)"/>
      <w:numFmt w:val="upperLetter"/>
      <w:start w:val="9"/>
    </w:lvl>
  </w:abstractNum>
  <w:abstractNum w:abstractNumId="518">
    <w:nsid w:val="52E2D7C9"/>
    <w:multiLevelType w:val="hybridMultilevel"/>
    <w:lvl w:ilvl="0">
      <w:lvlJc w:val="left"/>
      <w:lvlText w:val="%1"/>
      <w:numFmt w:val="decimal"/>
      <w:start w:val="1"/>
    </w:lvl>
    <w:lvl w:ilvl="1">
      <w:lvlJc w:val="left"/>
      <w:lvlText w:val="(%2)"/>
      <w:numFmt w:val="upperLetter"/>
      <w:start w:val="3"/>
    </w:lvl>
  </w:abstractNum>
  <w:abstractNum w:abstractNumId="519">
    <w:nsid w:val="3D4B955A"/>
    <w:multiLevelType w:val="hybridMultilevel"/>
    <w:lvl w:ilvl="0">
      <w:lvlJc w:val="left"/>
      <w:lvlText w:val="(%1)"/>
      <w:numFmt w:val="decimal"/>
      <w:start w:val="2"/>
    </w:lvl>
    <w:lvl w:ilvl="1">
      <w:lvlJc w:val="left"/>
      <w:lvlText w:val="%2"/>
      <w:numFmt w:val="upperLetter"/>
      <w:start w:val="1"/>
    </w:lvl>
  </w:abstractNum>
  <w:abstractNum w:abstractNumId="520">
    <w:nsid w:val="5B4A22B5"/>
    <w:multiLevelType w:val="hybridMultilevel"/>
    <w:lvl w:ilvl="0">
      <w:lvlJc w:val="left"/>
      <w:lvlText w:val="(%1)"/>
      <w:numFmt w:val="lowerLetter"/>
      <w:start w:val="7"/>
    </w:lvl>
  </w:abstractNum>
  <w:abstractNum w:abstractNumId="521">
    <w:nsid w:val="4B294578"/>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522">
    <w:nsid w:val="2231759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23">
    <w:nsid w:val="37A58EE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524">
    <w:nsid w:val="283290FD"/>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525">
    <w:nsid w:val="495C0EA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526">
    <w:nsid w:val="A4A062B"/>
    <w:multiLevelType w:val="hybridMultilevel"/>
    <w:lvl w:ilvl="0">
      <w:lvlJc w:val="left"/>
      <w:lvlText w:val="(%1)"/>
      <w:numFmt w:val="lowerLetter"/>
      <w:start w:val="3"/>
    </w:lvl>
  </w:abstractNum>
  <w:abstractNum w:abstractNumId="527">
    <w:nsid w:val="3BED7940"/>
    <w:multiLevelType w:val="hybridMultilevel"/>
    <w:lvl w:ilvl="0">
      <w:lvlJc w:val="left"/>
      <w:lvlText w:val="(%1)"/>
      <w:numFmt w:val="lowerLetter"/>
      <w:start w:val="1"/>
    </w:lvl>
  </w:abstractNum>
  <w:abstractNum w:abstractNumId="528">
    <w:nsid w:val="54E56D64"/>
    <w:multiLevelType w:val="hybridMultilevel"/>
    <w:lvl w:ilvl="0">
      <w:lvlJc w:val="left"/>
      <w:lvlText w:val="(%1)"/>
      <w:numFmt w:val="decimal"/>
      <w:start w:val="1"/>
    </w:lvl>
  </w:abstractNum>
  <w:abstractNum w:abstractNumId="529">
    <w:nsid w:val="6EB42955"/>
    <w:multiLevelType w:val="hybridMultilevel"/>
    <w:lvl w:ilvl="0">
      <w:lvlJc w:val="left"/>
      <w:lvlText w:val="(%1)"/>
      <w:numFmt w:val="decimal"/>
      <w:start w:val="2"/>
    </w:lvl>
  </w:abstractNum>
  <w:abstractNum w:abstractNumId="530">
    <w:nsid w:val="29EFA642"/>
    <w:multiLevelType w:val="hybridMultilevel"/>
    <w:lvl w:ilvl="0">
      <w:lvlJc w:val="left"/>
      <w:lvlText w:val="(%1)"/>
      <w:numFmt w:val="lowerLetter"/>
      <w:start w:val="1"/>
    </w:lvl>
    <w:lvl w:ilvl="1">
      <w:lvlJc w:val="left"/>
      <w:lvlText w:val="(%2)"/>
      <w:numFmt w:val="decimal"/>
      <w:start w:val="1"/>
    </w:lvl>
  </w:abstractNum>
  <w:abstractNum w:abstractNumId="531">
    <w:nsid w:val="7E337D35"/>
    <w:multiLevelType w:val="hybridMultilevel"/>
    <w:lvl w:ilvl="0">
      <w:lvlJc w:val="left"/>
      <w:lvlText w:val="(%1)"/>
      <w:numFmt w:val="lowerLetter"/>
      <w:start w:val="2"/>
    </w:lvl>
  </w:abstractNum>
  <w:abstractNum w:abstractNumId="532">
    <w:nsid w:val="1F8C83AB"/>
    <w:multiLevelType w:val="hybridMultilevel"/>
    <w:lvl w:ilvl="0">
      <w:lvlJc w:val="left"/>
      <w:lvlText w:val="(%1)"/>
      <w:numFmt w:val="lowerLetter"/>
      <w:start w:val="5"/>
    </w:lvl>
  </w:abstractNum>
  <w:abstractNum w:abstractNumId="533">
    <w:nsid w:val="18F40A33"/>
    <w:multiLevelType w:val="hybridMultilevel"/>
    <w:lvl w:ilvl="0">
      <w:lvlJc w:val="left"/>
      <w:lvlText w:val="(%1)"/>
      <w:numFmt w:val="decimal"/>
      <w:start w:val="1"/>
    </w:lvl>
  </w:abstractNum>
  <w:abstractNum w:abstractNumId="534">
    <w:nsid w:val="1059DF71"/>
    <w:multiLevelType w:val="hybridMultilevel"/>
    <w:lvl w:ilvl="0">
      <w:lvlJc w:val="left"/>
      <w:lvlText w:val="(%1)"/>
      <w:numFmt w:val="decimal"/>
      <w:start w:val="4"/>
    </w:lvl>
  </w:abstractNum>
  <w:abstractNum w:abstractNumId="535">
    <w:nsid w:val="CF19F38"/>
    <w:multiLevelType w:val="hybridMultilevel"/>
    <w:lvl w:ilvl="0">
      <w:lvlJc w:val="left"/>
      <w:lvlText w:val="(%1)"/>
      <w:numFmt w:val="decimal"/>
      <w:start w:val="1"/>
    </w:lvl>
  </w:abstractNum>
  <w:abstractNum w:abstractNumId="536">
    <w:nsid w:val="4AE135E2"/>
    <w:multiLevelType w:val="hybridMultilevel"/>
    <w:lvl w:ilvl="0">
      <w:lvlJc w:val="left"/>
      <w:lvlText w:val="(%1)"/>
      <w:numFmt w:val="decimal"/>
      <w:start w:val="1"/>
    </w:lvl>
  </w:abstractNum>
  <w:abstractNum w:abstractNumId="537">
    <w:nsid w:val="7BD1DCF"/>
    <w:multiLevelType w:val="hybridMultilevel"/>
    <w:lvl w:ilvl="0">
      <w:lvlJc w:val="left"/>
      <w:lvlText w:val="(%1)"/>
      <w:numFmt w:val="decimal"/>
      <w:start w:val="1"/>
    </w:lvl>
  </w:abstractNum>
  <w:abstractNum w:abstractNumId="538">
    <w:nsid w:val="A91E1DC"/>
    <w:multiLevelType w:val="hybridMultilevel"/>
    <w:lvl w:ilvl="0">
      <w:lvlJc w:val="left"/>
      <w:lvlText w:val="(%1)"/>
      <w:numFmt w:val="upperLetter"/>
      <w:start w:val="1"/>
    </w:lvl>
    <w:lvl w:ilvl="1">
      <w:lvlJc w:val="left"/>
      <w:lvlText w:val="(%2)"/>
      <w:numFmt w:val="decimal"/>
      <w:start w:val="1"/>
    </w:lvl>
  </w:abstractNum>
  <w:abstractNum w:abstractNumId="539">
    <w:nsid w:val="1236898D"/>
    <w:multiLevelType w:val="hybridMultilevel"/>
    <w:lvl w:ilvl="0">
      <w:lvlJc w:val="left"/>
      <w:lvlText w:val="(%1)"/>
      <w:numFmt w:val="lowerLetter"/>
      <w:start w:val="1"/>
    </w:lvl>
    <w:lvl w:ilvl="1">
      <w:lvlJc w:val="left"/>
      <w:lvlText w:val="(%2)"/>
      <w:numFmt w:val="decimal"/>
      <w:start w:val="1"/>
    </w:lvl>
  </w:abstractNum>
  <w:abstractNum w:abstractNumId="540">
    <w:nsid w:val="62710862"/>
    <w:multiLevelType w:val="hybridMultilevel"/>
    <w:lvl w:ilvl="0">
      <w:lvlJc w:val="left"/>
      <w:lvlText w:val="%1"/>
      <w:numFmt w:val="lowerLetter"/>
      <w:start w:val="1"/>
    </w:lvl>
    <w:lvl w:ilvl="1">
      <w:lvlJc w:val="left"/>
      <w:lvlText w:val="(%2)"/>
      <w:numFmt w:val="decimal"/>
      <w:start w:val="2"/>
    </w:lvl>
  </w:abstractNum>
  <w:abstractNum w:abstractNumId="541">
    <w:nsid w:val="7EA94A2B"/>
    <w:multiLevelType w:val="hybridMultilevel"/>
    <w:lvl w:ilvl="0">
      <w:lvlJc w:val="left"/>
      <w:lvlText w:val="(%1)"/>
      <w:numFmt w:val="lowerLetter"/>
      <w:start w:val="1"/>
    </w:lvl>
    <w:lvl w:ilvl="1">
      <w:lvlJc w:val="left"/>
      <w:lvlText w:val="(%2)"/>
      <w:numFmt w:val="decimal"/>
      <w:start w:val="3"/>
    </w:lvl>
  </w:abstractNum>
  <w:abstractNum w:abstractNumId="542">
    <w:nsid w:val="20D49DA3"/>
    <w:multiLevelType w:val="hybridMultilevel"/>
    <w:lvl w:ilvl="0">
      <w:lvlJc w:val="left"/>
      <w:lvlText w:val="(%1)"/>
      <w:numFmt w:val="lowerLetter"/>
      <w:start w:val="1"/>
    </w:lvl>
  </w:abstractNum>
  <w:abstractNum w:abstractNumId="543">
    <w:nsid w:val="6272919F"/>
    <w:multiLevelType w:val="hybridMultilevel"/>
    <w:lvl w:ilvl="0">
      <w:lvlJc w:val="left"/>
      <w:lvlText w:val="(%1)"/>
      <w:numFmt w:val="lowerLetter"/>
      <w:start w:val="4"/>
    </w:lvl>
  </w:abstractNum>
  <w:abstractNum w:abstractNumId="544">
    <w:nsid w:val="127DED1D"/>
    <w:multiLevelType w:val="hybridMultilevel"/>
    <w:lvl w:ilvl="0">
      <w:lvlJc w:val="left"/>
      <w:lvlText w:val="%1"/>
      <w:numFmt w:val="decimal"/>
      <w:start w:val="1"/>
    </w:lvl>
    <w:lvl w:ilvl="1">
      <w:lvlJc w:val="left"/>
      <w:lvlText w:val="(%2)"/>
      <w:numFmt w:val="lowerLetter"/>
      <w:start w:val="1"/>
    </w:lvl>
  </w:abstractNum>
  <w:abstractNum w:abstractNumId="545">
    <w:nsid w:val="483966AA"/>
    <w:multiLevelType w:val="hybridMultilevel"/>
    <w:lvl w:ilvl="0">
      <w:lvlJc w:val="left"/>
      <w:lvlText w:val="(%1)"/>
      <w:numFmt w:val="decimal"/>
      <w:start w:val="5"/>
    </w:lvl>
    <w:lvl w:ilvl="1">
      <w:lvlJc w:val="left"/>
      <w:lvlText w:val="%2"/>
      <w:numFmt w:val="lowerLetter"/>
      <w:start w:val="1"/>
    </w:lvl>
  </w:abstractNum>
  <w:abstractNum w:abstractNumId="546">
    <w:nsid w:val="667FC831"/>
    <w:multiLevelType w:val="hybridMultilevel"/>
    <w:lvl w:ilvl="0">
      <w:lvlJc w:val="left"/>
      <w:lvlText w:val="(%1)"/>
      <w:numFmt w:val="lowerLetter"/>
      <w:start w:val="1"/>
    </w:lvl>
    <w:lvl w:ilvl="1">
      <w:lvlJc w:val="left"/>
      <w:lvlText w:val="(%2)"/>
      <w:numFmt w:val="decimal"/>
      <w:start w:val="1"/>
    </w:lvl>
  </w:abstractNum>
  <w:abstractNum w:abstractNumId="547">
    <w:nsid w:val="34ADB582"/>
    <w:multiLevelType w:val="hybridMultilevel"/>
    <w:lvl w:ilvl="0">
      <w:lvlJc w:val="left"/>
      <w:lvlText w:val="(%1)"/>
      <w:numFmt w:val="upperLetter"/>
      <w:start w:val="1"/>
    </w:lvl>
    <w:lvl w:ilvl="1">
      <w:lvlJc w:val="left"/>
      <w:lvlText w:val="(%2)"/>
      <w:numFmt w:val="lowerRoman"/>
      <w:start w:val="1"/>
    </w:lvl>
  </w:abstractNum>
  <w:abstractNum w:abstractNumId="548">
    <w:nsid w:val="4CB58EA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49">
    <w:nsid w:val="39629FF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50">
    <w:nsid w:val="71F94ADC"/>
    <w:multiLevelType w:val="hybridMultilevel"/>
    <w:lvl w:ilvl="0">
      <w:lvlJc w:val="left"/>
      <w:lvlText w:val="(%1)"/>
      <w:numFmt w:val="decimal"/>
      <w:start w:val="4"/>
    </w:lvl>
    <w:lvl w:ilvl="1">
      <w:lvlJc w:val="left"/>
      <w:lvlText w:val="(%2)"/>
      <w:numFmt w:val="upperLetter"/>
      <w:start w:val="1"/>
    </w:lvl>
  </w:abstractNum>
  <w:abstractNum w:abstractNumId="551">
    <w:nsid w:val="27FFB15A"/>
    <w:multiLevelType w:val="hybridMultilevel"/>
    <w:lvl w:ilvl="0">
      <w:lvlJc w:val="left"/>
      <w:lvlText w:val="(%1)"/>
      <w:numFmt w:val="decimal"/>
      <w:start w:val="13"/>
    </w:lvl>
  </w:abstractNum>
  <w:abstractNum w:abstractNumId="552">
    <w:nsid w:val="48BE573"/>
    <w:multiLevelType w:val="hybridMultilevel"/>
    <w:lvl w:ilvl="0">
      <w:lvlJc w:val="left"/>
      <w:lvlText w:val="(%1)"/>
      <w:numFmt w:val="lowerLetter"/>
      <w:start w:val="1"/>
    </w:lvl>
    <w:lvl w:ilvl="1">
      <w:lvlJc w:val="left"/>
      <w:lvlText w:val="(%2)"/>
      <w:numFmt w:val="decimal"/>
      <w:start w:val="1"/>
    </w:lvl>
  </w:abstractNum>
  <w:abstractNum w:abstractNumId="553">
    <w:nsid w:val="142AC06C"/>
    <w:multiLevelType w:val="hybridMultilevel"/>
    <w:lvl w:ilvl="0">
      <w:lvlJc w:val="left"/>
      <w:lvlText w:val="%1"/>
      <w:numFmt w:val="lowerLetter"/>
      <w:start w:val="1"/>
    </w:lvl>
    <w:lvl w:ilvl="1">
      <w:lvlJc w:val="left"/>
      <w:lvlText w:val="(%2)"/>
      <w:numFmt w:val="decimal"/>
      <w:start w:val="2"/>
    </w:lvl>
  </w:abstractNum>
  <w:abstractNum w:abstractNumId="554">
    <w:nsid w:val="5FA54049"/>
    <w:multiLevelType w:val="hybridMultilevel"/>
    <w:lvl w:ilvl="0">
      <w:lvlJc w:val="left"/>
      <w:lvlText w:val="(%1)"/>
      <w:numFmt w:val="lowerLetter"/>
      <w:start w:val="2"/>
    </w:lvl>
    <w:lvl w:ilvl="1">
      <w:lvlJc w:val="left"/>
      <w:lvlText w:val="(%2)"/>
      <w:numFmt w:val="decimal"/>
      <w:start w:val="1"/>
    </w:lvl>
  </w:abstractNum>
  <w:abstractNum w:abstractNumId="555">
    <w:nsid w:val="2CBE7670"/>
    <w:multiLevelType w:val="hybridMultilevel"/>
    <w:lvl w:ilvl="0">
      <w:lvlJc w:val="left"/>
      <w:lvlText w:val="(%1)"/>
      <w:numFmt w:val="decimal"/>
      <w:start w:val="9"/>
    </w:lvl>
  </w:abstractNum>
  <w:abstractNum w:abstractNumId="556">
    <w:nsid w:val="5D86CF11"/>
    <w:multiLevelType w:val="hybridMultilevel"/>
    <w:lvl w:ilvl="0">
      <w:lvlJc w:val="left"/>
      <w:lvlText w:val="(%1)"/>
      <w:numFmt w:val="lowerLetter"/>
      <w:start w:val="1"/>
    </w:lvl>
    <w:lvl w:ilvl="1">
      <w:lvlJc w:val="left"/>
      <w:lvlText w:val="(%2)"/>
      <w:numFmt w:val="decimal"/>
      <w:start w:val="1"/>
    </w:lvl>
  </w:abstractNum>
  <w:abstractNum w:abstractNumId="557">
    <w:nsid w:val="69EF4674"/>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558">
    <w:nsid w:val="68ABEFB0"/>
    <w:multiLevelType w:val="hybridMultilevel"/>
    <w:lvl w:ilvl="0">
      <w:lvlJc w:val="left"/>
      <w:lvlText w:val="(%1)"/>
      <w:numFmt w:val="lowerRoman"/>
      <w:start w:val="10"/>
    </w:lvl>
    <w:lvl w:ilvl="1">
      <w:lvlJc w:val="left"/>
      <w:lvlText w:val="(%2)"/>
      <w:numFmt w:val="decimal"/>
      <w:start w:val="5"/>
    </w:lvl>
    <w:lvl w:ilvl="2">
      <w:lvlJc w:val="left"/>
      <w:lvlText w:val="(%3)"/>
      <w:numFmt w:val="upperLetter"/>
      <w:start w:val="1"/>
    </w:lvl>
  </w:abstractNum>
  <w:abstractNum w:abstractNumId="559">
    <w:nsid w:val="326C3C76"/>
    <w:multiLevelType w:val="hybridMultilevel"/>
    <w:lvl w:ilvl="0">
      <w:lvlJc w:val="left"/>
      <w:lvlText w:val="%1"/>
      <w:numFmt w:val="decimal"/>
      <w:start w:val="1"/>
    </w:lvl>
    <w:lvl w:ilvl="1">
      <w:lvlJc w:val="left"/>
      <w:lvlText w:val="(%2)"/>
      <w:numFmt w:val="upperLetter"/>
      <w:start w:val="2"/>
    </w:lvl>
  </w:abstractNum>
  <w:abstractNum w:abstractNumId="560">
    <w:nsid w:val="58A36FCA"/>
    <w:multiLevelType w:val="hybridMultilevel"/>
    <w:lvl w:ilvl="0">
      <w:lvlJc w:val="left"/>
      <w:lvlText w:val="(%1)"/>
      <w:numFmt w:val="decimal"/>
      <w:start w:val="8"/>
    </w:lvl>
    <w:lvl w:ilvl="1">
      <w:lvlJc w:val="left"/>
      <w:lvlText w:val="%2"/>
      <w:numFmt w:val="upperLetter"/>
      <w:start w:val="1"/>
    </w:lvl>
  </w:abstractNum>
  <w:abstractNum w:abstractNumId="561">
    <w:nsid w:val="129B95F2"/>
    <w:multiLevelType w:val="hybridMultilevel"/>
    <w:lvl w:ilvl="0">
      <w:lvlJc w:val="left"/>
      <w:lvlText w:val="%1"/>
      <w:numFmt w:val="decimal"/>
      <w:start w:val="1"/>
    </w:lvl>
    <w:lvl w:ilvl="1">
      <w:lvlJc w:val="left"/>
      <w:lvlText w:val="(%2)"/>
      <w:numFmt w:val="upperLetter"/>
      <w:start w:val="1"/>
    </w:lvl>
  </w:abstractNum>
  <w:abstractNum w:abstractNumId="562">
    <w:nsid w:val="309FB9AB"/>
    <w:multiLevelType w:val="hybridMultilevel"/>
    <w:lvl w:ilvl="0">
      <w:lvlJc w:val="left"/>
      <w:lvlText w:val="(%1)"/>
      <w:numFmt w:val="decimal"/>
      <w:start w:val="9"/>
    </w:lvl>
    <w:lvl w:ilvl="1">
      <w:lvlJc w:val="left"/>
      <w:lvlText w:val="%2"/>
      <w:numFmt w:val="upperLetter"/>
      <w:start w:val="1"/>
    </w:lvl>
  </w:abstractNum>
  <w:abstractNum w:abstractNumId="563">
    <w:nsid w:val="782FF375"/>
    <w:multiLevelType w:val="hybridMultilevel"/>
    <w:lvl w:ilvl="0">
      <w:lvlJc w:val="left"/>
      <w:lvlText w:val="(%1)"/>
      <w:numFmt w:val="decimal"/>
      <w:start w:val="16"/>
    </w:lvl>
  </w:abstractNum>
  <w:abstractNum w:abstractNumId="564">
    <w:nsid w:val="2B8FA025"/>
    <w:multiLevelType w:val="hybridMultilevel"/>
    <w:lvl w:ilvl="0">
      <w:lvlJc w:val="left"/>
      <w:lvlText w:val="(%1)"/>
      <w:numFmt w:val="decimal"/>
      <w:start w:val="1"/>
    </w:lvl>
    <w:lvl w:ilvl="1">
      <w:lvlJc w:val="left"/>
      <w:lvlText w:val="(%2)"/>
      <w:numFmt w:val="upperLetter"/>
      <w:start w:val="1"/>
    </w:lvl>
  </w:abstractNum>
  <w:abstractNum w:abstractNumId="565">
    <w:nsid w:val="40F9991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66">
    <w:nsid w:val="52192AD"/>
    <w:multiLevelType w:val="hybridMultilevel"/>
    <w:lvl w:ilvl="0">
      <w:lvlJc w:val="left"/>
      <w:lvlText w:val="(%1)"/>
      <w:numFmt w:val="decimal"/>
      <w:start w:val="3"/>
    </w:lvl>
  </w:abstractNum>
  <w:abstractNum w:abstractNumId="567">
    <w:nsid w:val="7670D608"/>
    <w:multiLevelType w:val="hybridMultilevel"/>
    <w:lvl w:ilvl="0">
      <w:lvlJc w:val="left"/>
      <w:lvlText w:val="(%1)"/>
      <w:numFmt w:val="lowerLetter"/>
      <w:start w:val="3"/>
    </w:lvl>
  </w:abstractNum>
  <w:abstractNum w:abstractNumId="568">
    <w:nsid w:val="48B6B6E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69">
    <w:nsid w:val="FB37489"/>
    <w:multiLevelType w:val="hybridMultilevel"/>
    <w:lvl w:ilvl="0">
      <w:lvlJc w:val="left"/>
      <w:lvlText w:val="(%1)"/>
      <w:numFmt w:val="decimal"/>
      <w:start w:val="6"/>
    </w:lvl>
  </w:abstractNum>
  <w:abstractNum w:abstractNumId="570">
    <w:nsid w:val="8A75F95"/>
    <w:multiLevelType w:val="hybridMultilevel"/>
    <w:lvl w:ilvl="0">
      <w:lvlJc w:val="left"/>
      <w:lvlText w:val="(%1)"/>
      <w:numFmt w:val="decimal"/>
      <w:start w:val="13"/>
    </w:lvl>
  </w:abstractNum>
  <w:abstractNum w:abstractNumId="571">
    <w:nsid w:val="2B27BF4D"/>
    <w:multiLevelType w:val="hybridMultilevel"/>
    <w:lvl w:ilvl="0">
      <w:lvlJc w:val="left"/>
      <w:lvlText w:val="(%1)"/>
      <w:numFmt w:val="decimal"/>
      <w:start w:val="1"/>
    </w:lvl>
  </w:abstractNum>
  <w:abstractNum w:abstractNumId="572">
    <w:nsid w:val="E5CBEB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73">
    <w:nsid w:val="297BFD38"/>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74">
    <w:nsid w:val="D9A50ED"/>
    <w:multiLevelType w:val="hybridMultilevel"/>
    <w:lvl w:ilvl="0">
      <w:lvlJc w:val="left"/>
      <w:lvlText w:val="(%1)"/>
      <w:numFmt w:val="lowerLetter"/>
      <w:start w:val="3"/>
    </w:lvl>
  </w:abstractNum>
  <w:abstractNum w:abstractNumId="575">
    <w:nsid w:val="20DAABD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76">
    <w:nsid w:val="71B563E3"/>
    <w:multiLevelType w:val="hybridMultilevel"/>
    <w:lvl w:ilvl="0">
      <w:lvlJc w:val="left"/>
      <w:lvlText w:val="(%1)"/>
      <w:numFmt w:val="lowerLetter"/>
      <w:start w:val="1"/>
    </w:lvl>
  </w:abstractNum>
  <w:abstractNum w:abstractNumId="577">
    <w:nsid w:val="741A191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78">
    <w:nsid w:val="55886153"/>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579">
    <w:nsid w:val="3E6AF287"/>
    <w:multiLevelType w:val="hybridMultilevel"/>
    <w:lvl w:ilvl="0">
      <w:lvlJc w:val="left"/>
      <w:lvlText w:val="(%1)"/>
      <w:numFmt w:val="lowerLetter"/>
      <w:start w:val="8"/>
    </w:lvl>
  </w:abstractNum>
  <w:abstractNum w:abstractNumId="580">
    <w:nsid w:val="2D7CB919"/>
    <w:multiLevelType w:val="hybridMultilevel"/>
    <w:lvl w:ilvl="0">
      <w:lvlJc w:val="left"/>
      <w:lvlText w:val="%1"/>
      <w:numFmt w:val="upperLetter"/>
      <w:start w:val="1"/>
    </w:lvl>
    <w:lvl w:ilvl="1">
      <w:lvlJc w:val="left"/>
      <w:lvlText w:val="(%2)"/>
      <w:numFmt w:val="lowerLetter"/>
      <w:start w:val="1"/>
    </w:lvl>
  </w:abstractNum>
  <w:abstractNum w:abstractNumId="581">
    <w:nsid w:val="4781AC2F"/>
    <w:multiLevelType w:val="hybridMultilevel"/>
    <w:lvl w:ilvl="0">
      <w:lvlJc w:val="left"/>
      <w:lvlText w:val="(%1)"/>
      <w:numFmt w:val="upperLetter"/>
      <w:start w:val="3"/>
    </w:lvl>
    <w:lvl w:ilvl="1">
      <w:lvlJc w:val="left"/>
      <w:lvlText w:val="%2"/>
      <w:numFmt w:val="lowerLetter"/>
      <w:start w:val="1"/>
    </w:lvl>
  </w:abstractNum>
  <w:abstractNum w:abstractNumId="582">
    <w:nsid w:val="666AA3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83">
    <w:nsid w:val="32089E8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84">
    <w:nsid w:val="5BAC6C9C"/>
    <w:multiLevelType w:val="hybridMultilevel"/>
    <w:lvl w:ilvl="0">
      <w:lvlJc w:val="left"/>
      <w:lvlText w:val="%1"/>
      <w:numFmt w:val="lowerLetter"/>
      <w:start w:val="1"/>
    </w:lvl>
    <w:lvl w:ilvl="1">
      <w:lvlJc w:val="left"/>
      <w:lvlText w:val="(%2)"/>
      <w:numFmt w:val="decimal"/>
      <w:start w:val="2"/>
    </w:lvl>
  </w:abstractNum>
  <w:abstractNum w:abstractNumId="585">
    <w:nsid w:val="460FE42B"/>
    <w:multiLevelType w:val="hybridMultilevel"/>
    <w:lvl w:ilvl="0">
      <w:lvlJc w:val="left"/>
      <w:lvlText w:val="(%1)"/>
      <w:numFmt w:val="lowerLetter"/>
      <w:start w:val="3"/>
    </w:lvl>
    <w:lvl w:ilvl="1">
      <w:lvlJc w:val="left"/>
      <w:lvlText w:val="(%2)"/>
      <w:numFmt w:val="decimal"/>
      <w:start w:val="1"/>
    </w:lvl>
  </w:abstractNum>
  <w:abstractNum w:abstractNumId="586">
    <w:nsid w:val="5EC714FC"/>
    <w:multiLevelType w:val="hybridMultilevel"/>
    <w:lvl w:ilvl="0">
      <w:lvlJc w:val="left"/>
      <w:lvlText w:val="(%1)"/>
      <w:numFmt w:val="lowerLetter"/>
      <w:start w:val="1"/>
    </w:lvl>
    <w:lvl w:ilvl="1">
      <w:lvlJc w:val="left"/>
      <w:lvlText w:val="(%2)"/>
      <w:numFmt w:val="decimal"/>
      <w:start w:val="1"/>
    </w:lvl>
  </w:abstractNum>
  <w:abstractNum w:abstractNumId="587">
    <w:nsid w:val="39333BAD"/>
    <w:multiLevelType w:val="hybridMultilevel"/>
    <w:lvl w:ilvl="0">
      <w:lvlJc w:val="left"/>
      <w:lvlText w:val="(%1)"/>
      <w:numFmt w:val="decimal"/>
      <w:start w:val="4"/>
    </w:lvl>
  </w:abstractNum>
  <w:abstractNum w:abstractNumId="588">
    <w:nsid w:val="2FFF2A9F"/>
    <w:multiLevelType w:val="hybridMultilevel"/>
    <w:lvl w:ilvl="0">
      <w:lvlJc w:val="left"/>
      <w:lvlText w:val="(%1)"/>
      <w:numFmt w:val="decimal"/>
      <w:start w:val="5"/>
    </w:lvl>
    <w:lvl w:ilvl="1">
      <w:lvlJc w:val="left"/>
      <w:lvlText w:val="(%2)"/>
      <w:numFmt w:val="upperLetter"/>
      <w:start w:val="1"/>
    </w:lvl>
  </w:abstractNum>
  <w:abstractNum w:abstractNumId="589">
    <w:nsid w:val="477304AC"/>
    <w:multiLevelType w:val="hybridMultilevel"/>
    <w:lvl w:ilvl="0">
      <w:lvlJc w:val="left"/>
      <w:lvlText w:val="(%1)"/>
      <w:numFmt w:val="decimal"/>
      <w:start w:val="6"/>
    </w:lvl>
    <w:lvl w:ilvl="1">
      <w:lvlJc w:val="left"/>
      <w:lvlText w:val="(%2)"/>
      <w:numFmt w:val="upperLetter"/>
      <w:start w:val="1"/>
    </w:lvl>
  </w:abstractNum>
  <w:abstractNum w:abstractNumId="590">
    <w:nsid w:val="6B9F7823"/>
    <w:multiLevelType w:val="hybridMultilevel"/>
    <w:lvl w:ilvl="0">
      <w:lvlJc w:val="left"/>
      <w:lvlText w:val="%1"/>
      <w:numFmt w:val="decimal"/>
      <w:start w:val="1"/>
    </w:lvl>
    <w:lvl w:ilvl="1">
      <w:lvlJc w:val="left"/>
      <w:lvlText w:val="(%2)"/>
      <w:numFmt w:val="upperLetter"/>
      <w:start w:val="3"/>
    </w:lvl>
  </w:abstractNum>
  <w:abstractNum w:abstractNumId="591">
    <w:nsid w:val="8A29A69"/>
    <w:multiLevelType w:val="hybridMultilevel"/>
    <w:lvl w:ilvl="0">
      <w:lvlJc w:val="left"/>
      <w:lvlText w:val="(%1)"/>
      <w:numFmt w:val="decimal"/>
      <w:start w:val="9"/>
    </w:lvl>
    <w:lvl w:ilvl="1">
      <w:lvlJc w:val="left"/>
      <w:lvlText w:val="%2"/>
      <w:numFmt w:val="upperLetter"/>
      <w:start w:val="1"/>
    </w:lvl>
  </w:abstractNum>
  <w:abstractNum w:abstractNumId="592">
    <w:nsid w:val="5A0E9A9F"/>
    <w:multiLevelType w:val="hybridMultilevel"/>
    <w:lvl w:ilvl="0">
      <w:lvlJc w:val="left"/>
      <w:lvlText w:val="(%1)"/>
      <w:numFmt w:val="lowerLetter"/>
      <w:start w:val="1"/>
    </w:lvl>
    <w:lvl w:ilvl="1">
      <w:lvlJc w:val="left"/>
      <w:lvlText w:val="(%2)"/>
      <w:numFmt w:val="decimal"/>
      <w:start w:val="1"/>
    </w:lvl>
  </w:abstractNum>
  <w:abstractNum w:abstractNumId="593">
    <w:nsid w:val="1C3F31CE"/>
    <w:multiLevelType w:val="hybridMultilevel"/>
    <w:lvl w:ilvl="0">
      <w:lvlJc w:val="left"/>
      <w:lvlText w:val="(%1)"/>
      <w:numFmt w:val="lowerLetter"/>
      <w:start w:val="1"/>
    </w:lvl>
    <w:lvl w:ilvl="1">
      <w:lvlJc w:val="left"/>
      <w:lvlText w:val="(%2)"/>
      <w:numFmt w:val="decimal"/>
      <w:start w:val="1"/>
    </w:lvl>
  </w:abstractNum>
  <w:abstractNum w:abstractNumId="594">
    <w:nsid w:val="D28DDE"/>
    <w:multiLevelType w:val="hybridMultilevel"/>
    <w:lvl w:ilvl="0">
      <w:lvlJc w:val="left"/>
      <w:lvlText w:val="(%1)"/>
      <w:numFmt w:val="lowerLetter"/>
      <w:start w:val="1"/>
    </w:lvl>
  </w:abstractNum>
  <w:abstractNum w:abstractNumId="595">
    <w:nsid w:val="59E3AC4"/>
    <w:multiLevelType w:val="hybridMultilevel"/>
    <w:lvl w:ilvl="0">
      <w:lvlJc w:val="left"/>
      <w:lvlText w:val="(%1)"/>
      <w:numFmt w:val="lowerLetter"/>
      <w:start w:val="2"/>
    </w:lvl>
  </w:abstractNum>
  <w:abstractNum w:abstractNumId="596">
    <w:nsid w:val="5D38CAEA"/>
    <w:multiLevelType w:val="hybridMultilevel"/>
    <w:lvl w:ilvl="0">
      <w:lvlJc w:val="left"/>
      <w:lvlText w:val="(%1)"/>
      <w:numFmt w:val="lowerLetter"/>
      <w:start w:val="12"/>
    </w:lvl>
  </w:abstractNum>
  <w:abstractNum w:abstractNumId="597">
    <w:nsid w:val="5F4208C"/>
    <w:multiLevelType w:val="hybridMultilevel"/>
    <w:lvl w:ilvl="0">
      <w:lvlJc w:val="left"/>
      <w:lvlText w:val="(%1)"/>
      <w:numFmt w:val="lowerLetter"/>
      <w:start w:val="21"/>
    </w:lvl>
  </w:abstractNum>
  <w:abstractNum w:abstractNumId="598">
    <w:nsid w:val="7C0F10CC"/>
    <w:multiLevelType w:val="hybridMultilevel"/>
    <w:lvl w:ilvl="0">
      <w:lvlJc w:val="left"/>
      <w:lvlText w:val="(%1)"/>
      <w:numFmt w:val="lowerLetter"/>
      <w:start w:val="1"/>
    </w:lvl>
  </w:abstractNum>
  <w:abstractNum w:abstractNumId="599">
    <w:nsid w:val="25EF81D5"/>
    <w:multiLevelType w:val="hybridMultilevel"/>
    <w:lvl w:ilvl="0">
      <w:lvlJc w:val="left"/>
      <w:lvlText w:val="(%1)"/>
      <w:numFmt w:val="lowerLetter"/>
      <w:start w:val="1"/>
    </w:lvl>
  </w:abstractNum>
  <w:abstractNum w:abstractNumId="600">
    <w:nsid w:val="15A79515"/>
    <w:multiLevelType w:val="hybridMultilevel"/>
    <w:lvl w:ilvl="0">
      <w:lvlJc w:val="left"/>
      <w:lvlText w:val="(%1)"/>
      <w:numFmt w:val="lowerLetter"/>
      <w:start w:val="1"/>
    </w:lvl>
    <w:lvl w:ilvl="1">
      <w:lvlJc w:val="left"/>
      <w:lvlText w:val="(%2)"/>
      <w:numFmt w:val="decimal"/>
      <w:start w:val="1"/>
    </w:lvl>
  </w:abstractNum>
  <w:abstractNum w:abstractNumId="601">
    <w:nsid w:val="4B67062"/>
    <w:multiLevelType w:val="hybridMultilevel"/>
    <w:lvl w:ilvl="0">
      <w:lvlJc w:val="left"/>
      <w:lvlText w:val="%1"/>
      <w:numFmt w:val="lowerLetter"/>
      <w:start w:val="1"/>
    </w:lvl>
    <w:lvl w:ilvl="1">
      <w:lvlJc w:val="left"/>
      <w:lvlText w:val="(%2)"/>
      <w:numFmt w:val="decimal"/>
      <w:start w:val="2"/>
    </w:lvl>
  </w:abstractNum>
  <w:abstractNum w:abstractNumId="602">
    <w:nsid w:val="51174123"/>
    <w:multiLevelType w:val="hybridMultilevel"/>
    <w:lvl w:ilvl="0">
      <w:lvlJc w:val="left"/>
      <w:lvlText w:val="(%1)"/>
      <w:numFmt w:val="lowerLetter"/>
      <w:start w:val="3"/>
    </w:lvl>
    <w:lvl w:ilvl="1">
      <w:lvlJc w:val="left"/>
      <w:lvlText w:val="%2"/>
      <w:numFmt w:val="decimal"/>
      <w:start w:val="1"/>
    </w:lvl>
  </w:abstractNum>
  <w:abstractNum w:abstractNumId="603">
    <w:nsid w:val="240453CA"/>
    <w:multiLevelType w:val="hybridMultilevel"/>
    <w:lvl w:ilvl="0">
      <w:lvlJc w:val="left"/>
      <w:lvlText w:val="(%1)"/>
      <w:numFmt w:val="lowerLetter"/>
      <w:start w:val="1"/>
    </w:lvl>
  </w:abstractNum>
  <w:abstractNum w:abstractNumId="604">
    <w:nsid w:val="2E326D9A"/>
    <w:multiLevelType w:val="hybridMultilevel"/>
    <w:lvl w:ilvl="0">
      <w:lvlJc w:val="left"/>
      <w:lvlText w:val="(%1)"/>
      <w:numFmt w:val="lowerLetter"/>
      <w:start w:val="2"/>
    </w:lvl>
    <w:lvl w:ilvl="1">
      <w:lvlJc w:val="left"/>
      <w:lvlText w:val="(%2)"/>
      <w:numFmt w:val="decimal"/>
      <w:start w:val="1"/>
    </w:lvl>
  </w:abstractNum>
  <w:abstractNum w:abstractNumId="605">
    <w:nsid w:val="5EB19210"/>
    <w:multiLevelType w:val="hybridMultilevel"/>
    <w:lvl w:ilvl="0">
      <w:lvlJc w:val="left"/>
      <w:lvlText w:val="(%1)"/>
      <w:numFmt w:val="lowerLetter"/>
      <w:start w:val="4"/>
    </w:lvl>
  </w:abstractNum>
  <w:abstractNum w:abstractNumId="606">
    <w:nsid w:val="44DEFF9B"/>
    <w:multiLevelType w:val="hybridMultilevel"/>
    <w:lvl w:ilvl="0">
      <w:lvlJc w:val="left"/>
      <w:lvlText w:val="(%1)"/>
      <w:numFmt w:val="lowerLetter"/>
      <w:start w:val="1"/>
    </w:lvl>
  </w:abstractNum>
  <w:abstractNum w:abstractNumId="607">
    <w:nsid w:val="1FE7D17D"/>
    <w:multiLevelType w:val="hybridMultilevel"/>
    <w:lvl w:ilvl="0">
      <w:lvlJc w:val="left"/>
      <w:lvlText w:val="(%1)"/>
      <w:numFmt w:val="decimal"/>
      <w:start w:val="1"/>
    </w:lvl>
  </w:abstractNum>
  <w:abstractNum w:abstractNumId="608">
    <w:nsid w:val="52CBAB2E"/>
    <w:multiLevelType w:val="hybridMultilevel"/>
    <w:lvl w:ilvl="0">
      <w:lvlJc w:val="left"/>
      <w:lvlText w:val="(%1)"/>
      <w:numFmt w:val="decimal"/>
      <w:start w:val="2"/>
    </w:lvl>
  </w:abstractNum>
  <w:abstractNum w:abstractNumId="609">
    <w:nsid w:val="1A6760EF"/>
    <w:multiLevelType w:val="hybridMultilevel"/>
    <w:lvl w:ilvl="0">
      <w:lvlJc w:val="left"/>
      <w:lvlText w:val="(%1)"/>
      <w:numFmt w:val="decimal"/>
      <w:start w:val="1"/>
    </w:lvl>
    <w:lvl w:ilvl="1">
      <w:lvlJc w:val="left"/>
      <w:lvlText w:val="(%2)"/>
      <w:numFmt w:val="upperLetter"/>
      <w:start w:val="1"/>
    </w:lvl>
  </w:abstractNum>
  <w:abstractNum w:abstractNumId="610">
    <w:nsid w:val="5E52C405"/>
    <w:multiLevelType w:val="hybridMultilevel"/>
    <w:lvl w:ilvl="0">
      <w:lvlJc w:val="left"/>
      <w:lvlText w:val="(%1)"/>
      <w:numFmt w:val="decimal"/>
      <w:start w:val="3"/>
    </w:lvl>
  </w:abstractNum>
  <w:abstractNum w:abstractNumId="611">
    <w:nsid w:val="486447"/>
    <w:multiLevelType w:val="hybridMultilevel"/>
    <w:lvl w:ilvl="0">
      <w:lvlJc w:val="left"/>
      <w:lvlText w:val="(%1)"/>
      <w:numFmt w:val="decimal"/>
      <w:start w:val="1"/>
    </w:lvl>
  </w:abstractNum>
  <w:abstractNum w:abstractNumId="612">
    <w:nsid w:val="61E90D1E"/>
    <w:multiLevelType w:val="hybridMultilevel"/>
    <w:lvl w:ilvl="0">
      <w:lvlJc w:val="left"/>
      <w:lvlText w:val="(%1)"/>
      <w:numFmt w:val="decimal"/>
      <w:start w:val="4"/>
    </w:lvl>
  </w:abstractNum>
  <w:abstractNum w:abstractNumId="613">
    <w:nsid w:val="44BD67E6"/>
    <w:multiLevelType w:val="hybridMultilevel"/>
    <w:lvl w:ilvl="0">
      <w:lvlJc w:val="left"/>
      <w:lvlText w:val="(%1)"/>
      <w:numFmt w:val="decimal"/>
      <w:start w:val="1"/>
    </w:lvl>
  </w:abstractNum>
  <w:abstractNum w:abstractNumId="614">
    <w:nsid w:val="325102D3"/>
    <w:multiLevelType w:val="hybridMultilevel"/>
    <w:lvl w:ilvl="0">
      <w:lvlJc w:val="left"/>
      <w:lvlText w:val="(%1)"/>
      <w:numFmt w:val="lowerLetter"/>
      <w:start w:val="1"/>
    </w:lvl>
  </w:abstractNum>
  <w:abstractNum w:abstractNumId="615">
    <w:nsid w:val="3D9579BA"/>
    <w:multiLevelType w:val="hybridMultilevel"/>
    <w:lvl w:ilvl="0">
      <w:lvlJc w:val="left"/>
      <w:lvlText w:val="%1"/>
      <w:numFmt w:val="decimal"/>
      <w:start w:val="1"/>
    </w:lvl>
    <w:lvl w:ilvl="1">
      <w:lvlJc w:val="left"/>
      <w:lvlText w:val="(%2)"/>
      <w:numFmt w:val="lowerLetter"/>
      <w:start w:val="3"/>
    </w:lvl>
  </w:abstractNum>
  <w:abstractNum w:abstractNumId="616">
    <w:nsid w:val="ACD4C11"/>
    <w:multiLevelType w:val="hybridMultilevel"/>
    <w:lvl w:ilvl="0">
      <w:lvlJc w:val="left"/>
      <w:lvlText w:val="(%1)"/>
      <w:numFmt w:val="decimal"/>
      <w:start w:val="2"/>
    </w:lvl>
    <w:lvl w:ilvl="1">
      <w:lvlJc w:val="left"/>
      <w:lvlText w:val="%2"/>
      <w:numFmt w:val="lowerLetter"/>
      <w:start w:val="1"/>
    </w:lvl>
  </w:abstractNum>
  <w:abstractNum w:abstractNumId="617">
    <w:nsid w:val="111817CF"/>
    <w:multiLevelType w:val="hybridMultilevel"/>
    <w:lvl w:ilvl="0">
      <w:lvlJc w:val="left"/>
      <w:lvlText w:val="(%1)"/>
      <w:numFmt w:val="lowerLetter"/>
      <w:start w:val="9"/>
    </w:lvl>
  </w:abstractNum>
  <w:abstractNum w:abstractNumId="618">
    <w:nsid w:val="76C8B568"/>
    <w:multiLevelType w:val="hybridMultilevel"/>
    <w:lvl w:ilvl="0">
      <w:lvlJc w:val="left"/>
      <w:lvlText w:val="(%1)"/>
      <w:numFmt w:val="lowerLetter"/>
      <w:start w:val="1"/>
    </w:lvl>
    <w:lvl w:ilvl="1">
      <w:lvlJc w:val="left"/>
      <w:lvlText w:val="(%2)"/>
      <w:numFmt w:val="decimal"/>
      <w:start w:val="1"/>
    </w:lvl>
  </w:abstractNum>
  <w:abstractNum w:abstractNumId="619">
    <w:nsid w:val="3ACC76B1"/>
    <w:multiLevelType w:val="hybridMultilevel"/>
    <w:lvl w:ilvl="0">
      <w:lvlJc w:val="left"/>
      <w:lvlText w:val="(%1)"/>
      <w:numFmt w:val="decimal"/>
      <w:start w:val="1"/>
    </w:lvl>
    <w:lvl w:ilvl="1">
      <w:lvlJc w:val="left"/>
      <w:lvlText w:val="(%2)"/>
      <w:numFmt w:val="upperLetter"/>
      <w:start w:val="1"/>
    </w:lvl>
  </w:abstractNum>
  <w:abstractNum w:abstractNumId="620">
    <w:nsid w:val="588B1C7C"/>
    <w:multiLevelType w:val="hybridMultilevel"/>
    <w:lvl w:ilvl="0">
      <w:lvlJc w:val="left"/>
      <w:lvlText w:val="(%1)"/>
      <w:numFmt w:val="decimal"/>
      <w:start w:val="1"/>
    </w:lvl>
  </w:abstractNum>
  <w:abstractNum w:abstractNumId="621">
    <w:nsid w:val="62682D8B"/>
    <w:multiLevelType w:val="hybridMultilevel"/>
    <w:lvl w:ilvl="0">
      <w:lvlJc w:val="left"/>
      <w:lvlText w:val="(%1)"/>
      <w:numFmt w:val="decimal"/>
      <w:start w:val="1"/>
    </w:lvl>
  </w:abstractNum>
  <w:abstractNum w:abstractNumId="622">
    <w:nsid w:val="436F111A"/>
    <w:multiLevelType w:val="hybridMultilevel"/>
    <w:lvl w:ilvl="0">
      <w:lvlJc w:val="left"/>
      <w:lvlText w:val="(%1)"/>
      <w:numFmt w:val="decimal"/>
      <w:start w:val="1"/>
    </w:lvl>
  </w:abstractNum>
  <w:abstractNum w:abstractNumId="623">
    <w:nsid w:val="3299B71B"/>
    <w:multiLevelType w:val="hybridMultilevel"/>
    <w:lvl w:ilvl="0">
      <w:lvlJc w:val="left"/>
      <w:lvlText w:val="(%1)"/>
      <w:numFmt w:val="decimal"/>
      <w:start w:val="5"/>
    </w:lvl>
  </w:abstractNum>
  <w:abstractNum w:abstractNumId="624">
    <w:nsid w:val="7EA75F5A"/>
    <w:multiLevelType w:val="hybridMultilevel"/>
    <w:lvl w:ilvl="0">
      <w:lvlJc w:val="left"/>
      <w:lvlText w:val="(%1)"/>
      <w:numFmt w:val="lowerLetter"/>
      <w:start w:val="1"/>
    </w:lvl>
  </w:abstractNum>
  <w:abstractNum w:abstractNumId="625">
    <w:nsid w:val="44419EF9"/>
    <w:multiLevelType w:val="hybridMultilevel"/>
    <w:lvl w:ilvl="0">
      <w:lvlJc w:val="left"/>
      <w:lvlText w:val="(%1)"/>
      <w:numFmt w:val="lowerLetter"/>
      <w:start w:val="2"/>
    </w:lvl>
  </w:abstractNum>
  <w:abstractNum w:abstractNumId="626">
    <w:nsid w:val="3837F1DF"/>
    <w:multiLevelType w:val="hybridMultilevel"/>
    <w:lvl w:ilvl="0">
      <w:lvlJc w:val="left"/>
      <w:lvlText w:val="(%1)"/>
      <w:numFmt w:val="decimal"/>
      <w:start w:val="5"/>
    </w:lvl>
  </w:abstractNum>
  <w:abstractNum w:abstractNumId="627">
    <w:nsid w:val="5BE02A44"/>
    <w:multiLevelType w:val="hybridMultilevel"/>
    <w:lvl w:ilvl="0">
      <w:lvlJc w:val="left"/>
      <w:lvlText w:val="(%1)"/>
      <w:numFmt w:val="lowerLetter"/>
      <w:start w:val="5"/>
    </w:lvl>
  </w:abstractNum>
  <w:abstractNum w:abstractNumId="628">
    <w:nsid w:val="4A35BF85"/>
    <w:multiLevelType w:val="hybridMultilevel"/>
    <w:lvl w:ilvl="0">
      <w:lvlJc w:val="left"/>
      <w:lvlText w:val="(%1)"/>
      <w:numFmt w:val="decimal"/>
      <w:start w:val="6"/>
    </w:lvl>
  </w:abstractNum>
  <w:abstractNum w:abstractNumId="629">
    <w:nsid w:val="344702AC"/>
    <w:multiLevelType w:val="hybridMultilevel"/>
    <w:lvl w:ilvl="0">
      <w:lvlJc w:val="left"/>
      <w:lvlText w:val="(%1)"/>
      <w:numFmt w:val="decimal"/>
      <w:start w:val="17"/>
    </w:lvl>
  </w:abstractNum>
  <w:abstractNum w:abstractNumId="630">
    <w:nsid w:val="1CFAC1A"/>
    <w:multiLevelType w:val="hybridMultilevel"/>
    <w:lvl w:ilvl="0">
      <w:lvlJc w:val="left"/>
      <w:lvlText w:val="*"/>
      <w:numFmt w:val="bullet"/>
      <w:start w:val="1"/>
    </w:lvl>
  </w:abstractNum>
  <w:abstractNum w:abstractNumId="631">
    <w:nsid w:val="5FDD549A"/>
    <w:multiLevelType w:val="hybridMultilevel"/>
    <w:lvl w:ilvl="0">
      <w:lvlJc w:val="left"/>
      <w:lvlText w:val="*"/>
      <w:numFmt w:val="bullet"/>
      <w:start w:val="1"/>
    </w:lvl>
  </w:abstractNum>
  <w:abstractNum w:abstractNumId="632">
    <w:nsid w:val="38FD730E"/>
    <w:multiLevelType w:val="hybridMultilevel"/>
    <w:lvl w:ilvl="0">
      <w:lvlJc w:val="left"/>
      <w:lvlText w:val="%1."/>
      <w:numFmt w:val="decimal"/>
      <w:start w:val="1"/>
    </w:lvl>
  </w:abstractNum>
  <w:abstractNum w:abstractNumId="633">
    <w:nsid w:val="52E6ED3D"/>
    <w:multiLevelType w:val="hybridMultilevel"/>
    <w:lvl w:ilvl="0">
      <w:lvlJc w:val="left"/>
      <w:lvlText w:val="%1."/>
      <w:numFmt w:val="decimal"/>
      <w:start w:val="3"/>
    </w:lvl>
  </w:abstractNum>
  <w:abstractNum w:abstractNumId="634">
    <w:nsid w:val="3E1A864"/>
    <w:multiLevelType w:val="hybridMultilevel"/>
    <w:lvl w:ilvl="0">
      <w:lvlJc w:val="left"/>
      <w:lvlText w:val="(%1)"/>
      <w:numFmt w:val="lowerLetter"/>
      <w:start w:val="1"/>
    </w:lvl>
  </w:abstractNum>
  <w:abstractNum w:abstractNumId="635">
    <w:nsid w:val="672FE0A8"/>
    <w:multiLevelType w:val="hybridMultilevel"/>
    <w:lvl w:ilvl="0">
      <w:lvlJc w:val="left"/>
      <w:lvlText w:val="%1"/>
      <w:numFmt w:val="decimal"/>
      <w:start w:val="1"/>
    </w:lvl>
    <w:lvl w:ilvl="1">
      <w:lvlJc w:val="left"/>
      <w:lvlText w:val="(%2)"/>
      <w:numFmt w:val="lowerLetter"/>
      <w:start w:val="3"/>
    </w:lvl>
  </w:abstractNum>
  <w:abstractNum w:abstractNumId="636">
    <w:nsid w:val="31987F4D"/>
    <w:multiLevelType w:val="hybridMultilevel"/>
    <w:lvl w:ilvl="0">
      <w:lvlJc w:val="left"/>
      <w:lvlText w:val="%1."/>
      <w:numFmt w:val="decimal"/>
      <w:start w:val="4"/>
    </w:lvl>
    <w:lvl w:ilvl="1">
      <w:lvlJc w:val="left"/>
      <w:lvlText w:val="%2"/>
      <w:numFmt w:val="lowerLetter"/>
      <w:start w:val="1"/>
    </w:lvl>
  </w:abstractNum>
  <w:abstractNum w:abstractNumId="637">
    <w:nsid w:val="48C0A800"/>
    <w:multiLevelType w:val="hybridMultilevel"/>
    <w:lvl w:ilvl="0">
      <w:lvlJc w:val="left"/>
      <w:lvlText w:val="(%1)"/>
      <w:numFmt w:val="lowerLetter"/>
      <w:start w:val="1"/>
    </w:lvl>
  </w:abstractNum>
  <w:abstractNum w:abstractNumId="638">
    <w:nsid w:val="717B226"/>
    <w:multiLevelType w:val="hybridMultilevel"/>
    <w:lvl w:ilvl="0">
      <w:lvlJc w:val="left"/>
      <w:lvlText w:val="%1."/>
      <w:numFmt w:val="decimal"/>
      <w:start w:val="1"/>
    </w:lvl>
  </w:abstractNum>
  <w:abstractNum w:abstractNumId="639">
    <w:nsid w:val="4642A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0">
    <w:nsid w:val="632808E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41">
    <w:nsid w:val="656A762B"/>
    <w:multiLevelType w:val="hybridMultilevel"/>
    <w:lvl w:ilvl="0">
      <w:lvlJc w:val="left"/>
      <w:lvlText w:val="(%1)"/>
      <w:numFmt w:val="lowerLetter"/>
      <w:start w:val="1"/>
    </w:lvl>
    <w:lvl w:ilvl="1">
      <w:lvlJc w:val="left"/>
      <w:lvlText w:val="(%2)"/>
      <w:numFmt w:val="lowerRoman"/>
      <w:start w:val="1"/>
    </w:lvl>
  </w:abstractNum>
  <w:abstractNum w:abstractNumId="642">
    <w:nsid w:val="4AC8EC3"/>
    <w:multiLevelType w:val="hybridMultilevel"/>
    <w:lvl w:ilvl="0">
      <w:lvlJc w:val="left"/>
      <w:lvlText w:val="%1."/>
      <w:numFmt w:val="decimal"/>
      <w:start w:val="1"/>
    </w:lvl>
  </w:abstractNum>
  <w:abstractNum w:abstractNumId="643">
    <w:nsid w:val="4511160D"/>
    <w:multiLevelType w:val="hybridMultilevel"/>
    <w:lvl w:ilvl="0">
      <w:lvlJc w:val="left"/>
      <w:lvlText w:val="(%1)"/>
      <w:numFmt w:val="lowerLetter"/>
      <w:start w:val="1"/>
    </w:lvl>
  </w:abstractNum>
  <w:abstractNum w:abstractNumId="644">
    <w:nsid w:val="2A27DE11"/>
    <w:multiLevelType w:val="hybridMultilevel"/>
    <w:lvl w:ilvl="0">
      <w:lvlJc w:val="left"/>
      <w:lvlText w:val="(%1)"/>
      <w:numFmt w:val="lowerLetter"/>
      <w:start w:val="4"/>
    </w:lvl>
  </w:abstractNum>
  <w:abstractNum w:abstractNumId="645">
    <w:nsid w:val="36FD9196"/>
    <w:multiLevelType w:val="hybridMultilevel"/>
    <w:lvl w:ilvl="0">
      <w:lvlJc w:val="left"/>
      <w:lvlText w:val="%1."/>
      <w:numFmt w:val="decimal"/>
      <w:start w:val="2"/>
    </w:lvl>
  </w:abstractNum>
  <w:abstractNum w:abstractNumId="646">
    <w:nsid w:val="2A68FC8"/>
    <w:multiLevelType w:val="hybridMultilevel"/>
    <w:lvl w:ilvl="0">
      <w:lvlJc w:val="left"/>
      <w:lvlText w:val="%1"/>
      <w:numFmt w:val="lowerLetter"/>
      <w:start w:val="1"/>
    </w:lvl>
    <w:lvl w:ilvl="1">
      <w:lvlJc w:val="left"/>
      <w:lvlText w:val="(%2)"/>
      <w:numFmt w:val="lowerLetter"/>
      <w:start w:val="1"/>
    </w:lvl>
  </w:abstractNum>
  <w:abstractNum w:abstractNumId="647">
    <w:nsid w:val="34F52A23"/>
    <w:multiLevelType w:val="hybridMultilevel"/>
    <w:lvl w:ilvl="0">
      <w:lvlJc w:val="left"/>
      <w:lvlText w:val="(%1)"/>
      <w:numFmt w:val="lowerLetter"/>
      <w:start w:val="35"/>
    </w:lvl>
    <w:lvl w:ilvl="1">
      <w:lvlJc w:val="left"/>
      <w:lvlText w:val="%2"/>
      <w:numFmt w:val="lowerLetter"/>
      <w:start w:val="1"/>
    </w:lvl>
  </w:abstractNum>
  <w:abstractNum w:abstractNumId="648">
    <w:nsid w:val="4815A966"/>
    <w:multiLevelType w:val="hybridMultilevel"/>
    <w:lvl w:ilvl="0">
      <w:lvlJc w:val="left"/>
      <w:lvlText w:val="%1."/>
      <w:numFmt w:val="decimal"/>
      <w:start w:val="1"/>
    </w:lvl>
  </w:abstractNum>
  <w:abstractNum w:abstractNumId="649">
    <w:nsid w:val="796F4530"/>
    <w:multiLevelType w:val="hybridMultilevel"/>
    <w:lvl w:ilvl="0">
      <w:lvlJc w:val="left"/>
      <w:lvlText w:val="["/>
      <w:numFmt w:val="bullet"/>
      <w:start w:val="1"/>
    </w:lvl>
  </w:abstractNum>
  <w:abstractNum w:abstractNumId="650">
    <w:nsid w:val="6FC1A0D4"/>
    <w:multiLevelType w:val="hybridMultilevel"/>
    <w:lvl w:ilvl="0">
      <w:lvlJc w:val="left"/>
      <w:lvlText w:val="%1."/>
      <w:numFmt w:val="decimal"/>
      <w:start w:val="3"/>
    </w:lvl>
  </w:abstractNum>
  <w:abstractNum w:abstractNumId="651">
    <w:nsid w:val="20A0C5E2"/>
    <w:multiLevelType w:val="hybridMultilevel"/>
    <w:lvl w:ilvl="0">
      <w:lvlJc w:val="left"/>
      <w:lvlText w:val="%1."/>
      <w:numFmt w:val="decimal"/>
      <w:start w:val="1"/>
    </w:lvl>
    <w:lvl w:ilvl="1">
      <w:lvlJc w:val="left"/>
      <w:lvlText w:val="(%2)"/>
      <w:numFmt w:val="lowerLetter"/>
      <w:start w:val="1"/>
    </w:lvl>
  </w:abstractNum>
  <w:abstractNum w:abstractNumId="652">
    <w:nsid w:val="5BD772BB"/>
    <w:multiLevelType w:val="hybridMultilevel"/>
    <w:lvl w:ilvl="0">
      <w:lvlJc w:val="left"/>
      <w:lvlText w:val="%1"/>
      <w:numFmt w:val="decimal"/>
      <w:start w:val="1"/>
    </w:lvl>
    <w:lvl w:ilvl="1">
      <w:lvlJc w:val="left"/>
      <w:lvlText w:val="(%2)"/>
      <w:numFmt w:val="lowerLetter"/>
      <w:start w:val="2"/>
    </w:lvl>
  </w:abstractNum>
  <w:abstractNum w:abstractNumId="653">
    <w:nsid w:val="3330B1EE"/>
    <w:multiLevelType w:val="hybridMultilevel"/>
    <w:lvl w:ilvl="0">
      <w:lvlJc w:val="left"/>
      <w:lvlText w:val="%1."/>
      <w:numFmt w:val="decimal"/>
      <w:start w:val="2"/>
    </w:lvl>
    <w:lvl w:ilvl="1">
      <w:lvlJc w:val="left"/>
      <w:lvlText w:val="%2"/>
      <w:numFmt w:val="lowerLetter"/>
      <w:start w:val="1"/>
    </w:lvl>
  </w:abstractNum>
  <w:abstractNum w:abstractNumId="654">
    <w:nsid w:val="533A7CFD"/>
    <w:multiLevelType w:val="hybridMultilevel"/>
    <w:lvl w:ilvl="0">
      <w:lvlJc w:val="left"/>
      <w:lvlText w:val="%1."/>
      <w:numFmt w:val="decimal"/>
      <w:start w:val="4"/>
    </w:lvl>
    <w:lvl w:ilvl="1">
      <w:lvlJc w:val="left"/>
      <w:lvlText w:val="(%2)"/>
      <w:numFmt w:val="lowerLetter"/>
      <w:start w:val="1"/>
    </w:lvl>
  </w:abstractNum>
  <w:abstractNum w:abstractNumId="655">
    <w:nsid w:val="5A7ED215"/>
    <w:multiLevelType w:val="hybridMultilevel"/>
    <w:lvl w:ilvl="0">
      <w:lvlJc w:val="left"/>
      <w:lvlText w:val="(%1)"/>
      <w:numFmt w:val="lowerLetter"/>
      <w:start w:val="2"/>
    </w:lvl>
  </w:abstractNum>
  <w:abstractNum w:abstractNumId="656">
    <w:nsid w:val="777250E7"/>
    <w:multiLevelType w:val="hybridMultilevel"/>
    <w:lvl w:ilvl="0">
      <w:lvlJc w:val="left"/>
      <w:lvlText w:val="(%1)"/>
      <w:numFmt w:val="lowerLetter"/>
      <w:start w:val="3"/>
    </w:lvl>
  </w:abstractNum>
  <w:abstractNum w:abstractNumId="657">
    <w:nsid w:val="B726EDC"/>
    <w:multiLevelType w:val="hybridMultilevel"/>
    <w:lvl w:ilvl="0">
      <w:lvlJc w:val="left"/>
      <w:lvlText w:val="(%1)"/>
      <w:numFmt w:val="lowerLetter"/>
      <w:start w:val="5"/>
    </w:lvl>
  </w:abstractNum>
  <w:abstractNum w:abstractNumId="658">
    <w:nsid w:val="365EFC5A"/>
    <w:multiLevelType w:val="hybridMultilevel"/>
    <w:lvl w:ilvl="0">
      <w:lvlJc w:val="left"/>
      <w:lvlText w:val="%1"/>
      <w:numFmt w:val="lowerLetter"/>
      <w:start w:val="1"/>
    </w:lvl>
    <w:lvl w:ilvl="1">
      <w:lvlJc w:val="left"/>
      <w:lvlText w:val="(%2)"/>
      <w:numFmt w:val="lowerLetter"/>
      <w:start w:val="9"/>
    </w:lvl>
  </w:abstractNum>
  <w:abstractNum w:abstractNumId="659">
    <w:nsid w:val="41A8106C"/>
    <w:multiLevelType w:val="hybridMultilevel"/>
    <w:lvl w:ilvl="0">
      <w:lvlJc w:val="left"/>
      <w:lvlText w:val="(%1)"/>
      <w:numFmt w:val="lowerLetter"/>
      <w:start w:val="9"/>
    </w:lvl>
    <w:lvl w:ilvl="1">
      <w:lvlJc w:val="left"/>
      <w:lvlText w:val="%2"/>
      <w:numFmt w:val="lowerLetter"/>
      <w:start w:val="1"/>
    </w:lvl>
  </w:abstractNum>
  <w:abstractNum w:abstractNumId="660">
    <w:nsid w:val="3FB97188"/>
    <w:multiLevelType w:val="hybridMultilevel"/>
    <w:lvl w:ilvl="0">
      <w:lvlJc w:val="left"/>
      <w:lvlText w:val="(%1)"/>
      <w:numFmt w:val="lowerLetter"/>
      <w:start w:val="14"/>
    </w:lvl>
  </w:abstractNum>
  <w:abstractNum w:abstractNumId="661">
    <w:nsid w:val="382EA874"/>
    <w:multiLevelType w:val="hybridMultilevel"/>
    <w:lvl w:ilvl="0">
      <w:lvlJc w:val="left"/>
      <w:lvlText w:val="(%1)"/>
      <w:numFmt w:val="lowerLetter"/>
      <w:start w:val="17"/>
    </w:lvl>
  </w:abstractNum>
  <w:abstractNum w:abstractNumId="662">
    <w:nsid w:val="21856507"/>
    <w:multiLevelType w:val="hybridMultilevel"/>
    <w:lvl w:ilvl="0">
      <w:lvlJc w:val="left"/>
      <w:lvlText w:val="(%1)"/>
      <w:numFmt w:val="lowerLetter"/>
      <w:start w:val="20"/>
    </w:lvl>
  </w:abstractNum>
  <w:abstractNum w:abstractNumId="663">
    <w:nsid w:val="78B6E496"/>
    <w:multiLevelType w:val="hybridMultilevel"/>
    <w:lvl w:ilvl="0">
      <w:lvlJc w:val="left"/>
      <w:lvlText w:val="(%1)"/>
      <w:numFmt w:val="lowerLetter"/>
      <w:start w:val="24"/>
    </w:lvl>
  </w:abstractNum>
  <w:abstractNum w:abstractNumId="664">
    <w:nsid w:val="B1595B1"/>
    <w:multiLevelType w:val="hybridMultilevel"/>
    <w:lvl w:ilvl="0">
      <w:lvlJc w:val="left"/>
      <w:lvlText w:val="(%1)"/>
      <w:numFmt w:val="lowerLetter"/>
      <w:start w:val="27"/>
    </w:lvl>
  </w:abstractNum>
  <w:abstractNum w:abstractNumId="665">
    <w:nsid w:val="25670D6B"/>
    <w:multiLevelType w:val="hybridMultilevel"/>
    <w:lvl w:ilvl="0">
      <w:lvlJc w:val="left"/>
      <w:lvlText w:val="(%1)"/>
      <w:numFmt w:val="lowerLetter"/>
      <w:start w:val="29"/>
    </w:lvl>
  </w:abstractNum>
  <w:abstractNum w:abstractNumId="666">
    <w:nsid w:val="5FE6C53F"/>
    <w:multiLevelType w:val="hybridMultilevel"/>
    <w:lvl w:ilvl="0">
      <w:lvlJc w:val="left"/>
      <w:lvlText w:val="(%1)"/>
      <w:numFmt w:val="lowerLetter"/>
      <w:start w:val="32"/>
    </w:lvl>
  </w:abstractNum>
  <w:abstractNum w:abstractNumId="667">
    <w:nsid w:val="3CAE14FE"/>
    <w:multiLevelType w:val="hybridMultilevel"/>
    <w:lvl w:ilvl="0">
      <w:lvlJc w:val="left"/>
      <w:lvlText w:val="%1"/>
      <w:numFmt w:val="lowerLetter"/>
      <w:start w:val="1"/>
    </w:lvl>
    <w:lvl w:ilvl="1">
      <w:lvlJc w:val="left"/>
      <w:lvlText w:val="(%2)"/>
      <w:numFmt w:val="lowerLetter"/>
      <w:start w:val="34"/>
    </w:lvl>
  </w:abstractNum>
  <w:abstractNum w:abstractNumId="668">
    <w:nsid w:val="6E27B56B"/>
    <w:multiLevelType w:val="hybridMultilevel"/>
    <w:lvl w:ilvl="0">
      <w:lvlJc w:val="left"/>
      <w:lvlText w:val="(%1)"/>
      <w:numFmt w:val="lowerLetter"/>
      <w:start w:val="35"/>
    </w:lvl>
    <w:lvl w:ilvl="1">
      <w:lvlJc w:val="left"/>
      <w:lvlText w:val="(%2)"/>
      <w:numFmt w:val="lowerLetter"/>
      <w:start w:val="35"/>
    </w:lvl>
  </w:abstractNum>
  <w:abstractNum w:abstractNumId="669">
    <w:nsid w:val="66FE7765"/>
    <w:multiLevelType w:val="hybridMultilevel"/>
    <w:lvl w:ilvl="0">
      <w:lvlJc w:val="left"/>
      <w:lvlText w:val="%1"/>
      <w:numFmt w:val="lowerLetter"/>
      <w:start w:val="1"/>
    </w:lvl>
    <w:lvl w:ilvl="1">
      <w:lvlJc w:val="left"/>
      <w:lvlText w:val="(%2)"/>
      <w:numFmt w:val="lowerLetter"/>
      <w:start w:val="37"/>
    </w:lvl>
  </w:abstractNum>
  <w:abstractNum w:abstractNumId="670">
    <w:nsid w:val="41123F79"/>
    <w:multiLevelType w:val="hybridMultilevel"/>
    <w:lvl w:ilvl="0">
      <w:lvlJc w:val="left"/>
      <w:lvlText w:val="(%1)"/>
      <w:numFmt w:val="lowerLetter"/>
      <w:start w:val="9"/>
    </w:lvl>
    <w:lvl w:ilvl="1">
      <w:lvlJc w:val="left"/>
      <w:lvlText w:val="%2"/>
      <w:numFmt w:val="lowerLetter"/>
      <w:start w:val="1"/>
    </w:lvl>
  </w:abstractNum>
  <w:abstractNum w:abstractNumId="671">
    <w:nsid w:val="514FBE5A"/>
    <w:multiLevelType w:val="hybridMultilevel"/>
    <w:lvl w:ilvl="0">
      <w:lvlJc w:val="left"/>
      <w:lvlText w:val="%1"/>
      <w:numFmt w:val="lowerLetter"/>
      <w:start w:val="1"/>
    </w:lvl>
    <w:lvl w:ilvl="1">
      <w:lvlJc w:val="left"/>
      <w:lvlText w:val="(%2)"/>
      <w:numFmt w:val="lowerLetter"/>
      <w:start w:val="40"/>
    </w:lvl>
  </w:abstractNum>
  <w:abstractNum w:abstractNumId="672">
    <w:nsid w:val="4C68ED90"/>
    <w:multiLevelType w:val="hybridMultilevel"/>
    <w:lvl w:ilvl="0">
      <w:lvlJc w:val="left"/>
      <w:lvlText w:val="(%1)"/>
      <w:numFmt w:val="lowerLetter"/>
      <w:start w:val="61"/>
    </w:lvl>
    <w:lvl w:ilvl="1">
      <w:lvlJc w:val="left"/>
      <w:lvlText w:val="%2"/>
      <w:numFmt w:val="lowerLetter"/>
      <w:start w:val="1"/>
    </w:lvl>
  </w:abstractNum>
  <w:abstractNum w:abstractNumId="673">
    <w:nsid w:val="45BECE3C"/>
    <w:multiLevelType w:val="hybridMultilevel"/>
    <w:lvl w:ilvl="0">
      <w:lvlJc w:val="left"/>
      <w:lvlText w:val="(%1)"/>
      <w:numFmt w:val="lowerLetter"/>
      <w:start w:val="42"/>
    </w:lvl>
  </w:abstractNum>
  <w:abstractNum w:abstractNumId="674">
    <w:nsid w:val="1660D468"/>
    <w:multiLevelType w:val="hybridMultilevel"/>
    <w:lvl w:ilvl="0">
      <w:lvlJc w:val="left"/>
      <w:lvlText w:val="(%1)"/>
      <w:numFmt w:val="lowerLetter"/>
      <w:start w:val="47"/>
    </w:lvl>
  </w:abstractNum>
  <w:abstractNum w:abstractNumId="675">
    <w:nsid w:val="7690CBA1"/>
    <w:multiLevelType w:val="hybridMultilevel"/>
    <w:lvl w:ilvl="0">
      <w:lvlJc w:val="left"/>
      <w:lvlText w:val="%1"/>
      <w:numFmt w:val="decimal"/>
      <w:start w:val="1"/>
    </w:lvl>
    <w:lvl w:ilvl="1">
      <w:lvlJc w:val="left"/>
      <w:lvlText w:val="(%2)"/>
      <w:numFmt w:val="lowerLetter"/>
      <w:start w:val="50"/>
    </w:lvl>
  </w:abstractNum>
  <w:abstractNum w:abstractNumId="676">
    <w:nsid w:val="7CBC5FD3"/>
    <w:multiLevelType w:val="hybridMultilevel"/>
    <w:lvl w:ilvl="0">
      <w:lvlJc w:val="left"/>
      <w:lvlText w:val="%1."/>
      <w:numFmt w:val="decimal"/>
      <w:start w:val="5"/>
    </w:lvl>
    <w:lvl w:ilvl="1">
      <w:lvlJc w:val="left"/>
      <w:lvlText w:val="(%2)"/>
      <w:numFmt w:val="lowerLetter"/>
      <w:start w:val="1"/>
    </w:lvl>
  </w:abstractNum>
  <w:abstractNum w:abstractNumId="677">
    <w:nsid w:val="19076430"/>
    <w:multiLevelType w:val="hybridMultilevel"/>
    <w:lvl w:ilvl="0">
      <w:lvlJc w:val="left"/>
      <w:lvlText w:val="(%1)"/>
      <w:numFmt w:val="lowerLetter"/>
      <w:start w:val="3"/>
    </w:lvl>
  </w:abstractNum>
  <w:abstractNum w:abstractNumId="678">
    <w:nsid w:val="2B85F5C4"/>
    <w:multiLevelType w:val="hybridMultilevel"/>
    <w:lvl w:ilvl="0">
      <w:lvlJc w:val="left"/>
      <w:lvlText w:val="(%1)"/>
      <w:numFmt w:val="lowerLetter"/>
      <w:start w:val="8"/>
    </w:lvl>
  </w:abstractNum>
  <w:abstractNum w:abstractNumId="679">
    <w:nsid w:val="44D20939"/>
    <w:multiLevelType w:val="hybridMultilevel"/>
    <w:lvl w:ilvl="0">
      <w:lvlJc w:val="left"/>
      <w:lvlText w:val="%1"/>
      <w:numFmt w:val="lowerRoman"/>
      <w:start w:val="1"/>
    </w:lvl>
    <w:lvl w:ilvl="1">
      <w:lvlJc w:val="left"/>
      <w:lvlText w:val="(%2)"/>
      <w:numFmt w:val="lowerLetter"/>
      <w:start w:val="12"/>
    </w:lvl>
  </w:abstractNum>
  <w:abstractNum w:abstractNumId="680">
    <w:nsid w:val="1276A960"/>
    <w:multiLevelType w:val="hybridMultilevel"/>
    <w:lvl w:ilvl="0">
      <w:lvlJc w:val="left"/>
      <w:lvlText w:val="(%1)"/>
      <w:numFmt w:val="lowerRoman"/>
      <w:start w:val="2"/>
    </w:lvl>
    <w:lvl w:ilvl="1">
      <w:lvlJc w:val="left"/>
      <w:lvlText w:val="%2"/>
      <w:numFmt w:val="lowerLetter"/>
      <w:start w:val="1"/>
    </w:lvl>
  </w:abstractNum>
  <w:abstractNum w:abstractNumId="681">
    <w:nsid w:val="1B479698"/>
    <w:multiLevelType w:val="hybridMultilevel"/>
    <w:lvl w:ilvl="0">
      <w:lvlJc w:val="left"/>
      <w:lvlText w:val="(%1)"/>
      <w:numFmt w:val="lowerRoman"/>
      <w:start w:val="4"/>
    </w:lvl>
    <w:lvl w:ilvl="1">
      <w:lvlJc w:val="left"/>
      <w:lvlText w:val="%2"/>
      <w:numFmt w:val="lowerLetter"/>
      <w:start w:val="1"/>
    </w:lvl>
  </w:abstractNum>
  <w:abstractNum w:abstractNumId="682">
    <w:nsid w:val="6572CF1B"/>
    <w:multiLevelType w:val="hybridMultilevel"/>
    <w:lvl w:ilvl="0">
      <w:lvlJc w:val="left"/>
      <w:lvlText w:val="%1"/>
      <w:numFmt w:val="lowerLetter"/>
      <w:start w:val="1"/>
    </w:lvl>
    <w:lvl w:ilvl="1">
      <w:lvlJc w:val="left"/>
      <w:lvlText w:val="(%2)"/>
      <w:numFmt w:val="lowerLetter"/>
      <w:start w:val="14"/>
    </w:lvl>
  </w:abstractNum>
  <w:abstractNum w:abstractNumId="683">
    <w:nsid w:val="6E4E1C1B"/>
    <w:multiLevelType w:val="hybridMultilevel"/>
    <w:lvl w:ilvl="0">
      <w:lvlJc w:val="left"/>
      <w:lvlText w:val="(%1)"/>
      <w:numFmt w:val="lowerLetter"/>
      <w:start w:val="35"/>
    </w:lvl>
    <w:lvl w:ilvl="1">
      <w:lvlJc w:val="left"/>
      <w:lvlText w:val="%2"/>
      <w:numFmt w:val="lowerLetter"/>
      <w:start w:val="1"/>
    </w:lvl>
  </w:abstractNum>
  <w:abstractNum w:abstractNumId="684">
    <w:nsid w:val="4E784887"/>
    <w:multiLevelType w:val="hybridMultilevel"/>
    <w:lvl w:ilvl="0">
      <w:lvlJc w:val="left"/>
      <w:lvlText w:val="(%1)"/>
      <w:numFmt w:val="lowerLetter"/>
      <w:start w:val="18"/>
    </w:lvl>
  </w:abstractNum>
  <w:abstractNum w:abstractNumId="685">
    <w:nsid w:val="38AD4C18"/>
    <w:multiLevelType w:val="hybridMultilevel"/>
    <w:lvl w:ilvl="0">
      <w:lvlJc w:val="left"/>
      <w:lvlText w:val="%1"/>
      <w:numFmt w:val="decimal"/>
      <w:start w:val="1"/>
    </w:lvl>
    <w:lvl w:ilvl="1">
      <w:lvlJc w:val="left"/>
      <w:lvlText w:val="(%2)"/>
      <w:numFmt w:val="lowerLetter"/>
      <w:start w:val="23"/>
    </w:lvl>
  </w:abstractNum>
  <w:abstractNum w:abstractNumId="686">
    <w:nsid w:val="48CCEE31"/>
    <w:multiLevelType w:val="hybridMultilevel"/>
    <w:lvl w:ilvl="0">
      <w:lvlJc w:val="left"/>
      <w:lvlText w:val="%1."/>
      <w:numFmt w:val="decimal"/>
      <w:start w:val="6"/>
    </w:lvl>
    <w:lvl w:ilvl="1">
      <w:lvlJc w:val="left"/>
      <w:lvlText w:val="%2"/>
      <w:numFmt w:val="lowerLetter"/>
      <w:start w:val="1"/>
    </w:lvl>
  </w:abstractNum>
  <w:abstractNum w:abstractNumId="687">
    <w:nsid w:val="45EA996E"/>
    <w:multiLevelType w:val="hybridMultilevel"/>
    <w:lvl w:ilvl="0">
      <w:lvlJc w:val="left"/>
      <w:lvlText w:val="%1."/>
      <w:numFmt w:val="decimal"/>
      <w:start w:val="7"/>
    </w:lvl>
    <w:lvl w:ilvl="1">
      <w:lvlJc w:val="left"/>
      <w:lvlText w:val="(%2)"/>
      <w:numFmt w:val="lowerLetter"/>
      <w:start w:val="1"/>
    </w:lvl>
  </w:abstractNum>
  <w:abstractNum w:abstractNumId="688">
    <w:nsid w:val="441FBAF4"/>
    <w:multiLevelType w:val="hybridMultilevel"/>
    <w:lvl w:ilvl="0">
      <w:lvlJc w:val="left"/>
      <w:lvlText w:val="(%1)"/>
      <w:numFmt w:val="lowerLetter"/>
      <w:start w:val="7"/>
    </w:lvl>
  </w:abstractNum>
  <w:abstractNum w:abstractNumId="689">
    <w:nsid w:val="7F2BEA8B"/>
    <w:multiLevelType w:val="hybridMultilevel"/>
    <w:lvl w:ilvl="0">
      <w:lvlJc w:val="left"/>
      <w:lvlText w:val="%1"/>
      <w:numFmt w:val="decimal"/>
      <w:start w:val="1"/>
    </w:lvl>
    <w:lvl w:ilvl="1">
      <w:lvlJc w:val="left"/>
      <w:lvlText w:val="(%2)"/>
      <w:numFmt w:val="lowerLetter"/>
      <w:start w:val="13"/>
    </w:lvl>
  </w:abstractNum>
  <w:abstractNum w:abstractNumId="690">
    <w:nsid w:val="792A9DB"/>
    <w:multiLevelType w:val="hybridMultilevel"/>
    <w:lvl w:ilvl="0">
      <w:lvlJc w:val="left"/>
      <w:lvlText w:val="%1."/>
      <w:numFmt w:val="decimal"/>
      <w:start w:val="8"/>
    </w:lvl>
    <w:lvl w:ilvl="1">
      <w:lvlJc w:val="left"/>
      <w:lvlText w:val="%2"/>
      <w:numFmt w:val="lowerLetter"/>
      <w:start w:val="1"/>
    </w:lvl>
  </w:abstractNum>
  <w:abstractNum w:abstractNumId="691">
    <w:nsid w:val="3D92C7D"/>
    <w:multiLevelType w:val="hybridMultilevel"/>
    <w:lvl w:ilvl="0">
      <w:lvlJc w:val="left"/>
      <w:lvlText w:val="%1."/>
      <w:numFmt w:val="decimal"/>
      <w:start w:val="9"/>
    </w:lvl>
  </w:abstractNum>
  <w:abstractNum w:abstractNumId="692">
    <w:nsid w:val="375A92FF"/>
    <w:multiLevelType w:val="hybridMultilevel"/>
    <w:lvl w:ilvl="0">
      <w:lvlJc w:val="left"/>
      <w:lvlText w:val="%1."/>
      <w:numFmt w:val="decimal"/>
      <w:start w:val="10"/>
    </w:lvl>
    <w:lvl w:ilvl="1">
      <w:lvlJc w:val="left"/>
      <w:lvlText w:val="(%2)"/>
      <w:numFmt w:val="lowerLetter"/>
      <w:start w:val="1"/>
    </w:lvl>
  </w:abstractNum>
  <w:abstractNum w:abstractNumId="693">
    <w:nsid w:val="29180EE2"/>
    <w:multiLevelType w:val="hybridMultilevel"/>
    <w:lvl w:ilvl="0">
      <w:lvlJc w:val="left"/>
      <w:lvlText w:val="(%1)"/>
      <w:numFmt w:val="lowerLetter"/>
      <w:start w:val="2"/>
    </w:lvl>
  </w:abstractNum>
  <w:abstractNum w:abstractNumId="694">
    <w:nsid w:val="7C901113"/>
    <w:multiLevelType w:val="hybridMultilevel"/>
    <w:lvl w:ilvl="0">
      <w:lvlJc w:val="left"/>
      <w:lvlText w:val="(%1)"/>
      <w:numFmt w:val="lowerLetter"/>
      <w:start w:val="3"/>
    </w:lvl>
  </w:abstractNum>
  <w:abstractNum w:abstractNumId="695">
    <w:nsid w:val="427028B0"/>
    <w:multiLevelType w:val="hybridMultilevel"/>
    <w:lvl w:ilvl="0">
      <w:lvlJc w:val="left"/>
      <w:lvlText w:val="(%1)"/>
      <w:numFmt w:val="lowerLetter"/>
      <w:start w:val="4"/>
    </w:lvl>
  </w:abstractNum>
  <w:abstractNum w:abstractNumId="696">
    <w:nsid w:val="4E7F1C4D"/>
    <w:multiLevelType w:val="hybridMultilevel"/>
    <w:lvl w:ilvl="0">
      <w:lvlJc w:val="left"/>
      <w:lvlText w:val="%1"/>
      <w:numFmt w:val="decimal"/>
      <w:start w:val="1"/>
    </w:lvl>
    <w:lvl w:ilvl="1">
      <w:lvlJc w:val="left"/>
      <w:lvlText w:val="(%2)"/>
      <w:numFmt w:val="lowerLetter"/>
      <w:start w:val="6"/>
    </w:lvl>
  </w:abstractNum>
  <w:abstractNum w:abstractNumId="697">
    <w:nsid w:val="5C76D652"/>
    <w:multiLevelType w:val="hybridMultilevel"/>
    <w:lvl w:ilvl="0">
      <w:lvlJc w:val="left"/>
      <w:lvlText w:val="%1."/>
      <w:numFmt w:val="decimal"/>
      <w:start w:val="11"/>
    </w:lvl>
    <w:lvl w:ilvl="1">
      <w:lvlJc w:val="left"/>
      <w:lvlText w:val="%2"/>
      <w:numFmt w:val="lowerLetter"/>
      <w:start w:val="1"/>
    </w:lvl>
  </w:abstractNum>
  <w:abstractNum w:abstractNumId="698">
    <w:nsid w:val="7F1E3DAE"/>
    <w:multiLevelType w:val="hybridMultilevel"/>
    <w:lvl w:ilvl="0">
      <w:lvlJc w:val="left"/>
      <w:lvlText w:val="%1."/>
      <w:numFmt w:val="decimal"/>
      <w:start w:val="13"/>
    </w:lvl>
  </w:abstractNum>
  <w:abstractNum w:abstractNumId="699">
    <w:nsid w:val="3CA6D1B9"/>
    <w:multiLevelType w:val="hybridMultilevel"/>
    <w:lvl w:ilvl="0">
      <w:lvlJc w:val="left"/>
      <w:lvlText w:val="(%1)"/>
      <w:numFmt w:val="lowerLetter"/>
      <w:start w:val="1"/>
    </w:lvl>
  </w:abstractNum>
  <w:abstractNum w:abstractNumId="700">
    <w:nsid w:val="43754DB7"/>
    <w:multiLevelType w:val="hybridMultilevel"/>
    <w:lvl w:ilvl="0">
      <w:lvlJc w:val="left"/>
      <w:lvlText w:val="%1."/>
      <w:numFmt w:val="decimal"/>
      <w:start w:val="14"/>
    </w:lvl>
  </w:abstractNum>
  <w:abstractNum w:abstractNumId="701">
    <w:nsid w:val="40307D27"/>
    <w:multiLevelType w:val="hybridMultilevel"/>
    <w:lvl w:ilvl="0">
      <w:lvlJc w:val="left"/>
      <w:lvlText w:val="%1."/>
      <w:numFmt w:val="decimal"/>
      <w:start w:val="17"/>
    </w:lvl>
  </w:abstractNum>
  <w:abstractNum w:abstractNumId="702">
    <w:nsid w:val="DF69013"/>
    <w:multiLevelType w:val="hybridMultilevel"/>
    <w:lvl w:ilvl="0">
      <w:lvlJc w:val="left"/>
      <w:lvlText w:val="%1."/>
      <w:numFmt w:val="decimal"/>
      <w:start w:val="20"/>
    </w:lvl>
  </w:abstractNum>
  <w:abstractNum w:abstractNumId="703">
    <w:nsid w:val="FDE3B47"/>
    <w:multiLevelType w:val="hybridMultilevel"/>
    <w:lvl w:ilvl="0">
      <w:lvlJc w:val="left"/>
      <w:lvlText w:val="(%1)"/>
      <w:numFmt w:val="lowerLetter"/>
      <w:start w:val="7"/>
    </w:lvl>
  </w:abstractNum>
  <w:abstractNum w:abstractNumId="704">
    <w:nsid w:val="5EF4B64"/>
    <w:multiLevelType w:val="hybridMultilevel"/>
    <w:lvl w:ilvl="0">
      <w:lvlJc w:val="left"/>
      <w:lvlText w:val="%1"/>
      <w:numFmt w:val="decimal"/>
      <w:start w:val="20"/>
    </w:lvl>
  </w:abstractNum>
  <w:abstractNum w:abstractNumId="705">
    <w:nsid w:val="2457647B"/>
    <w:multiLevelType w:val="hybridMultilevel"/>
    <w:lvl w:ilvl="0">
      <w:lvlJc w:val="left"/>
      <w:lvlText w:val="%1."/>
      <w:numFmt w:val="decimal"/>
      <w:start w:val="1"/>
    </w:lvl>
  </w:abstractNum>
  <w:abstractNum w:abstractNumId="706">
    <w:nsid w:val="66F06E9"/>
    <w:multiLevelType w:val="hybridMultilevel"/>
    <w:lvl w:ilvl="0">
      <w:lvlJc w:val="left"/>
      <w:lvlText w:val="(%1)"/>
      <w:numFmt w:val="lowerRoman"/>
      <w:start w:val="1"/>
    </w:lvl>
  </w:abstractNum>
  <w:abstractNum w:abstractNumId="707">
    <w:nsid w:val="2ABAB37"/>
    <w:multiLevelType w:val="hybridMultilevel"/>
    <w:lvl w:ilvl="0">
      <w:lvlJc w:val="left"/>
      <w:lvlText w:val="(%1)"/>
      <w:numFmt w:val="lowerRoman"/>
      <w:start w:val="2"/>
    </w:lvl>
  </w:abstractNum>
  <w:abstractNum w:abstractNumId="708">
    <w:nsid w:val="3D5EC8AB"/>
    <w:multiLevelType w:val="hybridMultilevel"/>
    <w:lvl w:ilvl="0">
      <w:lvlJc w:val="left"/>
      <w:lvlText w:val="%1"/>
      <w:numFmt w:val="upperLetter"/>
      <w:start w:val="1"/>
    </w:lvl>
    <w:lvl w:ilvl="1">
      <w:lvlJc w:val="left"/>
      <w:lvlText w:val="(%2)"/>
      <w:numFmt w:val="lowerRoman"/>
      <w:start w:val="7"/>
    </w:lvl>
  </w:abstractNum>
  <w:abstractNum w:abstractNumId="709">
    <w:nsid w:val="31F4FCAD"/>
    <w:multiLevelType w:val="hybridMultilevel"/>
    <w:lvl w:ilvl="0">
      <w:lvlJc w:val="left"/>
      <w:lvlText w:val="(%1)"/>
      <w:numFmt w:val="upperLetter"/>
      <w:start w:val="2"/>
    </w:lvl>
    <w:lvl w:ilvl="1">
      <w:lvlJc w:val="left"/>
      <w:lvlText w:val="%2"/>
      <w:numFmt w:val="lowerRoman"/>
      <w:start w:val="1"/>
    </w:lvl>
  </w:abstractNum>
  <w:abstractNum w:abstractNumId="710">
    <w:nsid w:val="477DB470"/>
    <w:multiLevelType w:val="hybridMultilevel"/>
    <w:lvl w:ilvl="0">
      <w:lvlJc w:val="left"/>
      <w:lvlText w:val="(%1)"/>
      <w:numFmt w:val="lowerRoman"/>
      <w:start w:val="9"/>
    </w:lvl>
  </w:abstractNum>
  <w:abstractNum w:abstractNumId="711">
    <w:nsid w:val="4FD5720B"/>
    <w:multiLevelType w:val="hybridMultilevel"/>
    <w:lvl w:ilvl="0">
      <w:lvlJc w:val="left"/>
      <w:lvlText w:val="(%1)"/>
      <w:numFmt w:val="lowerRoman"/>
      <w:start w:val="13"/>
    </w:lvl>
  </w:abstractNum>
  <w:abstractNum w:abstractNumId="712">
    <w:nsid w:val="4D3C9346"/>
    <w:multiLevelType w:val="hybridMultilevel"/>
    <w:lvl w:ilvl="0">
      <w:lvlJc w:val="left"/>
      <w:lvlText w:val="(%1)"/>
      <w:numFmt w:val="lowerRoman"/>
      <w:start w:val="18"/>
    </w:lvl>
  </w:abstractNum>
  <w:abstractNum w:abstractNumId="713">
    <w:nsid w:val="2CF0838B"/>
    <w:multiLevelType w:val="hybridMultilevel"/>
    <w:lvl w:ilvl="0">
      <w:lvlJc w:val="left"/>
      <w:lvlText w:val="(%1)"/>
      <w:numFmt w:val="lowerRoman"/>
      <w:start w:val="23"/>
    </w:lvl>
  </w:abstractNum>
  <w:abstractNum w:abstractNumId="714">
    <w:nsid w:val="3E238E27"/>
    <w:multiLevelType w:val="hybridMultilevel"/>
    <w:lvl w:ilvl="0">
      <w:lvlJc w:val="left"/>
      <w:lvlText w:val="(%1)"/>
      <w:numFmt w:val="lowerRoman"/>
      <w:start w:val="27"/>
    </w:lvl>
  </w:abstractNum>
  <w:abstractNum w:abstractNumId="715">
    <w:nsid w:val="1BB4DBCD"/>
    <w:multiLevelType w:val="hybridMultilevel"/>
    <w:lvl w:ilvl="0">
      <w:lvlJc w:val="left"/>
      <w:lvlText w:val="(%1)"/>
      <w:numFmt w:val="lowerRoman"/>
      <w:start w:val="31"/>
    </w:lvl>
  </w:abstractNum>
  <w:abstractNum w:abstractNumId="716">
    <w:nsid w:val="659DCFA3"/>
    <w:multiLevelType w:val="hybridMultilevel"/>
    <w:lvl w:ilvl="0">
      <w:lvlJc w:val="left"/>
      <w:lvlText w:val="(%1)"/>
      <w:numFmt w:val="lowerRoman"/>
      <w:start w:val="35"/>
    </w:lvl>
  </w:abstractNum>
  <w:abstractNum w:abstractNumId="717">
    <w:nsid w:val="6F07C58"/>
    <w:multiLevelType w:val="hybridMultilevel"/>
    <w:lvl w:ilvl="0">
      <w:lvlJc w:val="left"/>
      <w:lvlText w:val="(%1)"/>
      <w:numFmt w:val="lowerLetter"/>
      <w:start w:val="1"/>
    </w:lvl>
  </w:abstractNum>
  <w:abstractNum w:abstractNumId="718">
    <w:nsid w:val="619F753B"/>
    <w:multiLevelType w:val="hybridMultilevel"/>
    <w:lvl w:ilvl="0">
      <w:lvlJc w:val="left"/>
      <w:lvlText w:val="(%1)"/>
      <w:numFmt w:val="lowerLetter"/>
      <w:start w:val="2"/>
    </w:lvl>
  </w:abstractNum>
  <w:abstractNum w:abstractNumId="719">
    <w:nsid w:val="29BD8A97"/>
    <w:multiLevelType w:val="hybridMultilevel"/>
    <w:lvl w:ilvl="0">
      <w:lvlJc w:val="left"/>
      <w:lvlText w:val="(%1)"/>
      <w:numFmt w:val="lowerLetter"/>
      <w:start w:val="3"/>
    </w:lvl>
  </w:abstractNum>
  <w:abstractNum w:abstractNumId="720">
    <w:nsid w:val="61C66E3"/>
    <w:multiLevelType w:val="hybridMultilevel"/>
    <w:lvl w:ilvl="0">
      <w:lvlJc w:val="left"/>
      <w:lvlText w:val="(%1)"/>
      <w:numFmt w:val="lowerLetter"/>
      <w:start w:val="1"/>
    </w:lvl>
  </w:abstractNum>
  <w:abstractNum w:abstractNumId="721">
    <w:nsid w:val="69321F16"/>
    <w:multiLevelType w:val="hybridMultilevel"/>
    <w:lvl w:ilvl="0">
      <w:lvlJc w:val="left"/>
      <w:lvlText w:val="(%1)"/>
      <w:numFmt w:val="lowerLetter"/>
      <w:start w:val="2"/>
    </w:lvl>
  </w:abstractNum>
  <w:abstractNum w:abstractNumId="722">
    <w:nsid w:val="2D96B714"/>
    <w:multiLevelType w:val="hybridMultilevel"/>
    <w:lvl w:ilvl="0">
      <w:lvlJc w:val="left"/>
      <w:lvlText w:val="(%1)"/>
      <w:numFmt w:val="lowerLetter"/>
      <w:start w:val="4"/>
    </w:lvl>
  </w:abstractNum>
  <w:abstractNum w:abstractNumId="723">
    <w:nsid w:val="3D76F9E2"/>
    <w:multiLevelType w:val="hybridMultilevel"/>
    <w:lvl w:ilvl="0">
      <w:lvlJc w:val="left"/>
      <w:lvlText w:val="(%1)"/>
      <w:numFmt w:val="lowerLetter"/>
      <w:start w:val="10"/>
    </w:lvl>
  </w:abstractNum>
  <w:abstractNum w:abstractNumId="724">
    <w:nsid w:val="124A2DF8"/>
    <w:multiLevelType w:val="hybridMultilevel"/>
    <w:lvl w:ilvl="0">
      <w:lvlJc w:val="left"/>
      <w:lvlText w:val="%1"/>
      <w:numFmt w:val="lowerLetter"/>
      <w:start w:val="1"/>
    </w:lvl>
    <w:lvl w:ilvl="1">
      <w:lvlJc w:val="left"/>
      <w:lvlText w:val="(%2)"/>
      <w:numFmt w:val="lowerLetter"/>
      <w:start w:val="1"/>
    </w:lvl>
  </w:abstractNum>
  <w:abstractNum w:abstractNumId="725">
    <w:nsid w:val="2A26C828"/>
    <w:multiLevelType w:val="hybridMultilevel"/>
    <w:lvl w:ilvl="0">
      <w:lvlJc w:val="left"/>
      <w:lvlText w:val="(%1)"/>
      <w:numFmt w:val="lowerLetter"/>
      <w:start w:val="6"/>
    </w:lvl>
    <w:lvl w:ilvl="1">
      <w:lvlJc w:val="left"/>
      <w:lvlText w:val="%2"/>
      <w:numFmt w:val="lowerLetter"/>
      <w:start w:val="1"/>
    </w:lvl>
  </w:abstractNum>
  <w:abstractNum w:abstractNumId="726">
    <w:nsid w:val="7FE72292"/>
    <w:multiLevelType w:val="hybridMultilevel"/>
    <w:lvl w:ilvl="0">
      <w:lvlJc w:val="left"/>
      <w:lvlText w:val="(%1)"/>
      <w:numFmt w:val="lowerLetter"/>
      <w:start w:val="24"/>
    </w:lvl>
    <w:lvl w:ilvl="1">
      <w:lvlJc w:val="left"/>
      <w:lvlText w:val="(%2)"/>
      <w:numFmt w:val="lowerLetter"/>
      <w:start w:val="7"/>
    </w:lvl>
  </w:abstractNum>
  <w:abstractNum w:abstractNumId="727">
    <w:nsid w:val="60C94A46"/>
    <w:multiLevelType w:val="hybridMultilevel"/>
    <w:lvl w:ilvl="0">
      <w:lvlJc w:val="left"/>
      <w:lvlText w:val="1"/>
      <w:numFmt w:val="bullet"/>
      <w:start w:val="1"/>
    </w:lvl>
  </w:abstractNum>
  <w:abstractNum w:abstractNumId="728">
    <w:nsid w:val="69D9E7A"/>
    <w:multiLevelType w:val="hybridMultilevel"/>
    <w:lvl w:ilvl="0">
      <w:lvlJc w:val="left"/>
      <w:lvlText w:val="2"/>
      <w:numFmt w:val="bullet"/>
      <w:start w:val="1"/>
    </w:lvl>
  </w:abstractNum>
  <w:abstractNum w:abstractNumId="729">
    <w:nsid w:val="7F056040"/>
    <w:multiLevelType w:val="hybridMultilevel"/>
    <w:lvl w:ilvl="0">
      <w:lvlJc w:val="left"/>
      <w:lvlText w:val="(%1)"/>
      <w:numFmt w:val="lowerLetter"/>
      <w:start w:val="9"/>
    </w:lvl>
    <w:lvl w:ilvl="1">
      <w:lvlJc w:val="left"/>
      <w:lvlText w:val="(%2)"/>
      <w:numFmt w:val="lowerRoman"/>
      <w:start w:val="1"/>
    </w:lvl>
  </w:abstractNum>
  <w:abstractNum w:abstractNumId="730">
    <w:nsid w:val="1D701BFF"/>
    <w:multiLevelType w:val="hybridMultilevel"/>
    <w:lvl w:ilvl="0">
      <w:lvlJc w:val="left"/>
      <w:lvlText w:val="(%1)"/>
      <w:numFmt w:val="lowerLetter"/>
      <w:start w:val="15"/>
    </w:lvl>
  </w:abstractNum>
  <w:abstractNum w:abstractNumId="731">
    <w:nsid w:val="4A12EC3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732">
    <w:nsid w:val="3F35DD67"/>
    <w:multiLevelType w:val="hybridMultilevel"/>
    <w:lvl w:ilvl="0">
      <w:lvlJc w:val="left"/>
      <w:lvlText w:val="%1"/>
      <w:numFmt w:val="lowerLetter"/>
      <w:start w:val="1"/>
    </w:lvl>
    <w:lvl w:ilvl="1">
      <w:lvlJc w:val="left"/>
      <w:lvlText w:val="(%2)"/>
      <w:numFmt w:val="lowerRoman"/>
      <w:start w:val="3"/>
    </w:lvl>
  </w:abstractNum>
  <w:abstractNum w:abstractNumId="733">
    <w:nsid w:val="2B66AC12"/>
    <w:multiLevelType w:val="hybridMultilevel"/>
    <w:lvl w:ilvl="0">
      <w:lvlJc w:val="left"/>
      <w:lvlText w:val="(%1)"/>
      <w:numFmt w:val="lowerLetter"/>
      <w:start w:val="2"/>
    </w:lvl>
    <w:lvl w:ilvl="1">
      <w:lvlJc w:val="left"/>
      <w:lvlText w:val="%2"/>
      <w:numFmt w:val="lowerRoman"/>
      <w:start w:val="1"/>
    </w:lvl>
  </w:abstractNum>
  <w:abstractNum w:abstractNumId="734">
    <w:nsid w:val="59F12779"/>
    <w:multiLevelType w:val="hybridMultilevel"/>
    <w:lvl w:ilvl="0">
      <w:lvlJc w:val="left"/>
      <w:lvlText w:val="(%1)"/>
      <w:numFmt w:val="lowerLetter"/>
      <w:start w:val="1"/>
    </w:lvl>
  </w:abstractNum>
  <w:abstractNum w:abstractNumId="735">
    <w:nsid w:val="452528CB"/>
    <w:multiLevelType w:val="hybridMultilevel"/>
    <w:lvl w:ilvl="0">
      <w:lvlJc w:val="left"/>
      <w:lvlText w:val="(%1)"/>
      <w:numFmt w:val="lowerLetter"/>
      <w:start w:val="2"/>
    </w:lvl>
  </w:abstractNum>
  <w:abstractNum w:abstractNumId="736">
    <w:nsid w:val="4FBE108E"/>
    <w:multiLevelType w:val="hybridMultilevel"/>
    <w:lvl w:ilvl="0">
      <w:lvlJc w:val="left"/>
      <w:lvlText w:val="(%1)"/>
      <w:numFmt w:val="lowerLetter"/>
      <w:start w:val="4"/>
    </w:lvl>
  </w:abstractNum>
  <w:abstractNum w:abstractNumId="737">
    <w:nsid w:val="60602E62"/>
    <w:multiLevelType w:val="hybridMultilevel"/>
    <w:lvl w:ilvl="0">
      <w:lvlJc w:val="left"/>
      <w:lvlText w:val="(%1)"/>
      <w:numFmt w:val="lowerLetter"/>
      <w:start w:val="2"/>
    </w:lvl>
  </w:abstractNum>
  <w:abstractNum w:abstractNumId="738">
    <w:nsid w:val="47D0D402"/>
    <w:multiLevelType w:val="hybridMultilevel"/>
    <w:lvl w:ilvl="0">
      <w:lvlJc w:val="left"/>
      <w:lvlText w:val="(%1)"/>
      <w:numFmt w:val="lowerLetter"/>
      <w:start w:val="1"/>
    </w:lvl>
  </w:abstractNum>
  <w:abstractNum w:abstractNumId="739">
    <w:nsid w:val="D1CD93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0">
    <w:nsid w:val="12552B10"/>
    <w:multiLevelType w:val="hybridMultilevel"/>
    <w:lvl w:ilvl="0">
      <w:lvlJc w:val="left"/>
      <w:lvlText w:val="%1"/>
      <w:numFmt w:val="lowerLetter"/>
      <w:start w:val="1"/>
    </w:lvl>
    <w:lvl w:ilvl="1">
      <w:lvlJc w:val="left"/>
      <w:lvlText w:val="(%2)"/>
      <w:numFmt w:val="decimal"/>
      <w:start w:val="2"/>
    </w:lvl>
  </w:abstractNum>
  <w:abstractNum w:abstractNumId="741">
    <w:nsid w:val="F4E8872"/>
    <w:multiLevelType w:val="hybridMultilevel"/>
    <w:lvl w:ilvl="0">
      <w:lvlJc w:val="left"/>
      <w:lvlText w:val="(%1)"/>
      <w:numFmt w:val="lowerLetter"/>
      <w:start w:val="3"/>
    </w:lvl>
    <w:lvl w:ilvl="1">
      <w:lvlJc w:val="left"/>
      <w:lvlText w:val="%2"/>
      <w:numFmt w:val="decimal"/>
      <w:start w:val="1"/>
    </w:lvl>
  </w:abstractNum>
  <w:abstractNum w:abstractNumId="742">
    <w:nsid w:val="5CF24B45"/>
    <w:multiLevelType w:val="hybridMultilevel"/>
    <w:lvl w:ilvl="0">
      <w:lvlJc w:val="left"/>
      <w:lvlText w:val="(%1)"/>
      <w:numFmt w:val="lowerLetter"/>
      <w:start w:val="4"/>
    </w:lvl>
  </w:abstractNum>
  <w:abstractNum w:abstractNumId="743">
    <w:nsid w:val="5F91BE56"/>
    <w:multiLevelType w:val="hybridMultilevel"/>
    <w:lvl w:ilvl="0">
      <w:lvlJc w:val="left"/>
      <w:lvlText w:val="(%1)"/>
      <w:numFmt w:val="lowerLetter"/>
      <w:start w:val="6"/>
    </w:lvl>
  </w:abstractNum>
  <w:abstractNum w:abstractNumId="744">
    <w:nsid w:val="3C3F0BFD"/>
    <w:multiLevelType w:val="hybridMultilevel"/>
    <w:lvl w:ilvl="0">
      <w:lvlJc w:val="left"/>
      <w:lvlText w:val="%1"/>
      <w:numFmt w:val="lowerRoman"/>
      <w:start w:val="1"/>
    </w:lvl>
    <w:lvl w:ilvl="1">
      <w:lvlJc w:val="left"/>
      <w:lvlText w:val="(%2)"/>
      <w:numFmt w:val="lowerLetter"/>
      <w:start w:val="1"/>
    </w:lvl>
  </w:abstractNum>
  <w:abstractNum w:abstractNumId="745">
    <w:nsid w:val="1B15D96C"/>
    <w:multiLevelType w:val="hybridMultilevel"/>
    <w:lvl w:ilvl="0">
      <w:lvlJc w:val="left"/>
      <w:lvlText w:val="(%1)"/>
      <w:numFmt w:val="lowerRoman"/>
      <w:start w:val="4"/>
    </w:lvl>
    <w:lvl w:ilvl="1">
      <w:lvlJc w:val="left"/>
      <w:lvlText w:val="(%2)"/>
      <w:numFmt w:val="lowerLetter"/>
      <w:start w:val="2"/>
    </w:lvl>
  </w:abstractNum>
  <w:abstractNum w:abstractNumId="746">
    <w:nsid w:val="7B469A23"/>
    <w:multiLevelType w:val="hybridMultilevel"/>
    <w:lvl w:ilvl="0">
      <w:lvlJc w:val="left"/>
      <w:lvlText w:val="(%1)"/>
      <w:numFmt w:val="lowerLetter"/>
      <w:start w:val="1"/>
    </w:lvl>
  </w:abstractNum>
  <w:abstractNum w:abstractNumId="747">
    <w:nsid w:val="21DCDBA0"/>
    <w:multiLevelType w:val="hybridMultilevel"/>
    <w:lvl w:ilvl="0">
      <w:lvlJc w:val="left"/>
      <w:lvlText w:val="(%1)"/>
      <w:numFmt w:val="lowerLetter"/>
      <w:start w:val="2"/>
    </w:lvl>
  </w:abstractNum>
  <w:abstractNum w:abstractNumId="748">
    <w:nsid w:val="220655C4"/>
    <w:multiLevelType w:val="hybridMultilevel"/>
    <w:lvl w:ilvl="0">
      <w:lvlJc w:val="left"/>
      <w:lvlText w:val="(%1)"/>
      <w:numFmt w:val="lowerLetter"/>
      <w:start w:val="1"/>
    </w:lvl>
  </w:abstractNum>
  <w:abstractNum w:abstractNumId="749">
    <w:nsid w:val="5CE60F5E"/>
    <w:multiLevelType w:val="hybridMultilevel"/>
    <w:lvl w:ilvl="0">
      <w:lvlJc w:val="left"/>
      <w:lvlText w:val="(%1)"/>
      <w:numFmt w:val="lowerLetter"/>
      <w:start w:val="2"/>
    </w:lvl>
  </w:abstractNum>
  <w:abstractNum w:abstractNumId="750">
    <w:nsid w:val="4B9A6638"/>
    <w:multiLevelType w:val="hybridMultilevel"/>
    <w:lvl w:ilvl="0">
      <w:lvlJc w:val="left"/>
      <w:lvlText w:val="•"/>
      <w:numFmt w:val="bullet"/>
      <w:start w:val="1"/>
    </w:lvl>
  </w:abstractNum>
  <w:abstractNum w:abstractNumId="751">
    <w:nsid w:val="2822BCA7"/>
    <w:multiLevelType w:val="hybridMultilevel"/>
    <w:lvl w:ilvl="0">
      <w:lvlJc w:val="left"/>
      <w:lvlText w:val="(%1)"/>
      <w:numFmt w:val="decimal"/>
      <w:start w:val="1"/>
    </w:lvl>
  </w:abstractNum>
  <w:abstractNum w:abstractNumId="752">
    <w:nsid w:val="46182E75"/>
    <w:multiLevelType w:val="hybridMultilevel"/>
    <w:lvl w:ilvl="0">
      <w:lvlJc w:val="left"/>
      <w:lvlText w:val="(%1)"/>
      <w:numFmt w:val="lowerLetter"/>
      <w:start w:val="3"/>
    </w:lvl>
  </w:abstractNum>
  <w:abstractNum w:abstractNumId="753">
    <w:nsid w:val="79311D4C"/>
    <w:multiLevelType w:val="hybridMultilevel"/>
    <w:lvl w:ilvl="0">
      <w:lvlJc w:val="left"/>
      <w:lvlText w:val="%1."/>
      <w:numFmt w:val="decimal"/>
      <w:start w:val="1"/>
    </w:lvl>
  </w:abstractNum>
  <w:abstractNum w:abstractNumId="754">
    <w:nsid w:val="6599B689"/>
    <w:multiLevelType w:val="hybridMultilevel"/>
    <w:lvl w:ilvl="0">
      <w:lvlJc w:val="left"/>
      <w:lvlText w:val="%1."/>
      <w:numFmt w:val="decimal"/>
      <w:start w:val="1"/>
    </w:lvl>
    <w:lvl w:ilvl="1">
      <w:lvlJc w:val="left"/>
      <w:lvlText w:val="(%2)"/>
      <w:numFmt w:val="lowerLetter"/>
      <w:start w:val="1"/>
    </w:lvl>
  </w:abstractNum>
  <w:abstractNum w:abstractNumId="755">
    <w:nsid w:val="58625C6D"/>
    <w:multiLevelType w:val="hybridMultilevel"/>
    <w:lvl w:ilvl="0">
      <w:lvlJc w:val="left"/>
      <w:lvlText w:val="%1."/>
      <w:numFmt w:val="decimal"/>
      <w:start w:val="1"/>
    </w:lvl>
    <w:lvl w:ilvl="1">
      <w:lvlJc w:val="left"/>
      <w:lvlText w:val="(%2)"/>
      <w:numFmt w:val="lowerLetter"/>
      <w:start w:val="1"/>
    </w:lvl>
  </w:abstractNum>
  <w:abstractNum w:abstractNumId="756">
    <w:nsid w:val="2357E574"/>
    <w:multiLevelType w:val="hybridMultilevel"/>
    <w:lvl w:ilvl="0">
      <w:lvlJc w:val="left"/>
      <w:lvlText w:val="%1."/>
      <w:numFmt w:val="decimal"/>
      <w:start w:val="1"/>
    </w:lvl>
  </w:abstractNum>
  <w:abstractNum w:abstractNumId="757">
    <w:nsid w:val="6580D91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4" Type="http://schemas.openxmlformats.org/officeDocument/2006/relationships/image" Target="media/image159.png"/><Relationship Id="rId183" Type="http://schemas.openxmlformats.org/officeDocument/2006/relationships/image" Target="media/image160.png"/><Relationship Id="rId194"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jpeg"/><Relationship Id="rId253" Type="http://schemas.openxmlformats.org/officeDocument/2006/relationships/image" Target="media/image215.png"/><Relationship Id="rId254" Type="http://schemas.openxmlformats.org/officeDocument/2006/relationships/image" Target="media/image216.jpeg"/><Relationship Id="rId255" Type="http://schemas.openxmlformats.org/officeDocument/2006/relationships/image" Target="media/image217.png"/><Relationship Id="rId256" Type="http://schemas.openxmlformats.org/officeDocument/2006/relationships/image" Target="media/image218.jpeg"/><Relationship Id="rId257" Type="http://schemas.openxmlformats.org/officeDocument/2006/relationships/image" Target="media/image219.png"/><Relationship Id="rId258" Type="http://schemas.openxmlformats.org/officeDocument/2006/relationships/image" Target="media/image220.jpeg"/><Relationship Id="rId259" Type="http://schemas.openxmlformats.org/officeDocument/2006/relationships/image" Target="media/image221.png"/><Relationship Id="rId260" Type="http://schemas.openxmlformats.org/officeDocument/2006/relationships/image" Target="media/image222.jpeg"/><Relationship Id="rId261" Type="http://schemas.openxmlformats.org/officeDocument/2006/relationships/image" Target="media/image223.png"/><Relationship Id="rId262" Type="http://schemas.openxmlformats.org/officeDocument/2006/relationships/image" Target="media/image224.jpeg"/><Relationship Id="rId263" Type="http://schemas.openxmlformats.org/officeDocument/2006/relationships/image" Target="media/image225.png"/><Relationship Id="rId264" Type="http://schemas.openxmlformats.org/officeDocument/2006/relationships/image" Target="media/image226.jpeg"/><Relationship Id="rId265" Type="http://schemas.openxmlformats.org/officeDocument/2006/relationships/image" Target="media/image227.png"/><Relationship Id="rId266" Type="http://schemas.openxmlformats.org/officeDocument/2006/relationships/image" Target="media/image228.jpeg"/><Relationship Id="rId267" Type="http://schemas.openxmlformats.org/officeDocument/2006/relationships/image" Target="media/image229.png"/><Relationship Id="rId268" Type="http://schemas.openxmlformats.org/officeDocument/2006/relationships/image" Target="media/image230.jpeg"/><Relationship Id="rId269" Type="http://schemas.openxmlformats.org/officeDocument/2006/relationships/image" Target="media/image231.png"/><Relationship Id="rId270" Type="http://schemas.openxmlformats.org/officeDocument/2006/relationships/image" Target="media/image232.jpeg"/><Relationship Id="rId271" Type="http://schemas.openxmlformats.org/officeDocument/2006/relationships/image" Target="media/image233.png"/><Relationship Id="rId272" Type="http://schemas.openxmlformats.org/officeDocument/2006/relationships/image" Target="media/image234.jpeg"/><Relationship Id="rId273" Type="http://schemas.openxmlformats.org/officeDocument/2006/relationships/image" Target="media/image235.png"/><Relationship Id="rId274" Type="http://schemas.openxmlformats.org/officeDocument/2006/relationships/image" Target="media/image236.jpeg"/><Relationship Id="rId275" Type="http://schemas.openxmlformats.org/officeDocument/2006/relationships/image" Target="media/image237.png"/><Relationship Id="rId276" Type="http://schemas.openxmlformats.org/officeDocument/2006/relationships/image" Target="media/image238.jpeg"/><Relationship Id="rId277" Type="http://schemas.openxmlformats.org/officeDocument/2006/relationships/image" Target="media/image239.png"/><Relationship Id="rId278" Type="http://schemas.openxmlformats.org/officeDocument/2006/relationships/image" Target="media/image240.jpeg"/><Relationship Id="rId279" Type="http://schemas.openxmlformats.org/officeDocument/2006/relationships/image" Target="media/image241.png"/><Relationship Id="rId280" Type="http://schemas.openxmlformats.org/officeDocument/2006/relationships/image" Target="media/image242.jpeg"/><Relationship Id="rId281" Type="http://schemas.openxmlformats.org/officeDocument/2006/relationships/image" Target="media/image243.png"/><Relationship Id="rId282" Type="http://schemas.openxmlformats.org/officeDocument/2006/relationships/image" Target="media/image244.jpeg"/><Relationship Id="rId283" Type="http://schemas.openxmlformats.org/officeDocument/2006/relationships/image" Target="media/image245.png"/><Relationship Id="rId284" Type="http://schemas.openxmlformats.org/officeDocument/2006/relationships/image" Target="media/image246.jpeg"/><Relationship Id="rId285" Type="http://schemas.openxmlformats.org/officeDocument/2006/relationships/image" Target="media/image247.png"/><Relationship Id="rId286" Type="http://schemas.openxmlformats.org/officeDocument/2006/relationships/image" Target="media/image248.jpeg"/><Relationship Id="rId287" Type="http://schemas.openxmlformats.org/officeDocument/2006/relationships/image" Target="media/image249.png"/><Relationship Id="rId288" Type="http://schemas.openxmlformats.org/officeDocument/2006/relationships/image" Target="media/image250.jpeg"/><Relationship Id="rId289" Type="http://schemas.openxmlformats.org/officeDocument/2006/relationships/image" Target="media/image251.png"/><Relationship Id="rId290" Type="http://schemas.openxmlformats.org/officeDocument/2006/relationships/image" Target="media/image252.jpeg"/><Relationship Id="rId291" Type="http://schemas.openxmlformats.org/officeDocument/2006/relationships/image" Target="media/image253.png"/><Relationship Id="rId292" Type="http://schemas.openxmlformats.org/officeDocument/2006/relationships/image" Target="media/image254.jpeg"/><Relationship Id="rId293" Type="http://schemas.openxmlformats.org/officeDocument/2006/relationships/image" Target="media/image255.png"/><Relationship Id="rId294" Type="http://schemas.openxmlformats.org/officeDocument/2006/relationships/image" Target="media/image256.jpeg"/><Relationship Id="rId295" Type="http://schemas.openxmlformats.org/officeDocument/2006/relationships/image" Target="media/image257.png"/><Relationship Id="rId296" Type="http://schemas.openxmlformats.org/officeDocument/2006/relationships/image" Target="media/image258.jpeg"/><Relationship Id="rId297" Type="http://schemas.openxmlformats.org/officeDocument/2006/relationships/image" Target="media/image259.png"/><Relationship Id="rId298" Type="http://schemas.openxmlformats.org/officeDocument/2006/relationships/image" Target="media/image260.jpeg"/><Relationship Id="rId299" Type="http://schemas.openxmlformats.org/officeDocument/2006/relationships/image" Target="media/image261.png"/><Relationship Id="rId300" Type="http://schemas.openxmlformats.org/officeDocument/2006/relationships/image" Target="media/image262.jpeg"/><Relationship Id="rId301" Type="http://schemas.openxmlformats.org/officeDocument/2006/relationships/image" Target="media/image263.png"/><Relationship Id="rId302" Type="http://schemas.openxmlformats.org/officeDocument/2006/relationships/image" Target="media/image264.jpeg"/><Relationship Id="rId303" Type="http://schemas.openxmlformats.org/officeDocument/2006/relationships/image" Target="media/image265.png"/><Relationship Id="rId304" Type="http://schemas.openxmlformats.org/officeDocument/2006/relationships/image" Target="media/image266.jpeg"/><Relationship Id="rId305" Type="http://schemas.openxmlformats.org/officeDocument/2006/relationships/image" Target="media/image267.png"/><Relationship Id="rId306" Type="http://schemas.openxmlformats.org/officeDocument/2006/relationships/image" Target="media/image268.jpeg"/><Relationship Id="rId307" Type="http://schemas.openxmlformats.org/officeDocument/2006/relationships/image" Target="media/image269.png"/><Relationship Id="rId308" Type="http://schemas.openxmlformats.org/officeDocument/2006/relationships/image" Target="media/image270.jpeg"/><Relationship Id="rId309" Type="http://schemas.openxmlformats.org/officeDocument/2006/relationships/image" Target="media/image271.png"/><Relationship Id="rId310" Type="http://schemas.openxmlformats.org/officeDocument/2006/relationships/image" Target="media/image272.jpeg"/><Relationship Id="rId311" Type="http://schemas.openxmlformats.org/officeDocument/2006/relationships/image" Target="media/image273.png"/><Relationship Id="rId312" Type="http://schemas.openxmlformats.org/officeDocument/2006/relationships/image" Target="media/image274.jpeg"/><Relationship Id="rId313" Type="http://schemas.openxmlformats.org/officeDocument/2006/relationships/image" Target="media/image275.png"/><Relationship Id="rId314" Type="http://schemas.openxmlformats.org/officeDocument/2006/relationships/image" Target="media/image276.jpeg"/><Relationship Id="rId315" Type="http://schemas.openxmlformats.org/officeDocument/2006/relationships/image" Target="media/image277.png"/><Relationship Id="rId316" Type="http://schemas.openxmlformats.org/officeDocument/2006/relationships/image" Target="media/image278.jpeg"/><Relationship Id="rId317" Type="http://schemas.openxmlformats.org/officeDocument/2006/relationships/image" Target="media/image279.png"/><Relationship Id="rId318" Type="http://schemas.openxmlformats.org/officeDocument/2006/relationships/image" Target="media/image280.jpeg"/><Relationship Id="rId319" Type="http://schemas.openxmlformats.org/officeDocument/2006/relationships/image" Target="media/image281.png"/><Relationship Id="rId320" Type="http://schemas.openxmlformats.org/officeDocument/2006/relationships/image" Target="media/image282.jpeg"/><Relationship Id="rId321" Type="http://schemas.openxmlformats.org/officeDocument/2006/relationships/image" Target="media/image283.png"/><Relationship Id="rId322" Type="http://schemas.openxmlformats.org/officeDocument/2006/relationships/image" Target="media/image284.jpeg"/><Relationship Id="rId323" Type="http://schemas.openxmlformats.org/officeDocument/2006/relationships/image" Target="media/image285.png"/><Relationship Id="rId324" Type="http://schemas.openxmlformats.org/officeDocument/2006/relationships/image" Target="media/image286.jpeg"/><Relationship Id="rId325" Type="http://schemas.openxmlformats.org/officeDocument/2006/relationships/image" Target="media/image287.png"/><Relationship Id="rId326" Type="http://schemas.openxmlformats.org/officeDocument/2006/relationships/image" Target="media/image288.jpeg"/><Relationship Id="rId327" Type="http://schemas.openxmlformats.org/officeDocument/2006/relationships/image" Target="media/image289.png"/><Relationship Id="rId328" Type="http://schemas.openxmlformats.org/officeDocument/2006/relationships/image" Target="media/image290.jpeg"/><Relationship Id="rId329" Type="http://schemas.openxmlformats.org/officeDocument/2006/relationships/image" Target="media/image291.png"/><Relationship Id="rId330" Type="http://schemas.openxmlformats.org/officeDocument/2006/relationships/image" Target="media/image292.jpeg"/><Relationship Id="rId331" Type="http://schemas.openxmlformats.org/officeDocument/2006/relationships/image" Target="media/image293.png"/><Relationship Id="rId332" Type="http://schemas.openxmlformats.org/officeDocument/2006/relationships/image" Target="media/image294.jpeg"/><Relationship Id="rId333" Type="http://schemas.openxmlformats.org/officeDocument/2006/relationships/image" Target="media/image295.png"/><Relationship Id="rId334" Type="http://schemas.openxmlformats.org/officeDocument/2006/relationships/image" Target="media/image296.jpeg"/><Relationship Id="rId335" Type="http://schemas.openxmlformats.org/officeDocument/2006/relationships/image" Target="media/image297.png"/><Relationship Id="rId336" Type="http://schemas.openxmlformats.org/officeDocument/2006/relationships/image" Target="media/image298.jpeg"/><Relationship Id="rId337" Type="http://schemas.openxmlformats.org/officeDocument/2006/relationships/image" Target="media/image299.png"/><Relationship Id="rId338" Type="http://schemas.openxmlformats.org/officeDocument/2006/relationships/image" Target="media/image300.jpeg"/><Relationship Id="rId339" Type="http://schemas.openxmlformats.org/officeDocument/2006/relationships/image" Target="media/image301.png"/><Relationship Id="rId340" Type="http://schemas.openxmlformats.org/officeDocument/2006/relationships/image" Target="media/image302.jpeg"/><Relationship Id="rId341" Type="http://schemas.openxmlformats.org/officeDocument/2006/relationships/image" Target="media/image303.jpe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jpe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463" Type="http://schemas.openxmlformats.org/officeDocument/2006/relationships/image" Target="media/image425.png"/><Relationship Id="rId464" Type="http://schemas.openxmlformats.org/officeDocument/2006/relationships/image" Target="media/image426.png"/><Relationship Id="rId465" Type="http://schemas.openxmlformats.org/officeDocument/2006/relationships/image" Target="media/image427.png"/><Relationship Id="rId466" Type="http://schemas.openxmlformats.org/officeDocument/2006/relationships/image" Target="media/image428.png"/><Relationship Id="rId467" Type="http://schemas.openxmlformats.org/officeDocument/2006/relationships/image" Target="media/image429.png"/><Relationship Id="rId468" Type="http://schemas.openxmlformats.org/officeDocument/2006/relationships/image" Target="media/image430.pn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517" Type="http://schemas.openxmlformats.org/officeDocument/2006/relationships/image" Target="media/image479.png"/><Relationship Id="rId518" Type="http://schemas.openxmlformats.org/officeDocument/2006/relationships/image" Target="media/image480.png"/><Relationship Id="rId519" Type="http://schemas.openxmlformats.org/officeDocument/2006/relationships/image" Target="media/image481.png"/><Relationship Id="rId520" Type="http://schemas.openxmlformats.org/officeDocument/2006/relationships/image" Target="media/image482.png"/><Relationship Id="rId521" Type="http://schemas.openxmlformats.org/officeDocument/2006/relationships/image" Target="media/image483.png"/><Relationship Id="rId522" Type="http://schemas.openxmlformats.org/officeDocument/2006/relationships/image" Target="media/image484.png"/><Relationship Id="rId523" Type="http://schemas.openxmlformats.org/officeDocument/2006/relationships/image" Target="media/image485.png"/><Relationship Id="rId524" Type="http://schemas.openxmlformats.org/officeDocument/2006/relationships/image" Target="media/image486.png"/><Relationship Id="rId525" Type="http://schemas.openxmlformats.org/officeDocument/2006/relationships/image" Target="media/image487.png"/><Relationship Id="rId526" Type="http://schemas.openxmlformats.org/officeDocument/2006/relationships/image" Target="media/image488.png"/><Relationship Id="rId527" Type="http://schemas.openxmlformats.org/officeDocument/2006/relationships/image" Target="media/image489.png"/><Relationship Id="rId528" Type="http://schemas.openxmlformats.org/officeDocument/2006/relationships/image" Target="media/image490.png"/><Relationship Id="rId529" Type="http://schemas.openxmlformats.org/officeDocument/2006/relationships/image" Target="media/image491.png"/><Relationship Id="rId530" Type="http://schemas.openxmlformats.org/officeDocument/2006/relationships/image" Target="media/image492.png"/><Relationship Id="rId531" Type="http://schemas.openxmlformats.org/officeDocument/2006/relationships/image" Target="media/image493.png"/><Relationship Id="rId532" Type="http://schemas.openxmlformats.org/officeDocument/2006/relationships/image" Target="media/image494.png"/><Relationship Id="rId533" Type="http://schemas.openxmlformats.org/officeDocument/2006/relationships/image" Target="media/image495.png"/><Relationship Id="rId534" Type="http://schemas.openxmlformats.org/officeDocument/2006/relationships/image" Target="media/image496.png"/><Relationship Id="rId535" Type="http://schemas.openxmlformats.org/officeDocument/2006/relationships/image" Target="media/image497.png"/><Relationship Id="rId536" Type="http://schemas.openxmlformats.org/officeDocument/2006/relationships/image" Target="media/image498.png"/><Relationship Id="rId537" Type="http://schemas.openxmlformats.org/officeDocument/2006/relationships/image" Target="media/image499.png"/><Relationship Id="rId538" Type="http://schemas.openxmlformats.org/officeDocument/2006/relationships/image" Target="media/image500.png"/><Relationship Id="rId539" Type="http://schemas.openxmlformats.org/officeDocument/2006/relationships/image" Target="media/image501.png"/><Relationship Id="rId540" Type="http://schemas.openxmlformats.org/officeDocument/2006/relationships/image" Target="media/image502.png"/><Relationship Id="rId541" Type="http://schemas.openxmlformats.org/officeDocument/2006/relationships/image" Target="media/image503.png"/><Relationship Id="rId542" Type="http://schemas.openxmlformats.org/officeDocument/2006/relationships/image" Target="media/image504.png"/><Relationship Id="rId543" Type="http://schemas.openxmlformats.org/officeDocument/2006/relationships/image" Target="media/image505.png"/><Relationship Id="rId544" Type="http://schemas.openxmlformats.org/officeDocument/2006/relationships/image" Target="media/image506.png"/><Relationship Id="rId545" Type="http://schemas.openxmlformats.org/officeDocument/2006/relationships/image" Target="media/image507.png"/><Relationship Id="rId546" Type="http://schemas.openxmlformats.org/officeDocument/2006/relationships/image" Target="media/image508.png"/><Relationship Id="rId547" Type="http://schemas.openxmlformats.org/officeDocument/2006/relationships/image" Target="media/image509.png"/><Relationship Id="rId548" Type="http://schemas.openxmlformats.org/officeDocument/2006/relationships/image" Target="media/image510.png"/><Relationship Id="rId549" Type="http://schemas.openxmlformats.org/officeDocument/2006/relationships/image" Target="media/image511.png"/><Relationship Id="rId550" Type="http://schemas.openxmlformats.org/officeDocument/2006/relationships/image" Target="media/image512.png"/><Relationship Id="rId551" Type="http://schemas.openxmlformats.org/officeDocument/2006/relationships/image" Target="media/image513.png"/><Relationship Id="rId552" Type="http://schemas.openxmlformats.org/officeDocument/2006/relationships/image" Target="media/image514.png"/><Relationship Id="rId553" Type="http://schemas.openxmlformats.org/officeDocument/2006/relationships/image" Target="media/image515.png"/><Relationship Id="rId554" Type="http://schemas.openxmlformats.org/officeDocument/2006/relationships/image" Target="media/image516.png"/><Relationship Id="rId555" Type="http://schemas.openxmlformats.org/officeDocument/2006/relationships/image" Target="media/image517.png"/><Relationship Id="rId556" Type="http://schemas.openxmlformats.org/officeDocument/2006/relationships/image" Target="media/image518.png"/><Relationship Id="rId557" Type="http://schemas.openxmlformats.org/officeDocument/2006/relationships/image" Target="media/image519.png"/><Relationship Id="rId558" Type="http://schemas.openxmlformats.org/officeDocument/2006/relationships/image" Target="media/image520.png"/><Relationship Id="rId559" Type="http://schemas.openxmlformats.org/officeDocument/2006/relationships/image" Target="media/image521.png"/><Relationship Id="rId560" Type="http://schemas.openxmlformats.org/officeDocument/2006/relationships/image" Target="media/image522.png"/><Relationship Id="rId561" Type="http://schemas.openxmlformats.org/officeDocument/2006/relationships/image" Target="media/image523.png"/><Relationship Id="rId562" Type="http://schemas.openxmlformats.org/officeDocument/2006/relationships/image" Target="media/image524.png"/><Relationship Id="rId563" Type="http://schemas.openxmlformats.org/officeDocument/2006/relationships/image" Target="media/image525.png"/><Relationship Id="rId564" Type="http://schemas.openxmlformats.org/officeDocument/2006/relationships/image" Target="media/image526.png"/><Relationship Id="rId565" Type="http://schemas.openxmlformats.org/officeDocument/2006/relationships/image" Target="media/image527.png"/><Relationship Id="rId566" Type="http://schemas.openxmlformats.org/officeDocument/2006/relationships/image" Target="media/image528.png"/><Relationship Id="rId567" Type="http://schemas.openxmlformats.org/officeDocument/2006/relationships/image" Target="media/image529.png"/><Relationship Id="rId568" Type="http://schemas.openxmlformats.org/officeDocument/2006/relationships/image" Target="media/image530.png"/><Relationship Id="rId569" Type="http://schemas.openxmlformats.org/officeDocument/2006/relationships/image" Target="media/image531.png"/><Relationship Id="rId570" Type="http://schemas.openxmlformats.org/officeDocument/2006/relationships/image" Target="media/image532.png"/><Relationship Id="rId571" Type="http://schemas.openxmlformats.org/officeDocument/2006/relationships/image" Target="media/image533.png"/><Relationship Id="rId572" Type="http://schemas.openxmlformats.org/officeDocument/2006/relationships/image" Target="media/image534.png"/><Relationship Id="rId573" Type="http://schemas.openxmlformats.org/officeDocument/2006/relationships/image" Target="media/image535.png"/><Relationship Id="rId574" Type="http://schemas.openxmlformats.org/officeDocument/2006/relationships/image" Target="media/image536.png"/><Relationship Id="rId575" Type="http://schemas.openxmlformats.org/officeDocument/2006/relationships/image" Target="media/image537.png"/><Relationship Id="rId576" Type="http://schemas.openxmlformats.org/officeDocument/2006/relationships/image" Target="media/image538.png"/><Relationship Id="rId577" Type="http://schemas.openxmlformats.org/officeDocument/2006/relationships/image" Target="media/image539.png"/><Relationship Id="rId578" Type="http://schemas.openxmlformats.org/officeDocument/2006/relationships/image" Target="media/image540.png"/><Relationship Id="rId579" Type="http://schemas.openxmlformats.org/officeDocument/2006/relationships/image" Target="media/image541.png"/><Relationship Id="rId580" Type="http://schemas.openxmlformats.org/officeDocument/2006/relationships/image" Target="media/image542.png"/><Relationship Id="rId581" Type="http://schemas.openxmlformats.org/officeDocument/2006/relationships/image" Target="media/image543.png"/><Relationship Id="rId582" Type="http://schemas.openxmlformats.org/officeDocument/2006/relationships/image" Target="media/image544.png"/><Relationship Id="rId583" Type="http://schemas.openxmlformats.org/officeDocument/2006/relationships/image" Target="media/image545.png"/><Relationship Id="rId584" Type="http://schemas.openxmlformats.org/officeDocument/2006/relationships/image" Target="media/image546.png"/><Relationship Id="rId585" Type="http://schemas.openxmlformats.org/officeDocument/2006/relationships/image" Target="media/image547.png"/><Relationship Id="rId586" Type="http://schemas.openxmlformats.org/officeDocument/2006/relationships/image" Target="media/image548.png"/><Relationship Id="rId587" Type="http://schemas.openxmlformats.org/officeDocument/2006/relationships/image" Target="media/image549.png"/><Relationship Id="rId588" Type="http://schemas.openxmlformats.org/officeDocument/2006/relationships/image" Target="media/image550.png"/><Relationship Id="rId589" Type="http://schemas.openxmlformats.org/officeDocument/2006/relationships/image" Target="media/image551.png"/><Relationship Id="rId590" Type="http://schemas.openxmlformats.org/officeDocument/2006/relationships/image" Target="media/image552.png"/><Relationship Id="rId591" Type="http://schemas.openxmlformats.org/officeDocument/2006/relationships/image" Target="media/image553.png"/><Relationship Id="rId592" Type="http://schemas.openxmlformats.org/officeDocument/2006/relationships/image" Target="media/image554.png"/><Relationship Id="rId593" Type="http://schemas.openxmlformats.org/officeDocument/2006/relationships/image" Target="media/image555.png"/><Relationship Id="rId594" Type="http://schemas.openxmlformats.org/officeDocument/2006/relationships/image" Target="media/image556.png"/><Relationship Id="rId595" Type="http://schemas.openxmlformats.org/officeDocument/2006/relationships/image" Target="media/image557.png"/><Relationship Id="rId596" Type="http://schemas.openxmlformats.org/officeDocument/2006/relationships/image" Target="media/image558.png"/><Relationship Id="rId597" Type="http://schemas.openxmlformats.org/officeDocument/2006/relationships/image" Target="media/image559.png"/><Relationship Id="rId598" Type="http://schemas.openxmlformats.org/officeDocument/2006/relationships/image" Target="media/image560.png"/><Relationship Id="rId599" Type="http://schemas.openxmlformats.org/officeDocument/2006/relationships/image" Target="media/image561.png"/><Relationship Id="rId600" Type="http://schemas.openxmlformats.org/officeDocument/2006/relationships/image" Target="media/image562.png"/><Relationship Id="rId601" Type="http://schemas.openxmlformats.org/officeDocument/2006/relationships/image" Target="media/image563.png"/><Relationship Id="rId602" Type="http://schemas.openxmlformats.org/officeDocument/2006/relationships/image" Target="media/image564.png"/><Relationship Id="rId603" Type="http://schemas.openxmlformats.org/officeDocument/2006/relationships/image" Target="media/image565.png"/><Relationship Id="rId604" Type="http://schemas.openxmlformats.org/officeDocument/2006/relationships/image" Target="media/image566.png"/><Relationship Id="rId605" Type="http://schemas.openxmlformats.org/officeDocument/2006/relationships/image" Target="media/image567.png"/><Relationship Id="rId606" Type="http://schemas.openxmlformats.org/officeDocument/2006/relationships/image" Target="media/image568.png"/><Relationship Id="rId607" Type="http://schemas.openxmlformats.org/officeDocument/2006/relationships/image" Target="media/image569.png"/><Relationship Id="rId608" Type="http://schemas.openxmlformats.org/officeDocument/2006/relationships/image" Target="media/image570.png"/><Relationship Id="rId609" Type="http://schemas.openxmlformats.org/officeDocument/2006/relationships/image" Target="media/image571.png"/><Relationship Id="rId610" Type="http://schemas.openxmlformats.org/officeDocument/2006/relationships/image" Target="media/image572.png"/><Relationship Id="rId611" Type="http://schemas.openxmlformats.org/officeDocument/2006/relationships/image" Target="media/image573.png"/><Relationship Id="rId612" Type="http://schemas.openxmlformats.org/officeDocument/2006/relationships/image" Target="media/image574.png"/><Relationship Id="rId613" Type="http://schemas.openxmlformats.org/officeDocument/2006/relationships/image" Target="media/image575.png"/><Relationship Id="rId614" Type="http://schemas.openxmlformats.org/officeDocument/2006/relationships/image" Target="media/image576.png"/><Relationship Id="rId615" Type="http://schemas.openxmlformats.org/officeDocument/2006/relationships/image" Target="media/image577.png"/><Relationship Id="rId616" Type="http://schemas.openxmlformats.org/officeDocument/2006/relationships/image" Target="media/image578.png"/><Relationship Id="rId617" Type="http://schemas.openxmlformats.org/officeDocument/2006/relationships/image" Target="media/image579.png"/><Relationship Id="rId618" Type="http://schemas.openxmlformats.org/officeDocument/2006/relationships/image" Target="media/image580.png"/><Relationship Id="rId619" Type="http://schemas.openxmlformats.org/officeDocument/2006/relationships/image" Target="media/image581.png"/><Relationship Id="rId620" Type="http://schemas.openxmlformats.org/officeDocument/2006/relationships/image" Target="media/image582.png"/><Relationship Id="rId621" Type="http://schemas.openxmlformats.org/officeDocument/2006/relationships/image" Target="media/image583.png"/><Relationship Id="rId622" Type="http://schemas.openxmlformats.org/officeDocument/2006/relationships/image" Target="media/image584.png"/><Relationship Id="rId623" Type="http://schemas.openxmlformats.org/officeDocument/2006/relationships/image" Target="media/image585.png"/><Relationship Id="rId624" Type="http://schemas.openxmlformats.org/officeDocument/2006/relationships/image" Target="media/image586.png"/><Relationship Id="rId625" Type="http://schemas.openxmlformats.org/officeDocument/2006/relationships/image" Target="media/image587.png"/><Relationship Id="rId626" Type="http://schemas.openxmlformats.org/officeDocument/2006/relationships/image" Target="media/image588.png"/><Relationship Id="rId627" Type="http://schemas.openxmlformats.org/officeDocument/2006/relationships/image" Target="media/image589.png"/><Relationship Id="rId628" Type="http://schemas.openxmlformats.org/officeDocument/2006/relationships/image" Target="media/image590.png"/><Relationship Id="rId629" Type="http://schemas.openxmlformats.org/officeDocument/2006/relationships/image" Target="media/image591.png"/><Relationship Id="rId630" Type="http://schemas.openxmlformats.org/officeDocument/2006/relationships/image" Target="media/image592.png"/><Relationship Id="rId631" Type="http://schemas.openxmlformats.org/officeDocument/2006/relationships/image" Target="media/image593.png"/><Relationship Id="rId632" Type="http://schemas.openxmlformats.org/officeDocument/2006/relationships/image" Target="media/image594.png"/><Relationship Id="rId633" Type="http://schemas.openxmlformats.org/officeDocument/2006/relationships/image" Target="media/image595.png"/><Relationship Id="rId634" Type="http://schemas.openxmlformats.org/officeDocument/2006/relationships/image" Target="media/image596.png"/><Relationship Id="rId635" Type="http://schemas.openxmlformats.org/officeDocument/2006/relationships/image" Target="media/image597.png"/><Relationship Id="rId636" Type="http://schemas.openxmlformats.org/officeDocument/2006/relationships/image" Target="media/image598.png"/><Relationship Id="rId637" Type="http://schemas.openxmlformats.org/officeDocument/2006/relationships/image" Target="media/image599.png"/><Relationship Id="rId638" Type="http://schemas.openxmlformats.org/officeDocument/2006/relationships/image" Target="media/image600.png"/><Relationship Id="rId639" Type="http://schemas.openxmlformats.org/officeDocument/2006/relationships/image" Target="media/image601.png"/><Relationship Id="rId640" Type="http://schemas.openxmlformats.org/officeDocument/2006/relationships/image" Target="media/image602.png"/><Relationship Id="rId641" Type="http://schemas.openxmlformats.org/officeDocument/2006/relationships/image" Target="media/image603.png"/><Relationship Id="rId642" Type="http://schemas.openxmlformats.org/officeDocument/2006/relationships/image" Target="media/image604.png"/><Relationship Id="rId643" Type="http://schemas.openxmlformats.org/officeDocument/2006/relationships/image" Target="media/image605.png"/><Relationship Id="rId644" Type="http://schemas.openxmlformats.org/officeDocument/2006/relationships/image" Target="media/image606.png"/><Relationship Id="rId645" Type="http://schemas.openxmlformats.org/officeDocument/2006/relationships/image" Target="media/image607.png"/><Relationship Id="rId646" Type="http://schemas.openxmlformats.org/officeDocument/2006/relationships/image" Target="media/image608.png"/><Relationship Id="rId647" Type="http://schemas.openxmlformats.org/officeDocument/2006/relationships/image" Target="media/image609.png"/><Relationship Id="rId648" Type="http://schemas.openxmlformats.org/officeDocument/2006/relationships/image" Target="media/image610.png"/><Relationship Id="rId649" Type="http://schemas.openxmlformats.org/officeDocument/2006/relationships/image" Target="media/image611.png"/><Relationship Id="rId650" Type="http://schemas.openxmlformats.org/officeDocument/2006/relationships/image" Target="media/image612.png"/><Relationship Id="rId651" Type="http://schemas.openxmlformats.org/officeDocument/2006/relationships/image" Target="media/image613.png"/><Relationship Id="rId652" Type="http://schemas.openxmlformats.org/officeDocument/2006/relationships/image" Target="media/image614.png"/><Relationship Id="rId653" Type="http://schemas.openxmlformats.org/officeDocument/2006/relationships/image" Target="media/image615.png"/><Relationship Id="rId654" Type="http://schemas.openxmlformats.org/officeDocument/2006/relationships/image" Target="media/image616.png"/><Relationship Id="rId655" Type="http://schemas.openxmlformats.org/officeDocument/2006/relationships/image" Target="media/image617.png"/><Relationship Id="rId656" Type="http://schemas.openxmlformats.org/officeDocument/2006/relationships/image" Target="media/image618.png"/><Relationship Id="rId657" Type="http://schemas.openxmlformats.org/officeDocument/2006/relationships/image" Target="media/image619.png"/><Relationship Id="rId658" Type="http://schemas.openxmlformats.org/officeDocument/2006/relationships/image" Target="media/image620.png"/><Relationship Id="rId659" Type="http://schemas.openxmlformats.org/officeDocument/2006/relationships/image" Target="media/image621.png"/><Relationship Id="rId660" Type="http://schemas.openxmlformats.org/officeDocument/2006/relationships/image" Target="media/image622.png"/><Relationship Id="rId661" Type="http://schemas.openxmlformats.org/officeDocument/2006/relationships/image" Target="media/image623.png"/><Relationship Id="rId662" Type="http://schemas.openxmlformats.org/officeDocument/2006/relationships/image" Target="media/image624.png"/><Relationship Id="rId663" Type="http://schemas.openxmlformats.org/officeDocument/2006/relationships/image" Target="media/image625.png"/><Relationship Id="rId664" Type="http://schemas.openxmlformats.org/officeDocument/2006/relationships/image" Target="media/image626.png"/><Relationship Id="rId665" Type="http://schemas.openxmlformats.org/officeDocument/2006/relationships/image" Target="media/image627.png"/><Relationship Id="rId666" Type="http://schemas.openxmlformats.org/officeDocument/2006/relationships/image" Target="media/image628.png"/><Relationship Id="rId667" Type="http://schemas.openxmlformats.org/officeDocument/2006/relationships/image" Target="media/image629.png"/><Relationship Id="rId668" Type="http://schemas.openxmlformats.org/officeDocument/2006/relationships/image" Target="media/image630.png"/><Relationship Id="rId669" Type="http://schemas.openxmlformats.org/officeDocument/2006/relationships/image" Target="media/image631.png"/><Relationship Id="rId670" Type="http://schemas.openxmlformats.org/officeDocument/2006/relationships/image" Target="media/image632.png"/><Relationship Id="rId671" Type="http://schemas.openxmlformats.org/officeDocument/2006/relationships/image" Target="media/image633.png"/><Relationship Id="rId672" Type="http://schemas.openxmlformats.org/officeDocument/2006/relationships/image" Target="media/image634.png"/><Relationship Id="rId673" Type="http://schemas.openxmlformats.org/officeDocument/2006/relationships/image" Target="media/image635.png"/><Relationship Id="rId674" Type="http://schemas.openxmlformats.org/officeDocument/2006/relationships/image" Target="media/image636.png"/><Relationship Id="rId675" Type="http://schemas.openxmlformats.org/officeDocument/2006/relationships/image" Target="media/image637.png"/><Relationship Id="rId676" Type="http://schemas.openxmlformats.org/officeDocument/2006/relationships/image" Target="media/image638.png"/><Relationship Id="rId677" Type="http://schemas.openxmlformats.org/officeDocument/2006/relationships/image" Target="media/image639.png"/><Relationship Id="rId678" Type="http://schemas.openxmlformats.org/officeDocument/2006/relationships/image" Target="media/image640.png"/><Relationship Id="rId679" Type="http://schemas.openxmlformats.org/officeDocument/2006/relationships/image" Target="media/image641.png"/><Relationship Id="rId680" Type="http://schemas.openxmlformats.org/officeDocument/2006/relationships/image" Target="media/image642.png"/><Relationship Id="rId681" Type="http://schemas.openxmlformats.org/officeDocument/2006/relationships/image" Target="media/image643.png"/><Relationship Id="rId682" Type="http://schemas.openxmlformats.org/officeDocument/2006/relationships/image" Target="media/image644.png"/><Relationship Id="rId683" Type="http://schemas.openxmlformats.org/officeDocument/2006/relationships/image" Target="media/image645.png"/><Relationship Id="rId684" Type="http://schemas.openxmlformats.org/officeDocument/2006/relationships/image" Target="media/image646.png"/><Relationship Id="rId685" Type="http://schemas.openxmlformats.org/officeDocument/2006/relationships/image" Target="media/image647.png"/><Relationship Id="rId686" Type="http://schemas.openxmlformats.org/officeDocument/2006/relationships/image" Target="media/image648.png"/><Relationship Id="rId687" Type="http://schemas.openxmlformats.org/officeDocument/2006/relationships/image" Target="media/image649.png"/><Relationship Id="rId688" Type="http://schemas.openxmlformats.org/officeDocument/2006/relationships/image" Target="media/image650.png"/><Relationship Id="rId689" Type="http://schemas.openxmlformats.org/officeDocument/2006/relationships/image" Target="media/image651.png"/><Relationship Id="rId690" Type="http://schemas.openxmlformats.org/officeDocument/2006/relationships/image" Target="media/image652.png"/><Relationship Id="rId691" Type="http://schemas.openxmlformats.org/officeDocument/2006/relationships/image" Target="media/image653.png"/><Relationship Id="rId692" Type="http://schemas.openxmlformats.org/officeDocument/2006/relationships/image" Target="media/image654.png"/><Relationship Id="rId693" Type="http://schemas.openxmlformats.org/officeDocument/2006/relationships/image" Target="media/image655.png"/><Relationship Id="rId694" Type="http://schemas.openxmlformats.org/officeDocument/2006/relationships/image" Target="media/image656.png"/><Relationship Id="rId695" Type="http://schemas.openxmlformats.org/officeDocument/2006/relationships/image" Target="media/image657.png"/><Relationship Id="rId696" Type="http://schemas.openxmlformats.org/officeDocument/2006/relationships/image" Target="media/image658.png"/><Relationship Id="rId697" Type="http://schemas.openxmlformats.org/officeDocument/2006/relationships/image" Target="media/image659.png"/><Relationship Id="rId698" Type="http://schemas.openxmlformats.org/officeDocument/2006/relationships/image" Target="media/image660.png"/><Relationship Id="rId699" Type="http://schemas.openxmlformats.org/officeDocument/2006/relationships/image" Target="media/image661.png"/><Relationship Id="rId700" Type="http://schemas.openxmlformats.org/officeDocument/2006/relationships/image" Target="media/image662.png"/><Relationship Id="rId701" Type="http://schemas.openxmlformats.org/officeDocument/2006/relationships/image" Target="media/image663.png"/><Relationship Id="rId702" Type="http://schemas.openxmlformats.org/officeDocument/2006/relationships/image" Target="media/image664.png"/><Relationship Id="rId703" Type="http://schemas.openxmlformats.org/officeDocument/2006/relationships/image" Target="media/image665.png"/><Relationship Id="rId704" Type="http://schemas.openxmlformats.org/officeDocument/2006/relationships/image" Target="media/image666.png"/><Relationship Id="rId705" Type="http://schemas.openxmlformats.org/officeDocument/2006/relationships/image" Target="media/image667.png"/><Relationship Id="rId706" Type="http://schemas.openxmlformats.org/officeDocument/2006/relationships/image" Target="media/image668.png"/><Relationship Id="rId707" Type="http://schemas.openxmlformats.org/officeDocument/2006/relationships/image" Target="media/image669.png"/><Relationship Id="rId708" Type="http://schemas.openxmlformats.org/officeDocument/2006/relationships/image" Target="media/image670.png"/><Relationship Id="rId709" Type="http://schemas.openxmlformats.org/officeDocument/2006/relationships/image" Target="media/image671.png"/><Relationship Id="rId710" Type="http://schemas.openxmlformats.org/officeDocument/2006/relationships/image" Target="media/image672.png"/><Relationship Id="rId711" Type="http://schemas.openxmlformats.org/officeDocument/2006/relationships/image" Target="media/image673.png"/><Relationship Id="rId712" Type="http://schemas.openxmlformats.org/officeDocument/2006/relationships/image" Target="media/image674.png"/><Relationship Id="rId713" Type="http://schemas.openxmlformats.org/officeDocument/2006/relationships/image" Target="media/image675.png"/><Relationship Id="rId714" Type="http://schemas.openxmlformats.org/officeDocument/2006/relationships/image" Target="media/image676.png"/><Relationship Id="rId715" Type="http://schemas.openxmlformats.org/officeDocument/2006/relationships/image" Target="media/image677.jpeg"/><Relationship Id="rId716" Type="http://schemas.openxmlformats.org/officeDocument/2006/relationships/image" Target="media/image678.png"/><Relationship Id="rId717" Type="http://schemas.openxmlformats.org/officeDocument/2006/relationships/image" Target="media/image679.png"/><Relationship Id="rId718" Type="http://schemas.openxmlformats.org/officeDocument/2006/relationships/image" Target="media/image680.png"/><Relationship Id="rId719" Type="http://schemas.openxmlformats.org/officeDocument/2006/relationships/image" Target="media/image681.png"/><Relationship Id="rId720" Type="http://schemas.openxmlformats.org/officeDocument/2006/relationships/image" Target="media/image682.png"/><Relationship Id="rId721" Type="http://schemas.openxmlformats.org/officeDocument/2006/relationships/image" Target="media/image683.png"/><Relationship Id="rId722" Type="http://schemas.openxmlformats.org/officeDocument/2006/relationships/image" Target="media/image684.png"/><Relationship Id="rId723" Type="http://schemas.openxmlformats.org/officeDocument/2006/relationships/image" Target="media/image685.png"/><Relationship Id="rId724" Type="http://schemas.openxmlformats.org/officeDocument/2006/relationships/image" Target="media/image686.png"/><Relationship Id="rId725" Type="http://schemas.openxmlformats.org/officeDocument/2006/relationships/image" Target="media/image687.png"/><Relationship Id="rId726" Type="http://schemas.openxmlformats.org/officeDocument/2006/relationships/image" Target="media/image688.png"/><Relationship Id="rId727" Type="http://schemas.openxmlformats.org/officeDocument/2006/relationships/image" Target="media/image689.png"/><Relationship Id="rId728" Type="http://schemas.openxmlformats.org/officeDocument/2006/relationships/image" Target="media/image690.png"/><Relationship Id="rId729" Type="http://schemas.openxmlformats.org/officeDocument/2006/relationships/image" Target="media/image691.png"/><Relationship Id="rId730" Type="http://schemas.openxmlformats.org/officeDocument/2006/relationships/image" Target="media/image692.png"/><Relationship Id="rId731" Type="http://schemas.openxmlformats.org/officeDocument/2006/relationships/image" Target="media/image693.png"/><Relationship Id="rId732" Type="http://schemas.openxmlformats.org/officeDocument/2006/relationships/image" Target="media/image694.png"/><Relationship Id="rId733" Type="http://schemas.openxmlformats.org/officeDocument/2006/relationships/image" Target="media/image695.png"/><Relationship Id="rId734" Type="http://schemas.openxmlformats.org/officeDocument/2006/relationships/image" Target="media/image696.png"/><Relationship Id="rId735" Type="http://schemas.openxmlformats.org/officeDocument/2006/relationships/image" Target="media/image697.png"/><Relationship Id="rId736" Type="http://schemas.openxmlformats.org/officeDocument/2006/relationships/image" Target="media/image698.png"/><Relationship Id="rId737" Type="http://schemas.openxmlformats.org/officeDocument/2006/relationships/image" Target="media/image699.png"/><Relationship Id="rId738" Type="http://schemas.openxmlformats.org/officeDocument/2006/relationships/image" Target="media/image700.png"/><Relationship Id="rId739" Type="http://schemas.openxmlformats.org/officeDocument/2006/relationships/image" Target="media/image701.png"/><Relationship Id="rId740" Type="http://schemas.openxmlformats.org/officeDocument/2006/relationships/image" Target="media/image702.png"/><Relationship Id="rId741" Type="http://schemas.openxmlformats.org/officeDocument/2006/relationships/image" Target="media/image703.png"/><Relationship Id="rId742" Type="http://schemas.openxmlformats.org/officeDocument/2006/relationships/image" Target="media/image704.png"/><Relationship Id="rId743" Type="http://schemas.openxmlformats.org/officeDocument/2006/relationships/image" Target="media/image705.png"/><Relationship Id="rId744" Type="http://schemas.openxmlformats.org/officeDocument/2006/relationships/image" Target="media/image706.png"/><Relationship Id="rId745" Type="http://schemas.openxmlformats.org/officeDocument/2006/relationships/image" Target="media/image707.png"/><Relationship Id="rId746" Type="http://schemas.openxmlformats.org/officeDocument/2006/relationships/image" Target="media/image708.png"/><Relationship Id="rId747" Type="http://schemas.openxmlformats.org/officeDocument/2006/relationships/image" Target="media/image709.png"/><Relationship Id="rId748" Type="http://schemas.openxmlformats.org/officeDocument/2006/relationships/image" Target="media/image710.png"/><Relationship Id="rId749" Type="http://schemas.openxmlformats.org/officeDocument/2006/relationships/image" Target="media/image711.png"/><Relationship Id="rId750" Type="http://schemas.openxmlformats.org/officeDocument/2006/relationships/image" Target="media/image712.png"/><Relationship Id="rId751" Type="http://schemas.openxmlformats.org/officeDocument/2006/relationships/image" Target="media/image713.png"/><Relationship Id="rId752" Type="http://schemas.openxmlformats.org/officeDocument/2006/relationships/image" Target="media/image714.png"/><Relationship Id="rId753" Type="http://schemas.openxmlformats.org/officeDocument/2006/relationships/image" Target="media/image715.png"/><Relationship Id="rId754" Type="http://schemas.openxmlformats.org/officeDocument/2006/relationships/image" Target="media/image716.png"/><Relationship Id="rId755" Type="http://schemas.openxmlformats.org/officeDocument/2006/relationships/image" Target="media/image717.png"/><Relationship Id="rId756" Type="http://schemas.openxmlformats.org/officeDocument/2006/relationships/image" Target="media/image718.png"/><Relationship Id="rId757" Type="http://schemas.openxmlformats.org/officeDocument/2006/relationships/image" Target="media/image719.png"/><Relationship Id="rId758" Type="http://schemas.openxmlformats.org/officeDocument/2006/relationships/image" Target="media/image720.png"/><Relationship Id="rId759" Type="http://schemas.openxmlformats.org/officeDocument/2006/relationships/image" Target="media/image721.png"/><Relationship Id="rId760" Type="http://schemas.openxmlformats.org/officeDocument/2006/relationships/image" Target="media/image722.png"/><Relationship Id="rId761" Type="http://schemas.openxmlformats.org/officeDocument/2006/relationships/image" Target="media/image723.png"/><Relationship Id="rId762" Type="http://schemas.openxmlformats.org/officeDocument/2006/relationships/image" Target="media/image724.png"/><Relationship Id="rId763" Type="http://schemas.openxmlformats.org/officeDocument/2006/relationships/image" Target="media/image725.png"/><Relationship Id="rId764" Type="http://schemas.openxmlformats.org/officeDocument/2006/relationships/image" Target="media/image726.png"/><Relationship Id="rId765" Type="http://schemas.openxmlformats.org/officeDocument/2006/relationships/image" Target="media/image727.png"/><Relationship Id="rId766" Type="http://schemas.openxmlformats.org/officeDocument/2006/relationships/image" Target="media/image728.png"/><Relationship Id="rId767" Type="http://schemas.openxmlformats.org/officeDocument/2006/relationships/image" Target="media/image729.png"/><Relationship Id="rId768" Type="http://schemas.openxmlformats.org/officeDocument/2006/relationships/image" Target="media/image730.png"/><Relationship Id="rId769" Type="http://schemas.openxmlformats.org/officeDocument/2006/relationships/image" Target="media/image731.png"/><Relationship Id="rId770" Type="http://schemas.openxmlformats.org/officeDocument/2006/relationships/image" Target="media/image732.png"/><Relationship Id="rId771" Type="http://schemas.openxmlformats.org/officeDocument/2006/relationships/image" Target="media/image733.png"/><Relationship Id="rId772" Type="http://schemas.openxmlformats.org/officeDocument/2006/relationships/image" Target="media/image734.png"/><Relationship Id="rId773" Type="http://schemas.openxmlformats.org/officeDocument/2006/relationships/image" Target="media/image735.png"/><Relationship Id="rId774" Type="http://schemas.openxmlformats.org/officeDocument/2006/relationships/image" Target="media/image736.png"/><Relationship Id="rId775" Type="http://schemas.openxmlformats.org/officeDocument/2006/relationships/image" Target="media/image737.png"/><Relationship Id="rId776" Type="http://schemas.openxmlformats.org/officeDocument/2006/relationships/image" Target="media/image738.png"/><Relationship Id="rId777" Type="http://schemas.openxmlformats.org/officeDocument/2006/relationships/image" Target="media/image739.png"/><Relationship Id="rId778" Type="http://schemas.openxmlformats.org/officeDocument/2006/relationships/image" Target="media/image740.png"/><Relationship Id="rId779" Type="http://schemas.openxmlformats.org/officeDocument/2006/relationships/image" Target="media/image741.png"/><Relationship Id="rId780" Type="http://schemas.openxmlformats.org/officeDocument/2006/relationships/image" Target="media/image742.png"/><Relationship Id="rId781" Type="http://schemas.openxmlformats.org/officeDocument/2006/relationships/image" Target="media/image743.png"/><Relationship Id="rId782" Type="http://schemas.openxmlformats.org/officeDocument/2006/relationships/image" Target="media/image744.png"/><Relationship Id="rId783" Type="http://schemas.openxmlformats.org/officeDocument/2006/relationships/image" Target="media/image745.png"/><Relationship Id="rId784" Type="http://schemas.openxmlformats.org/officeDocument/2006/relationships/image" Target="media/image746.png"/><Relationship Id="rId785" Type="http://schemas.openxmlformats.org/officeDocument/2006/relationships/image" Target="media/image747.png"/><Relationship Id="rId786" Type="http://schemas.openxmlformats.org/officeDocument/2006/relationships/image" Target="media/image748.png"/><Relationship Id="rId787" Type="http://schemas.openxmlformats.org/officeDocument/2006/relationships/image" Target="media/image749.png"/><Relationship Id="rId788" Type="http://schemas.openxmlformats.org/officeDocument/2006/relationships/image" Target="media/image750.png"/><Relationship Id="rId789" Type="http://schemas.openxmlformats.org/officeDocument/2006/relationships/image" Target="media/image751.png"/><Relationship Id="rId790" Type="http://schemas.openxmlformats.org/officeDocument/2006/relationships/image" Target="media/image752.png"/><Relationship Id="rId791" Type="http://schemas.openxmlformats.org/officeDocument/2006/relationships/image" Target="media/image753.png"/><Relationship Id="rId792" Type="http://schemas.openxmlformats.org/officeDocument/2006/relationships/image" Target="media/image754.png"/><Relationship Id="rId793" Type="http://schemas.openxmlformats.org/officeDocument/2006/relationships/image" Target="media/image755.png"/><Relationship Id="rId794" Type="http://schemas.openxmlformats.org/officeDocument/2006/relationships/image" Target="media/image756.png"/><Relationship Id="rId795" Type="http://schemas.openxmlformats.org/officeDocument/2006/relationships/image" Target="media/image757.png"/><Relationship Id="rId796" Type="http://schemas.openxmlformats.org/officeDocument/2006/relationships/image" Target="media/image758.png"/><Relationship Id="rId797" Type="http://schemas.openxmlformats.org/officeDocument/2006/relationships/image" Target="media/image759.png"/><Relationship Id="rId798" Type="http://schemas.openxmlformats.org/officeDocument/2006/relationships/image" Target="media/image760.png"/><Relationship Id="rId799" Type="http://schemas.openxmlformats.org/officeDocument/2006/relationships/image" Target="media/image761.png"/><Relationship Id="rId166" Type="http://schemas.openxmlformats.org/officeDocument/2006/relationships/hyperlink" Target="http://www.sec.gov/Archives/edgar/data/1471515/000095012718000061/a18-30_ex-4.htm" TargetMode="External"/><Relationship Id="rId167" Type="http://schemas.openxmlformats.org/officeDocument/2006/relationships/hyperlink" Target="http://www.sec.gov/Archives/edgar/data/1713334/000119312518296079/d552298dex42.htm" TargetMode="External"/><Relationship Id="rId168" Type="http://schemas.openxmlformats.org/officeDocument/2006/relationships/hyperlink" Target="http://www.sec.gov/Archives/edgar/data/0001713334/000119312518269188/d552298dex49.htm" TargetMode="External"/><Relationship Id="rId169" Type="http://schemas.openxmlformats.org/officeDocument/2006/relationships/hyperlink" Target="http://www.sec.gov/Archives/edgar/data/0001713334/000119312518269188/d552298dex410.htm" TargetMode="External"/><Relationship Id="rId170" Type="http://schemas.openxmlformats.org/officeDocument/2006/relationships/hyperlink" Target="http://www.sec.gov/Archives/edgar/data/0001713334/000119312518269188/d552298dex411.htm" TargetMode="External"/><Relationship Id="rId171" Type="http://schemas.openxmlformats.org/officeDocument/2006/relationships/hyperlink" Target="http://www.sec.gov/Archives/edgar/data/0001713334/000119312518269188/d552298dex412.htm" TargetMode="External"/><Relationship Id="rId172" Type="http://schemas.openxmlformats.org/officeDocument/2006/relationships/hyperlink" Target="http://www.sec.gov/Archives/edgar/data/0001713334/000119312518269188/d552298dex413.htm" TargetMode="External"/><Relationship Id="rId173" Type="http://schemas.openxmlformats.org/officeDocument/2006/relationships/hyperlink" Target="http://www.sec.gov/Archives/edgar/data/0001713334/000119312518269188/d552298dex414.htm" TargetMode="External"/><Relationship Id="rId175" Type="http://schemas.openxmlformats.org/officeDocument/2006/relationships/hyperlink" Target="http://www.sec.gov/Archives/edgar/data/0001713334/000119312518269188/d552298dex415.htm" TargetMode="External"/><Relationship Id="rId176" Type="http://schemas.openxmlformats.org/officeDocument/2006/relationships/hyperlink" Target="http://www.sec.gov/Archives/edgar/data/0001713334/000119312518269188/d552298dex416.htm" TargetMode="External"/><Relationship Id="rId177" Type="http://schemas.openxmlformats.org/officeDocument/2006/relationships/hyperlink" Target="http://www.sec.gov/Archives/edgar/data/1713334/000119312518269188/d552298dex105.htm" TargetMode="External"/><Relationship Id="rId178" Type="http://schemas.openxmlformats.org/officeDocument/2006/relationships/hyperlink" Target="http://www.sec.gov/Archives/edgar/data/0001713334/000119312518269188/d552298dex101.htm" TargetMode="External"/><Relationship Id="rId179" Type="http://schemas.openxmlformats.org/officeDocument/2006/relationships/hyperlink" Target="http://www.sec.gov/Archives/edgar/data/0001713334/000119312518269188/d552298dex102.htm" TargetMode="External"/><Relationship Id="rId180" Type="http://schemas.openxmlformats.org/officeDocument/2006/relationships/hyperlink" Target="http://www.sec.gov/Archives/edgar/data/0001713334/000119312518269188/d552298dex103.htm" TargetMode="External"/><Relationship Id="rId181" Type="http://schemas.openxmlformats.org/officeDocument/2006/relationships/hyperlink" Target="http://www.sec.gov/Archives/edgar/data/0001713334/000119312518269188/d552298dex107.htm" TargetMode="External"/><Relationship Id="rId182" Type="http://schemas.openxmlformats.org/officeDocument/2006/relationships/hyperlink" Target="http://www.sec.gov/Archives/edgar/data/0001713334/000119312518269188/d552298dex108.htm" TargetMode="External"/><Relationship Id="rId184" Type="http://schemas.openxmlformats.org/officeDocument/2006/relationships/hyperlink" Target="http://www.sec.gov/Archives/edgar/data/0001713334/000119312518269188/d552298dex109.htm" TargetMode="External"/><Relationship Id="rId185" Type="http://schemas.openxmlformats.org/officeDocument/2006/relationships/hyperlink" Target="http://www.sec.gov/Archives/edgar/data/0001713334/000119312518269188/d552298dex1010.htm" TargetMode="External"/><Relationship Id="rId186" Type="http://schemas.openxmlformats.org/officeDocument/2006/relationships/hyperlink" Target="http://www.sec.gov/Archives/edgar/data/0001713334/000119312518269188/d552298dex1011.htm" TargetMode="External"/><Relationship Id="rId187" Type="http://schemas.openxmlformats.org/officeDocument/2006/relationships/hyperlink" Target="http://www.sec.gov/Archives/edgar/data/0001713334/000119312518269188/d552298dex1012.htm" TargetMode="External"/><Relationship Id="rId188" Type="http://schemas.openxmlformats.org/officeDocument/2006/relationships/hyperlink" Target="http://www.sec.gov/Archives/edgar/data/0001713334/000119312518269188/d552298dex1013.htm" TargetMode="External"/><Relationship Id="rId189" Type="http://schemas.openxmlformats.org/officeDocument/2006/relationships/hyperlink" Target="http://www.sec.gov/Archives/edgar/data/0001713334/000119312518269188/d552298dex1014.htm" TargetMode="External"/><Relationship Id="rId190" Type="http://schemas.openxmlformats.org/officeDocument/2006/relationships/hyperlink" Target="http://www.sec.gov/Archives/edgar/data/0001713334/000119312518269188/d552298dex1015.htm" TargetMode="External"/><Relationship Id="rId191" Type="http://schemas.openxmlformats.org/officeDocument/2006/relationships/hyperlink" Target="http://www.sec.gov/Archives/edgar/data/0001713334/000119312518269188/d552298dex1016.htm" TargetMode="External"/><Relationship Id="rId192" Type="http://schemas.openxmlformats.org/officeDocument/2006/relationships/hyperlink" Target="http://www.sec.gov/Archives/edgar/data/0001713334/000119312518269188/d552298dex1017.htm" TargetMode="External"/><Relationship Id="rId193" Type="http://schemas.openxmlformats.org/officeDocument/2006/relationships/hyperlink" Target="http://www.sec.gov/Archives/edgar/data/0001713334/000119312518269188/d552298dex1018.htm" TargetMode="External"/><Relationship Id="rId195" Type="http://schemas.openxmlformats.org/officeDocument/2006/relationships/hyperlink" Target="http://www.sec.gov/Archives/edgar/data/0001713334/000119312518269188/d552298dex1019.htm" TargetMode="External"/><Relationship Id="rId196" Type="http://schemas.openxmlformats.org/officeDocument/2006/relationships/hyperlink" Target="http://www.sec.gov/Archives/edgar/data/0001713334/000119312518269188/d552298dex1020.htm" TargetMode="External"/><Relationship Id="rId197" Type="http://schemas.openxmlformats.org/officeDocument/2006/relationships/hyperlink" Target="http://www.sec.gov/Archives/edgar/data/0001713334/000119312518269188/d552298dex1021.htm" TargetMode="External"/><Relationship Id="rId198" Type="http://schemas.openxmlformats.org/officeDocument/2006/relationships/hyperlink" Target="http://www.sec.gov/Archives/edgar/data/0001713334/000119312518269188/d552298dex1022.htm" TargetMode="External"/><Relationship Id="rId199" Type="http://schemas.openxmlformats.org/officeDocument/2006/relationships/hyperlink" Target="http://www.sec.gov/Archives/edgar/data/0001713334/000119312518269188/d552298d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2019-12-03T18:34:24Z</dcterms:created>
  <dcterms:modified xsi:type="dcterms:W3CDTF">2019-12-03T18:34:24Z</dcterms:modified>
</cp:coreProperties>
</file>