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9429d6k.htm"/>
        <w:bookmarkStart w:id="1" w:name="ksd49429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February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49429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5"/>
        <w:gridCol w:w="326"/>
        <w:gridCol w:w="8684"/>
      </w:tblGrid>
      <w:tr>
        <w:trPr/>
        <w:tc>
          <w:tcPr>
            <w:tcW w:w="119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684" w:type="dxa"/>
            <w:tcBorders/>
            <w:vAlign w:val="center"/>
          </w:tcPr>
          <w:p>
            <w:pPr>
              <w:pStyle w:val="TableContents"/>
              <w:bidi w:val="0"/>
              <w:spacing w:before="0" w:after="283"/>
              <w:jc w:val="left"/>
              <w:rPr>
                <w:sz w:val="4"/>
                <w:szCs w:val="4"/>
              </w:rPr>
            </w:pPr>
            <w:r>
              <w:rPr>
                <w:sz w:val="4"/>
                <w:szCs w:val="4"/>
              </w:rPr>
            </w:r>
          </w:p>
        </w:tc>
      </w:tr>
      <w:tr>
        <w:trPr/>
        <w:tc>
          <w:tcPr>
            <w:tcW w:w="1195" w:type="dxa"/>
            <w:tcBorders/>
          </w:tcPr>
          <w:p>
            <w:pPr>
              <w:pStyle w:val="TableContents"/>
              <w:bidi w:val="0"/>
              <w:spacing w:before="0" w:after="283"/>
              <w:jc w:val="left"/>
              <w:rPr/>
            </w:pPr>
            <w:hyperlink w:anchor="d49429dex991.htm">
              <w:r>
                <w:rPr>
                  <w:rStyle w:val="InternetLink"/>
                </w:rPr>
                <w:t>Exhibit 99.1</w:t>
              </w:r>
            </w:hyperlink>
          </w:p>
        </w:tc>
        <w:tc>
          <w:tcPr>
            <w:tcW w:w="326" w:type="dxa"/>
            <w:tcBorders/>
            <w:vAlign w:val="bottom"/>
          </w:tcPr>
          <w:p>
            <w:pPr>
              <w:pStyle w:val="TableContents"/>
              <w:bidi w:val="0"/>
              <w:spacing w:before="0" w:after="283"/>
              <w:jc w:val="left"/>
              <w:rPr/>
            </w:pPr>
            <w:r>
              <w:rPr/>
              <w:t>  </w:t>
            </w:r>
          </w:p>
        </w:tc>
        <w:tc>
          <w:tcPr>
            <w:tcW w:w="868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9429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Geoffrey Davis</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Geoffrey Davis, CFA</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February 13,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rP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1215" w:type="dxa"/>
            <w:tcBorders>
              <w:bottom w:val="single" w:sz="8" w:space="0" w:color="000000"/>
            </w:tcBorders>
            <w:tcMar>
              <w:bottom w:w="28" w:type="dxa"/>
            </w:tcMar>
            <w:vAlign w:val="bottom"/>
          </w:tcPr>
          <w:p>
            <w:pPr>
              <w:pStyle w:val="TableContents"/>
              <w:bidi w:val="0"/>
              <w:spacing w:before="0" w:after="283"/>
              <w:jc w:val="left"/>
              <w:rPr>
                <w:b/>
              </w:rPr>
            </w:pPr>
            <w:r>
              <w:rPr>
                <w:b/>
              </w:rPr>
              <w:t>Exhibit No.</w:t>
            </w:r>
          </w:p>
        </w:tc>
        <w:tc>
          <w:tcPr>
            <w:tcW w:w="321"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Unaudited Results for Fourth Quarter of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49429dex991.htm"/>
      <w:bookmarkStart w:id="5" w:name="ksd49429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192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50482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Studio City International Holdings Limited Announces Unaudited Fourth Quarter 2025 Earnings </w:t>
      </w:r>
    </w:p>
    <w:p>
      <w:pPr>
        <w:pStyle w:val="TextBody"/>
        <w:bidi w:val="0"/>
        <w:spacing w:before="120" w:after="0"/>
        <w:jc w:val="left"/>
        <w:rPr>
          <w:rFonts w:ascii="Times New Roman" w:hAnsi="Times New Roman"/>
          <w:sz w:val="20"/>
        </w:rPr>
      </w:pPr>
      <w:r>
        <w:rPr>
          <w:rFonts w:ascii="Times New Roman" w:hAnsi="Times New Roman"/>
          <w:sz w:val="20"/>
        </w:rPr>
        <w:t xml:space="preserve">MACAU, Feb. 12, 2026 (GLOBE NEWSWIRE) — Studio City International Holdings Limited (NYSE: MSC) (“Studio City” or the “Company”), a world-class integrated resort located in Cotai, Macau, today reported its unaudited financial results for the fourth quarter and full year ended December 31, 2025. </w:t>
      </w:r>
    </w:p>
    <w:p>
      <w:pPr>
        <w:pStyle w:val="TextBody"/>
        <w:bidi w:val="0"/>
        <w:spacing w:before="200" w:after="0"/>
        <w:jc w:val="left"/>
        <w:rPr>
          <w:rFonts w:ascii="Times New Roman" w:hAnsi="Times New Roman"/>
          <w:sz w:val="20"/>
        </w:rPr>
      </w:pPr>
      <w:r>
        <w:rPr>
          <w:rFonts w:ascii="Times New Roman" w:hAnsi="Times New Roman"/>
          <w:sz w:val="20"/>
        </w:rPr>
        <w:t xml:space="preserve">Total operating revenues for the fourth quarter of 2025 were US$160.3 million, compared with US$152.9 million in the fourth quarter of 2024. The increase was primarily attributable to better performance in mass market table games operations leading to an increase in revenue from casino contract and higher non-gaming revenues. </w:t>
      </w:r>
    </w:p>
    <w:p>
      <w:pPr>
        <w:pStyle w:val="TextBody"/>
        <w:bidi w:val="0"/>
        <w:spacing w:before="200" w:after="0"/>
        <w:jc w:val="left"/>
        <w:rPr>
          <w:rFonts w:ascii="Times New Roman" w:hAnsi="Times New Roman"/>
          <w:sz w:val="20"/>
        </w:rPr>
      </w:pPr>
      <w:r>
        <w:rPr>
          <w:rFonts w:ascii="Times New Roman" w:hAnsi="Times New Roman"/>
          <w:sz w:val="20"/>
        </w:rPr>
        <w:t xml:space="preserve">Studio City Casino generated gross gaming revenues of US$342.7 million and US$321.8 million for the fourth quarters of 2025 and 2024, respectively.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was US$931.7 million in the fourth quarter of 2025, compared with US$891.7 million in the fourth quarter of 2024 and hold percentage was 33.7% in the fourth quarter of 2025, compared with 32.1% in the fourth quarter of 2024.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fourth quarter of 2025 was US$935.8 million, compared with US$888.9 million in the fourth quarter of 2024 and win rate was 3.0% in the fourth quarter of 2025, compared with 3.3% in the fourth quarter of 2024. </w:t>
      </w:r>
    </w:p>
    <w:p>
      <w:pPr>
        <w:pStyle w:val="TextBody"/>
        <w:bidi w:val="0"/>
        <w:spacing w:before="200" w:after="0"/>
        <w:jc w:val="left"/>
        <w:rPr>
          <w:rFonts w:ascii="Times New Roman" w:hAnsi="Times New Roman"/>
          <w:sz w:val="20"/>
        </w:rPr>
      </w:pPr>
      <w:r>
        <w:rPr>
          <w:rFonts w:ascii="Times New Roman" w:hAnsi="Times New Roman"/>
          <w:sz w:val="20"/>
        </w:rPr>
        <w:t xml:space="preserve">As reported in the earnings release for the fourth quarter of 2024, Studio City has strategically repositioned itself to focus on the premium mass and mass operations, and VIP rolling chip operations at Studio City were transferred to City of Dreams in late October 2024. </w:t>
      </w:r>
    </w:p>
    <w:p>
      <w:pPr>
        <w:pStyle w:val="TextBody"/>
        <w:bidi w:val="0"/>
        <w:spacing w:before="200" w:after="0"/>
        <w:jc w:val="left"/>
        <w:rPr>
          <w:rFonts w:ascii="Times New Roman" w:hAnsi="Times New Roman"/>
          <w:sz w:val="20"/>
        </w:rPr>
      </w:pPr>
      <w:r>
        <w:rPr>
          <w:rFonts w:ascii="Times New Roman" w:hAnsi="Times New Roman"/>
          <w:sz w:val="20"/>
        </w:rPr>
        <w:t xml:space="preserve">Mocha Grand Dragon Hotel and Mocha Hotel Royal ceased operations during the fourth quarter of 2025, following which 108 gaming machines were re-allocated to Studio City by Melco Resorts (Macau) Limited, the gaming operator of the Studio City Casino (the “Gaming Operator”). </w:t>
      </w:r>
    </w:p>
    <w:p>
      <w:pPr>
        <w:pStyle w:val="TextBody"/>
        <w:bidi w:val="0"/>
        <w:spacing w:before="200" w:after="0"/>
        <w:jc w:val="left"/>
        <w:rPr>
          <w:rFonts w:ascii="Times New Roman" w:hAnsi="Times New Roman"/>
          <w:sz w:val="20"/>
        </w:rPr>
      </w:pPr>
      <w:r>
        <w:rPr>
          <w:rFonts w:ascii="Times New Roman" w:hAnsi="Times New Roman"/>
          <w:sz w:val="20"/>
        </w:rPr>
        <w:t xml:space="preserve">Revenue from casino contract was US$69.0 million for the fourth quarter of 2025, compared with US$63.6 million for the fourth quarter of 2024. Revenue from casino contract is net of gaming taxes and the costs incurred in connection with the on-going operation of the Studio City Casino which are deducted by the Gaming Operator. </w:t>
      </w:r>
    </w:p>
    <w:p>
      <w:pPr>
        <w:pStyle w:val="TextBody"/>
        <w:bidi w:val="0"/>
        <w:spacing w:before="200" w:after="0"/>
        <w:jc w:val="left"/>
        <w:rPr>
          <w:rFonts w:ascii="Times New Roman" w:hAnsi="Times New Roman"/>
          <w:sz w:val="20"/>
        </w:rPr>
      </w:pPr>
      <w:r>
        <w:rPr>
          <w:rFonts w:ascii="Times New Roman" w:hAnsi="Times New Roman"/>
          <w:sz w:val="20"/>
        </w:rPr>
        <w:t xml:space="preserve">Total gaming taxes and the costs incurred in connection with the on-going operation of the Studio City Casino deducted from gross gaming revenues were US$273.7 million and US$258.2 million in the fourth quarters of 2025 and 2024, respectively.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revenues at Studio City for the fourth quarter of 2025 were US$91.3 million, compared with US$89.3 million for the fourth quarter of 2024. </w:t>
      </w:r>
    </w:p>
    <w:p>
      <w:pPr>
        <w:pStyle w:val="TextBody"/>
        <w:bidi w:val="0"/>
        <w:spacing w:before="200" w:after="0"/>
        <w:jc w:val="left"/>
        <w:rPr>
          <w:rFonts w:ascii="Times New Roman" w:hAnsi="Times New Roman"/>
          <w:sz w:val="20"/>
        </w:rPr>
      </w:pPr>
      <w:r>
        <w:rPr>
          <w:rFonts w:ascii="Times New Roman" w:hAnsi="Times New Roman"/>
          <w:sz w:val="20"/>
        </w:rPr>
        <w:t xml:space="preserve">Operating income for the fourth quarter of 2025 was US$7.8 million, compared with US$3.1 million in the fourth quarter of 2024. </w:t>
      </w:r>
    </w:p>
    <w:p>
      <w:pPr>
        <w:pStyle w:val="TextBody"/>
        <w:bidi w:val="0"/>
        <w:spacing w:before="200" w:after="0"/>
        <w:jc w:val="left"/>
        <w:rPr>
          <w:rFonts w:ascii="Times New Roman" w:hAnsi="Times New Roman"/>
          <w:sz w:val="20"/>
        </w:rPr>
      </w:pPr>
      <w:r>
        <w:rPr>
          <w:rFonts w:ascii="Times New Roman" w:hAnsi="Times New Roman"/>
          <w:sz w:val="20"/>
        </w:rPr>
        <w:t xml:space="preserve">Studio City’s Adjusted EBITDA(1) was US$60.2 million in the fourth quarter of 2025, compared with US$56.7 million in the fourth quarter of 2024. The change was mainly attributable to higher revenue from casino contract and non-gaming revenues, partially offset by higher operating costs. </w:t>
      </w:r>
    </w:p>
    <w:p>
      <w:pPr>
        <w:pStyle w:val="TextBody"/>
        <w:bidi w:val="0"/>
        <w:spacing w:before="200" w:after="0"/>
        <w:jc w:val="left"/>
        <w:rPr>
          <w:rFonts w:ascii="Times New Roman" w:hAnsi="Times New Roman"/>
          <w:sz w:val="20"/>
        </w:rPr>
      </w:pPr>
      <w:r>
        <w:rPr>
          <w:rFonts w:ascii="Times New Roman" w:hAnsi="Times New Roman"/>
          <w:sz w:val="20"/>
        </w:rPr>
        <w:t xml:space="preserve">Net loss attributable to Studio City International Holdings Limited for the fourth quarter of 2025 was US$20.5 million, or US$0.11 per ADS, compared with US$27.7 million, or US$0.14 per ADS, in the fourth quarter of 2024. The net loss attributable to participation interest was US$1.9 million and US$2.6 million in the fourth quarters of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120" w:after="0"/>
        <w:jc w:val="left"/>
        <w:rPr>
          <w:rFonts w:ascii="Times New Roman" w:hAnsi="Times New Roman"/>
          <w:sz w:val="20"/>
        </w:rPr>
      </w:pPr>
      <w:r>
        <w:rPr>
          <w:rFonts w:ascii="Times New Roman" w:hAnsi="Times New Roman"/>
          <w:sz w:val="20"/>
        </w:rPr>
        <w:t xml:space="preserve">Total net non-operating expenses for the fourth quarter of 2025 were US$30.8 million, which mainly included interest expense of US$30.4 million. </w:t>
      </w:r>
    </w:p>
    <w:p>
      <w:pPr>
        <w:pStyle w:val="TextBody"/>
        <w:bidi w:val="0"/>
        <w:spacing w:before="200" w:after="0"/>
        <w:jc w:val="left"/>
        <w:rPr>
          <w:rFonts w:ascii="Times New Roman" w:hAnsi="Times New Roman"/>
          <w:sz w:val="20"/>
        </w:rPr>
      </w:pPr>
      <w:r>
        <w:rPr>
          <w:rFonts w:ascii="Times New Roman" w:hAnsi="Times New Roman"/>
          <w:sz w:val="20"/>
        </w:rPr>
        <w:t xml:space="preserve">Depreciation and amortization costs of US$52.7 million were recorded in the fourth quarter of 2025, of which US$0.8 million was related to the amortization expense for the land use right. </w:t>
      </w:r>
    </w:p>
    <w:p>
      <w:pPr>
        <w:pStyle w:val="TextBody"/>
        <w:bidi w:val="0"/>
        <w:spacing w:before="200" w:after="0"/>
        <w:jc w:val="left"/>
        <w:rPr>
          <w:rFonts w:ascii="Times New Roman" w:hAnsi="Times New Roman"/>
          <w:sz w:val="20"/>
        </w:rPr>
      </w:pPr>
      <w:r>
        <w:rPr>
          <w:rFonts w:ascii="Times New Roman" w:hAnsi="Times New Roman"/>
          <w:sz w:val="20"/>
        </w:rPr>
        <w:t xml:space="preserve">Adjusted EBITDA for Studio City for the three months ended December 31, 2025 referred to in the earnings release of Melco Resorts &amp; Entertainment Limited (“Melco Resorts”) dated February 12, 2026 (“Melco Resorts’ Earnings Release”) was US$26.4 million more than the Adjusted EBITDA of Studio City reported in this press release. Adjusted EBITDA of Studio City reported in this press release includes certain intercompany charges that are not included in Adjusted EBITDA for Studio City reported in Melco Resorts’ Earnings Release. Such intercompany charges include, among other items, fees and shared service charges billed between the Company and its subsidiaries and certain subsidiaries of Melco Resorts. Additionally, Adjusted EBITDA of Studio City presented in Melco Resorts’ Earnings Release does not reflect certain gaming concession related costs and certain intercompany costs related to the gaming operations at Studio City Casino.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Total cash and bank balances as of December 31, 2025 aggregated to US$109.5 million (December 31, 2024: US$127.8 million), including US$0.1 million of restricted cash (December 31, 2024: US$0.1 million). Total debt, net of unamortized deferred financing costs and original issue premiums, at the end of the fourth quarter of 2025 was US$2.02 billion (December 31, 2024: US$2.16 billion), a reduction of US$31.0 million compared to total debt, net as of September 30, 2025. The reduction in total debt, net was primarily the result of the repayment of HK$247.0 million (equivalent to US$31.8 million) principal amount outstanding under the senior secured credit facility in November 2025. </w:t>
      </w:r>
    </w:p>
    <w:p>
      <w:pPr>
        <w:pStyle w:val="TextBody"/>
        <w:bidi w:val="0"/>
        <w:spacing w:before="200" w:after="0"/>
        <w:jc w:val="left"/>
        <w:rPr>
          <w:rFonts w:ascii="Times New Roman" w:hAnsi="Times New Roman"/>
          <w:sz w:val="20"/>
        </w:rPr>
      </w:pPr>
      <w:r>
        <w:rPr>
          <w:rFonts w:ascii="Times New Roman" w:hAnsi="Times New Roman"/>
          <w:sz w:val="20"/>
        </w:rPr>
        <w:t xml:space="preserve">Capital expenditures for the fourth quarter of 2025 were US$4.2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Studio City International Holdings Limited reported total operating revenues of US$694.6 million, compared with US$639.1 million in the prior year. The increase in total operating revenues was primarily attributable to better performance in mass market operations, which led to an increase in revenue from casino contract and higher overall non-gaming revenues. </w:t>
      </w:r>
    </w:p>
    <w:p>
      <w:pPr>
        <w:pStyle w:val="TextBody"/>
        <w:bidi w:val="0"/>
        <w:spacing w:before="200" w:after="0"/>
        <w:jc w:val="left"/>
        <w:rPr>
          <w:rFonts w:ascii="Times New Roman" w:hAnsi="Times New Roman"/>
          <w:sz w:val="20"/>
        </w:rPr>
      </w:pPr>
      <w:r>
        <w:rPr>
          <w:rFonts w:ascii="Times New Roman" w:hAnsi="Times New Roman"/>
          <w:sz w:val="20"/>
        </w:rPr>
        <w:t xml:space="preserve">Operating income for 2025 was US$70.0 million, compared with US$38.1 million for 2024. </w:t>
      </w:r>
    </w:p>
    <w:p>
      <w:pPr>
        <w:pStyle w:val="TextBody"/>
        <w:bidi w:val="0"/>
        <w:spacing w:before="200" w:after="0"/>
        <w:jc w:val="left"/>
        <w:rPr>
          <w:rFonts w:ascii="Times New Roman" w:hAnsi="Times New Roman"/>
          <w:sz w:val="20"/>
        </w:rPr>
      </w:pPr>
      <w:r>
        <w:rPr>
          <w:rFonts w:ascii="Times New Roman" w:hAnsi="Times New Roman"/>
          <w:sz w:val="20"/>
        </w:rPr>
        <w:t xml:space="preserve">Studio City’s Adjusted EBITDA was US$284.5 million for the year ended December 31, 2025, compared with US$245.3 million for 2024. The change was mainly attributable to higher revenue from casino contract and non-gaming revenues, partially offset by higher operating costs. </w:t>
      </w:r>
    </w:p>
    <w:p>
      <w:pPr>
        <w:pStyle w:val="TextBody"/>
        <w:bidi w:val="0"/>
        <w:spacing w:before="200" w:after="0"/>
        <w:jc w:val="left"/>
        <w:rPr>
          <w:rFonts w:ascii="Times New Roman" w:hAnsi="Times New Roman"/>
          <w:sz w:val="20"/>
        </w:rPr>
      </w:pPr>
      <w:r>
        <w:rPr>
          <w:rFonts w:ascii="Times New Roman" w:hAnsi="Times New Roman"/>
          <w:sz w:val="20"/>
        </w:rPr>
        <w:t xml:space="preserve">Net loss attributable to Studio City International Holdings Limited for 2025 was US$58.8 million, or US$0.31 per ADS, compared with US$96.7 million, or US$0.50 per ADS for 2024. The net loss attributable to participation interest for 2025 was US$5.5 million, compared with US$9.1 million for 2024.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t>“</w:t>
            </w:r>
            <w:r>
              <w:rPr>
                <w:rFonts w:ascii="Times New Roman" w:hAnsi="Times New Roman"/>
                <w:sz w:val="20"/>
              </w:rPr>
              <w:t xml:space="preserve">Adjusted EBITDA” is defined as net income/loss before interest, taxes, depreciation, amortization, pre-opening costs, property charges and other and other non-operating income and expenses. Adjusted EBITDA, which is a non-GAAP financial measure, is presented as supplemental disclosure because management believes it is widely used to measure the performance, and as a basis for valuation, of gaming companies. Management uses Adjusted EBITDA to measure our operating performance and to compare our operating performance with those of our competitors.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 not reflect current or future capital expenditures or the cost of capital. The Company recognizes these limitations and uses Adjusted EBITDA as only one of several comparative tools, together with U.S. GAAP measurements, to assist in the evaluation of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 Reconciliations of Adjusted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pPr>
            <w:r>
              <w:rPr/>
              <w:t>“</w:t>
            </w:r>
            <w:r>
              <w:rPr>
                <w:rFonts w:ascii="Times New Roman" w:hAnsi="Times New Roman"/>
                <w:sz w:val="20"/>
              </w:rPr>
              <w:t xml:space="preserve">Adjusted net income/loss” is net income/loss before pre-opening costs, property charges and other and loss on extinguishment of debt, net of participation interest and taxes. Adjusted net income/loss, which is a non-GAAP financial measure, is presented as supplemental disclosure because management believes it provides useful information to investors and others in understanding and evaluating our performance, in addition to income/loss computed in accordance with U.S. GAAP. Adjusted net income/loss may be different from the calculation methods used by other companies and, therefore, comparability may be limited. Reconciliations of adjusted net income/loss attributable to Studio City International Holdings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7"/>
        <w:gridCol w:w="285"/>
        <w:gridCol w:w="140"/>
        <w:gridCol w:w="1220"/>
        <w:gridCol w:w="155"/>
        <w:gridCol w:w="232"/>
        <w:gridCol w:w="140"/>
        <w:gridCol w:w="1220"/>
        <w:gridCol w:w="155"/>
        <w:gridCol w:w="232"/>
        <w:gridCol w:w="140"/>
        <w:gridCol w:w="1220"/>
        <w:gridCol w:w="155"/>
        <w:gridCol w:w="232"/>
        <w:gridCol w:w="139"/>
        <w:gridCol w:w="1220"/>
        <w:gridCol w:w="163"/>
      </w:tblGrid>
      <w:tr>
        <w:trPr/>
        <w:tc>
          <w:tcPr>
            <w:tcW w:w="315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107" w:type="dxa"/>
            <w:gridSpan w:val="6"/>
            <w:tcBorders/>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106" w:type="dxa"/>
            <w:gridSpan w:val="6"/>
            <w:tcBorders/>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casino contract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68,976</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63,563</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305,946</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259,842</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43,037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42,921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168,011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160,721</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22,524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22,176</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90,118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89,660</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3,506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4,311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39,115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47,533</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Services fee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15,994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14,371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68,265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59,529</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5,143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4,522</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19,202</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18,289</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1,101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3,909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3,571</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160,281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152,863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694,566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639,145</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related to casino contract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(9,265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(8,781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(38,494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(34,704</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(15,058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(14,130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(60,241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(51,614</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(20,168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(20,844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(79,306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(80,081</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(4,256</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(7,179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(38,430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(46,500</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(1,920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(1,980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(7,726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(7,336</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(613</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(2,433</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(2,306</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(48,823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(42,618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(183,387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(171,271</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(807</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land use right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(831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(832</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(3,314</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(51,897</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(51,934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(208,700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(201,746</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(875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(1,985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(1,318</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(152,508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(149,743</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(624,528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(600,997</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7,773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3,120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70,038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38,148</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192</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619</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914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4,059</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(30,399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(32,372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(126,266</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(133,594</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(1,839</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(592</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(losses) gains, net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(1,232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(5,500</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(1,000</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(30,770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(33,281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(126,729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(136,627</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(22,997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(30,161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(98,479</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(7,606</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(7,352</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(22,406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(30,360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(64,297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(105,831</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participation interest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1,928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2,612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5,532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9,105</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(20,478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(27,748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(58,765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(96,726</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 per Class A ordinary share: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(0.027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(0.036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(0.076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(0.126</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 per ADS: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(0.106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(0.144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(0.305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(0.502</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net loss attributable to Studio City International Holdings Limited per Class A ordinary share calculation:</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0"/>
        <w:gridCol w:w="222"/>
        <w:gridCol w:w="140"/>
        <w:gridCol w:w="1061"/>
        <w:gridCol w:w="155"/>
        <w:gridCol w:w="188"/>
        <w:gridCol w:w="140"/>
        <w:gridCol w:w="1061"/>
        <w:gridCol w:w="158"/>
      </w:tblGrid>
      <w:tr>
        <w:trPr/>
        <w:tc>
          <w:tcPr>
            <w:tcW w:w="708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109,401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127,634</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1,887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1,976</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735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309</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8,727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7,306</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10,740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29,140</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131,490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166,365</w:t>
            </w:r>
          </w:p>
        </w:tc>
        <w:tc>
          <w:tcPr>
            <w:tcW w:w="158" w:type="dxa"/>
            <w:tcBorders/>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2,485,029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2,652,169</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69,141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52,504</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130</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11,571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11,647</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99,073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102,629</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2,796,434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2,985,444</w:t>
            </w:r>
          </w:p>
        </w:tc>
        <w:tc>
          <w:tcPr>
            <w:tcW w:w="158" w:type="dxa"/>
            <w:tcBorders/>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SHAREHOLDERS’ EQUITY AND PARTICIPATION INTEREST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6,401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3,285</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91,438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118,117</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15,257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7,626</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21,597</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66,946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30,131</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180,042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180,756</w:t>
            </w:r>
          </w:p>
        </w:tc>
        <w:tc>
          <w:tcPr>
            <w:tcW w:w="158" w:type="dxa"/>
            <w:tcBorders/>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2,024,569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2,141,750</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6,290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4,115</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77</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12,095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12,227</w:t>
            </w:r>
          </w:p>
        </w:tc>
        <w:tc>
          <w:tcPr>
            <w:tcW w:w="158" w:type="dxa"/>
            <w:tcBorders/>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2,223,056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2,338,925</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and participation interest: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$0.0001; 1,927,488,240 shares authorized; 770,352,700 shares issued and outstanding</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77</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$0.0001; 72,511,760 shares authorized; 72,511,760 shares issued and outstanding</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2,477,359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2,477,359</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8,701</w:t>
            </w:r>
          </w:p>
        </w:tc>
        <w:tc>
          <w:tcPr>
            <w:tcW w:w="158" w:type="dxa"/>
            <w:tcBorders/>
            <w:vAlign w:val="bottom"/>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(1,954,174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(1,895,409</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523,887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590,735</w:t>
            </w:r>
          </w:p>
        </w:tc>
        <w:tc>
          <w:tcPr>
            <w:tcW w:w="158" w:type="dxa"/>
            <w:tcBorders/>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Participation interest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49,491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55,784</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and participation interest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573,378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646,519</w:t>
            </w:r>
          </w:p>
        </w:tc>
        <w:tc>
          <w:tcPr>
            <w:tcW w:w="158" w:type="dxa"/>
            <w:tcBorders/>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shareholders’ equity and participation interest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2,796,434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2,985,444</w:t>
            </w:r>
          </w:p>
        </w:tc>
        <w:tc>
          <w:tcPr>
            <w:tcW w:w="158" w:type="dxa"/>
            <w:tcBorders/>
            <w:shd w:fill="CCEEFF" w:val="clear"/>
            <w:vAlign w:val="bottom"/>
          </w:tcPr>
          <w:p>
            <w:pPr>
              <w:pStyle w:val="TableContents"/>
              <w:bidi w:val="0"/>
              <w:spacing w:before="0" w:after="283"/>
              <w:jc w:val="left"/>
              <w:rPr/>
            </w:pPr>
            <w:r>
              <w:rPr/>
              <w:t> </w:t>
            </w:r>
          </w:p>
        </w:tc>
      </w:tr>
      <w:tr>
        <w:trPr/>
        <w:tc>
          <w:tcPr>
            <w:tcW w:w="7080"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Attributable to Studio City International Holdings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Loss Attributable to Studio City International Holdings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7"/>
        <w:gridCol w:w="285"/>
        <w:gridCol w:w="140"/>
        <w:gridCol w:w="1220"/>
        <w:gridCol w:w="155"/>
        <w:gridCol w:w="232"/>
        <w:gridCol w:w="140"/>
        <w:gridCol w:w="1220"/>
        <w:gridCol w:w="155"/>
        <w:gridCol w:w="232"/>
        <w:gridCol w:w="140"/>
        <w:gridCol w:w="1220"/>
        <w:gridCol w:w="155"/>
        <w:gridCol w:w="232"/>
        <w:gridCol w:w="139"/>
        <w:gridCol w:w="1220"/>
        <w:gridCol w:w="163"/>
      </w:tblGrid>
      <w:tr>
        <w:trPr/>
        <w:tc>
          <w:tcPr>
            <w:tcW w:w="315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107" w:type="dxa"/>
            <w:gridSpan w:val="6"/>
            <w:tcBorders/>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106" w:type="dxa"/>
            <w:gridSpan w:val="6"/>
            <w:tcBorders/>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(20,478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(27,748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(58,765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(96,726</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510</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807</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875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1,985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1,318</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w:t>
            </w:r>
          </w:p>
        </w:tc>
        <w:tc>
          <w:tcPr>
            <w:tcW w:w="163" w:type="dxa"/>
            <w:tcBorders/>
            <w:vAlign w:val="bottom"/>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Participation interest impact on adjustments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(269</w:t>
            </w:r>
          </w:p>
        </w:tc>
        <w:tc>
          <w:tcPr>
            <w:tcW w:w="163" w:type="dxa"/>
            <w:tcBorders/>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(20,665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(26,956</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(56,610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(93,885</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 per Class A ordinary share: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(0.027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(0.035</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(0.073</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(0.122</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 per ADS: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(0.107</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(0.140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(0.294</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(0.487</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adjusted net loss attributable to Studio City International Holdings Limited per Class A ordinary share calculation:</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5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770,352,700</w:t>
            </w:r>
          </w:p>
        </w:tc>
        <w:tc>
          <w:tcPr>
            <w:tcW w:w="163" w:type="dxa"/>
            <w:tcBorders/>
            <w:shd w:fill="CCEEFF" w:val="clear"/>
            <w:vAlign w:val="bottom"/>
          </w:tcPr>
          <w:p>
            <w:pPr>
              <w:pStyle w:val="TableContents"/>
              <w:bidi w:val="0"/>
              <w:spacing w:before="0" w:after="283"/>
              <w:jc w:val="left"/>
              <w:rPr/>
            </w:pPr>
            <w:r>
              <w:rPr/>
              <w:t> </w:t>
            </w:r>
          </w:p>
        </w:tc>
      </w:tr>
      <w:tr>
        <w:trP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10"/>
        <w:gridCol w:w="148"/>
        <w:gridCol w:w="140"/>
        <w:gridCol w:w="728"/>
        <w:gridCol w:w="171"/>
        <w:gridCol w:w="107"/>
        <w:gridCol w:w="140"/>
        <w:gridCol w:w="728"/>
        <w:gridCol w:w="155"/>
        <w:gridCol w:w="107"/>
        <w:gridCol w:w="140"/>
        <w:gridCol w:w="808"/>
        <w:gridCol w:w="60"/>
        <w:gridCol w:w="148"/>
        <w:gridCol w:w="140"/>
        <w:gridCol w:w="808"/>
        <w:gridCol w:w="67"/>
      </w:tblGrid>
      <w:tr>
        <w:trPr/>
        <w:tc>
          <w:tcPr>
            <w:tcW w:w="561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61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014" w:type="dxa"/>
            <w:gridSpan w:val="6"/>
            <w:tcBorders/>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104" w:type="dxa"/>
            <w:gridSpan w:val="6"/>
            <w:tcBorders/>
            <w:vAlign w:val="bottom"/>
          </w:tcPr>
          <w:p>
            <w:pPr>
              <w:pStyle w:val="TableContents"/>
              <w:bidi w:val="0"/>
              <w:spacing w:before="0" w:after="283"/>
              <w:jc w:val="center"/>
              <w:rPr>
                <w:b/>
              </w:rPr>
            </w:pPr>
            <w:r>
              <w:rPr>
                <w:b/>
              </w:rPr>
              <w:t>Year Ended</w:t>
              <w:br/>
              <w:t>December 31,</w:t>
            </w:r>
          </w:p>
        </w:tc>
        <w:tc>
          <w:tcPr>
            <w:tcW w:w="67" w:type="dxa"/>
            <w:tcBorders/>
            <w:vAlign w:val="bottom"/>
          </w:tcPr>
          <w:p>
            <w:pPr>
              <w:pStyle w:val="TableContents"/>
              <w:bidi w:val="0"/>
              <w:spacing w:before="0" w:after="283"/>
              <w:jc w:val="left"/>
              <w:rPr/>
            </w:pPr>
            <w:r>
              <w:rPr/>
              <w:t> </w:t>
            </w:r>
          </w:p>
        </w:tc>
      </w:tr>
      <w:tr>
        <w:trPr/>
        <w:tc>
          <w:tcPr>
            <w:tcW w:w="561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5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7,773</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3,120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70,038</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38,148</w:t>
            </w:r>
          </w:p>
        </w:tc>
        <w:tc>
          <w:tcPr>
            <w:tcW w:w="67" w:type="dxa"/>
            <w:tcBorders/>
            <w:shd w:fill="CCEEFF" w:val="clear"/>
            <w:vAlign w:val="bottom"/>
          </w:tcPr>
          <w:p>
            <w:pPr>
              <w:pStyle w:val="TableContents"/>
              <w:bidi w:val="0"/>
              <w:spacing w:before="0" w:after="283"/>
              <w:jc w:val="left"/>
              <w:rPr/>
            </w:pPr>
            <w:r>
              <w:rPr/>
              <w:t> </w:t>
            </w:r>
          </w:p>
        </w:tc>
      </w:tr>
      <w:tr>
        <w:trPr/>
        <w:tc>
          <w:tcPr>
            <w:tcW w:w="561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510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807</w:t>
            </w:r>
          </w:p>
        </w:tc>
        <w:tc>
          <w:tcPr>
            <w:tcW w:w="67" w:type="dxa"/>
            <w:tcBorders/>
            <w:vAlign w:val="bottom"/>
          </w:tcPr>
          <w:p>
            <w:pPr>
              <w:pStyle w:val="TableContents"/>
              <w:bidi w:val="0"/>
              <w:spacing w:before="0" w:after="283"/>
              <w:jc w:val="left"/>
              <w:rPr/>
            </w:pPr>
            <w:r>
              <w:rPr/>
              <w:t> </w:t>
            </w:r>
          </w:p>
        </w:tc>
      </w:tr>
      <w:tr>
        <w:trPr/>
        <w:tc>
          <w:tcPr>
            <w:tcW w:w="5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52,728</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52,766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212,016</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205,060</w:t>
            </w:r>
          </w:p>
        </w:tc>
        <w:tc>
          <w:tcPr>
            <w:tcW w:w="67" w:type="dxa"/>
            <w:tcBorders/>
            <w:shd w:fill="CCEEFF" w:val="clear"/>
            <w:vAlign w:val="bottom"/>
          </w:tcPr>
          <w:p>
            <w:pPr>
              <w:pStyle w:val="TableContents"/>
              <w:bidi w:val="0"/>
              <w:spacing w:before="0" w:after="283"/>
              <w:jc w:val="left"/>
              <w:rPr/>
            </w:pPr>
            <w:r>
              <w:rPr/>
              <w:t> </w:t>
            </w:r>
          </w:p>
        </w:tc>
      </w:tr>
      <w:tr>
        <w:trPr/>
        <w:tc>
          <w:tcPr>
            <w:tcW w:w="561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(333</w:t>
            </w:r>
          </w:p>
        </w:tc>
        <w:tc>
          <w:tcPr>
            <w:tcW w:w="17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875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1,985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1,318</w:t>
            </w:r>
          </w:p>
        </w:tc>
        <w:tc>
          <w:tcPr>
            <w:tcW w:w="67" w:type="dxa"/>
            <w:tcBorders/>
            <w:vAlign w:val="bottom"/>
          </w:tcPr>
          <w:p>
            <w:pPr>
              <w:pStyle w:val="TableContents"/>
              <w:bidi w:val="0"/>
              <w:spacing w:before="0" w:after="283"/>
              <w:jc w:val="left"/>
              <w:rPr/>
            </w:pPr>
            <w:r>
              <w:rPr/>
              <w:t> </w:t>
            </w:r>
          </w:p>
        </w:tc>
      </w:tr>
      <w:tr>
        <w:trPr/>
        <w:tc>
          <w:tcPr>
            <w:tcW w:w="561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60,178</w:t>
            </w:r>
          </w:p>
        </w:tc>
        <w:tc>
          <w:tcPr>
            <w:tcW w:w="17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56,739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284,549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245,333</w:t>
            </w:r>
          </w:p>
        </w:tc>
        <w:tc>
          <w:tcPr>
            <w:tcW w:w="67" w:type="dxa"/>
            <w:tcBorders/>
            <w:shd w:fill="CCEEFF" w:val="clear"/>
            <w:vAlign w:val="bottom"/>
          </w:tcPr>
          <w:p>
            <w:pPr>
              <w:pStyle w:val="TableContents"/>
              <w:bidi w:val="0"/>
              <w:spacing w:before="0" w:after="283"/>
              <w:jc w:val="left"/>
              <w:rPr/>
            </w:pPr>
            <w:r>
              <w:rPr/>
              <w:t> </w:t>
            </w:r>
          </w:p>
        </w:tc>
      </w:tr>
      <w:tr>
        <w:trPr/>
        <w:tc>
          <w:tcPr>
            <w:tcW w:w="561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Attributable to 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5"/>
        <w:gridCol w:w="148"/>
        <w:gridCol w:w="140"/>
        <w:gridCol w:w="794"/>
        <w:gridCol w:w="155"/>
        <w:gridCol w:w="104"/>
        <w:gridCol w:w="140"/>
        <w:gridCol w:w="794"/>
        <w:gridCol w:w="155"/>
        <w:gridCol w:w="104"/>
        <w:gridCol w:w="140"/>
        <w:gridCol w:w="826"/>
        <w:gridCol w:w="155"/>
        <w:gridCol w:w="103"/>
        <w:gridCol w:w="140"/>
        <w:gridCol w:w="881"/>
        <w:gridCol w:w="161"/>
      </w:tblGrid>
      <w:tr>
        <w:trPr/>
        <w:tc>
          <w:tcPr>
            <w:tcW w:w="526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6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27" w:type="dxa"/>
            <w:gridSpan w:val="6"/>
            <w:tcBorders/>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245" w:type="dxa"/>
            <w:gridSpan w:val="6"/>
            <w:tcBorders/>
            <w:vAlign w:val="bottom"/>
          </w:tcPr>
          <w:p>
            <w:pPr>
              <w:pStyle w:val="TableContents"/>
              <w:bidi w:val="0"/>
              <w:spacing w:before="0" w:after="283"/>
              <w:jc w:val="center"/>
              <w:rPr>
                <w:b/>
              </w:rPr>
            </w:pPr>
            <w:r>
              <w:rPr>
                <w:b/>
              </w:rPr>
              <w:t>Year Ended</w:t>
              <w:br/>
              <w:t>December 31,</w:t>
            </w:r>
          </w:p>
        </w:tc>
        <w:tc>
          <w:tcPr>
            <w:tcW w:w="161" w:type="dxa"/>
            <w:tcBorders/>
            <w:vAlign w:val="bottom"/>
          </w:tcPr>
          <w:p>
            <w:pPr>
              <w:pStyle w:val="TableContents"/>
              <w:bidi w:val="0"/>
              <w:spacing w:before="0" w:after="283"/>
              <w:jc w:val="left"/>
              <w:rPr/>
            </w:pPr>
            <w:r>
              <w:rPr/>
              <w:t> </w:t>
            </w:r>
          </w:p>
        </w:tc>
      </w:tr>
      <w:tr>
        <w:trPr/>
        <w:tc>
          <w:tcPr>
            <w:tcW w:w="526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(20,478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(27,748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(58,765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(96,726</w:t>
            </w:r>
          </w:p>
        </w:tc>
        <w:tc>
          <w:tcPr>
            <w:tcW w:w="161"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participation interest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(1,928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(2,612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(5,532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(9,105</w:t>
            </w:r>
          </w:p>
        </w:tc>
        <w:tc>
          <w:tcPr>
            <w:tcW w:w="161" w:type="dxa"/>
            <w:tcBorders/>
            <w:vAlign w:val="bottom"/>
          </w:tcPr>
          <w:p>
            <w:pPr>
              <w:pStyle w:val="TableContents"/>
              <w:bidi w:val="0"/>
              <w:spacing w:before="0" w:after="283"/>
              <w:jc w:val="left"/>
              <w:rPr/>
            </w:pPr>
            <w:r>
              <w:rPr/>
              <w:t>) </w:t>
            </w:r>
          </w:p>
        </w:tc>
      </w:tr>
      <w:tr>
        <w:trPr/>
        <w:tc>
          <w:tcPr>
            <w:tcW w:w="5265"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(22,406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(30,360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(64,297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(105,831</w:t>
            </w:r>
          </w:p>
        </w:tc>
        <w:tc>
          <w:tcPr>
            <w:tcW w:w="161"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7,606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7,352</w:t>
            </w:r>
          </w:p>
        </w:tc>
        <w:tc>
          <w:tcPr>
            <w:tcW w:w="161"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30,770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33,281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126,729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136,627</w:t>
            </w:r>
          </w:p>
        </w:tc>
        <w:tc>
          <w:tcPr>
            <w:tcW w:w="161"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52,728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52,766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212,016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205,060</w:t>
            </w:r>
          </w:p>
        </w:tc>
        <w:tc>
          <w:tcPr>
            <w:tcW w:w="161" w:type="dxa"/>
            <w:tcBorders/>
            <w:vAlign w:val="bottom"/>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875</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1,985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1,318</w:t>
            </w:r>
          </w:p>
        </w:tc>
        <w:tc>
          <w:tcPr>
            <w:tcW w:w="161" w:type="dxa"/>
            <w:tcBorders/>
            <w:shd w:fill="CCEEFF" w:val="clear"/>
            <w:vAlign w:val="bottom"/>
          </w:tcPr>
          <w:p>
            <w:pPr>
              <w:pStyle w:val="TableContents"/>
              <w:bidi w:val="0"/>
              <w:spacing w:before="0" w:after="283"/>
              <w:jc w:val="left"/>
              <w:rPr/>
            </w:pPr>
            <w:r>
              <w:rPr/>
              <w:t> </w:t>
            </w:r>
          </w:p>
        </w:tc>
      </w:tr>
      <w:tr>
        <w:trPr/>
        <w:tc>
          <w:tcPr>
            <w:tcW w:w="5265"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510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807</w:t>
            </w:r>
          </w:p>
        </w:tc>
        <w:tc>
          <w:tcPr>
            <w:tcW w:w="161" w:type="dxa"/>
            <w:tcBorders/>
            <w:vAlign w:val="bottom"/>
          </w:tcPr>
          <w:p>
            <w:pPr>
              <w:pStyle w:val="TableContents"/>
              <w:bidi w:val="0"/>
              <w:spacing w:before="0" w:after="283"/>
              <w:jc w:val="left"/>
              <w:rPr/>
            </w:pPr>
            <w:r>
              <w:rPr/>
              <w:t> </w:t>
            </w:r>
          </w:p>
        </w:tc>
      </w:tr>
      <w:tr>
        <w:trPr/>
        <w:tc>
          <w:tcPr>
            <w:tcW w:w="5265"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60,178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56,739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284,549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245,333</w:t>
            </w:r>
          </w:p>
        </w:tc>
        <w:tc>
          <w:tcPr>
            <w:tcW w:w="161" w:type="dxa"/>
            <w:tcBorders/>
            <w:shd w:fill="CCEEFF" w:val="clear"/>
            <w:vAlign w:val="bottom"/>
          </w:tcPr>
          <w:p>
            <w:pPr>
              <w:pStyle w:val="TableContents"/>
              <w:bidi w:val="0"/>
              <w:spacing w:before="0" w:after="283"/>
              <w:jc w:val="left"/>
              <w:rPr/>
            </w:pPr>
            <w:r>
              <w:rPr/>
              <w:t> </w:t>
            </w:r>
          </w:p>
        </w:tc>
      </w:tr>
      <w:tr>
        <w:trPr/>
        <w:tc>
          <w:tcPr>
            <w:tcW w:w="5265"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9"/>
        <w:gridCol w:w="157"/>
        <w:gridCol w:w="140"/>
        <w:gridCol w:w="741"/>
        <w:gridCol w:w="288"/>
        <w:gridCol w:w="106"/>
        <w:gridCol w:w="140"/>
        <w:gridCol w:w="741"/>
        <w:gridCol w:w="288"/>
        <w:gridCol w:w="106"/>
        <w:gridCol w:w="140"/>
        <w:gridCol w:w="685"/>
        <w:gridCol w:w="288"/>
        <w:gridCol w:w="105"/>
        <w:gridCol w:w="140"/>
        <w:gridCol w:w="685"/>
        <w:gridCol w:w="296"/>
      </w:tblGrid>
      <w:tr>
        <w:trPr/>
        <w:tc>
          <w:tcPr>
            <w:tcW w:w="5159"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15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56" w:type="dxa"/>
            <w:gridSpan w:val="6"/>
            <w:tcBorders/>
            <w:vAlign w:val="bottom"/>
          </w:tcPr>
          <w:p>
            <w:pPr>
              <w:pStyle w:val="TableContents"/>
              <w:bidi w:val="0"/>
              <w:spacing w:before="0" w:after="283"/>
              <w:jc w:val="center"/>
              <w:rPr>
                <w:b/>
              </w:rPr>
            </w:pPr>
            <w:r>
              <w:rPr>
                <w:b/>
              </w:rPr>
              <w:t>Three Months Ended</w:t>
              <w:br/>
              <w:t>December 31,</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043" w:type="dxa"/>
            <w:gridSpan w:val="6"/>
            <w:tcBorders/>
            <w:vAlign w:val="bottom"/>
          </w:tcPr>
          <w:p>
            <w:pPr>
              <w:pStyle w:val="TableContents"/>
              <w:bidi w:val="0"/>
              <w:spacing w:before="0" w:after="283"/>
              <w:jc w:val="center"/>
              <w:rPr>
                <w:b/>
              </w:rPr>
            </w:pPr>
            <w:r>
              <w:rPr>
                <w:b/>
              </w:rPr>
              <w:t>Year Ended</w:t>
              <w:br/>
              <w:t>December 31,</w:t>
            </w:r>
          </w:p>
        </w:tc>
        <w:tc>
          <w:tcPr>
            <w:tcW w:w="296" w:type="dxa"/>
            <w:tcBorders/>
            <w:vAlign w:val="bottom"/>
          </w:tcPr>
          <w:p>
            <w:pPr>
              <w:pStyle w:val="TableContents"/>
              <w:bidi w:val="0"/>
              <w:spacing w:before="0" w:after="283"/>
              <w:jc w:val="left"/>
              <w:rPr/>
            </w:pPr>
            <w:r>
              <w:rPr/>
              <w:t> </w:t>
            </w:r>
          </w:p>
        </w:tc>
      </w:tr>
      <w:tr>
        <w:trPr/>
        <w:tc>
          <w:tcPr>
            <w:tcW w:w="515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6" w:type="dxa"/>
            <w:tcBorders/>
            <w:vAlign w:val="bottom"/>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Room Statistics: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sz w:val="4"/>
                <w:szCs w:val="4"/>
              </w:rPr>
            </w:pPr>
            <w:r>
              <w:rPr>
                <w:sz w:val="4"/>
                <w:szCs w:val="4"/>
              </w:rPr>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Average daily rate(3)</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174</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175</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171</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165</w:t>
            </w:r>
          </w:p>
        </w:tc>
        <w:tc>
          <w:tcPr>
            <w:tcW w:w="296" w:type="dxa"/>
            <w:tcBorders/>
            <w:vAlign w:val="bottom"/>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98</w:t>
            </w:r>
          </w:p>
        </w:tc>
        <w:tc>
          <w:tcPr>
            <w:tcW w:w="28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97</w:t>
            </w:r>
          </w:p>
        </w:tc>
        <w:tc>
          <w:tcPr>
            <w:tcW w:w="28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98</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96</w:t>
            </w:r>
          </w:p>
        </w:tc>
        <w:tc>
          <w:tcPr>
            <w:tcW w:w="296" w:type="dxa"/>
            <w:tcBorders/>
            <w:shd w:fill="CCEEFF" w:val="clear"/>
            <w:vAlign w:val="bottom"/>
          </w:tcPr>
          <w:p>
            <w:pPr>
              <w:pStyle w:val="TableContents"/>
              <w:bidi w:val="0"/>
              <w:spacing w:before="0" w:after="283"/>
              <w:jc w:val="left"/>
              <w:rPr/>
            </w:pPr>
            <w:r>
              <w:rPr/>
              <w:t>% </w:t>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Revenue per available room(4)</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169</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169</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167</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159</w:t>
            </w:r>
          </w:p>
        </w:tc>
        <w:tc>
          <w:tcPr>
            <w:tcW w:w="296" w:type="dxa"/>
            <w:tcBorders/>
            <w:vAlign w:val="bottom"/>
          </w:tcPr>
          <w:p>
            <w:pPr>
              <w:pStyle w:val="TableContents"/>
              <w:bidi w:val="0"/>
              <w:spacing w:before="0" w:after="283"/>
              <w:jc w:val="left"/>
              <w:rPr/>
            </w:pPr>
            <w:r>
              <w:rPr/>
              <w:t> </w:t>
            </w:r>
          </w:p>
        </w:tc>
      </w:tr>
      <w:tr>
        <w:trPr>
          <w:trHeight w:val="120" w:hRule="atLeast"/>
        </w:trPr>
        <w:tc>
          <w:tcPr>
            <w:tcW w:w="5159" w:type="dxa"/>
            <w:tcBorders/>
            <w:vAlign w:val="center"/>
          </w:tcPr>
          <w:p>
            <w:pPr>
              <w:pStyle w:val="TableContents"/>
              <w:bidi w:val="0"/>
              <w:spacing w:before="0" w:after="283"/>
              <w:jc w:val="left"/>
              <w:rPr>
                <w:sz w:val="4"/>
                <w:szCs w:val="4"/>
              </w:rPr>
            </w:pPr>
            <w:r>
              <w:rPr>
                <w:sz w:val="4"/>
                <w:szCs w:val="4"/>
              </w:rPr>
            </w:r>
          </w:p>
        </w:tc>
        <w:tc>
          <w:tcPr>
            <w:tcW w:w="1326" w:type="dxa"/>
            <w:gridSpan w:val="4"/>
            <w:tcBorders/>
            <w:vAlign w:val="center"/>
          </w:tcPr>
          <w:p>
            <w:pPr>
              <w:pStyle w:val="TableContents"/>
              <w:bidi w:val="0"/>
              <w:spacing w:before="0" w:after="283"/>
              <w:jc w:val="left"/>
              <w:rPr>
                <w:sz w:val="4"/>
                <w:szCs w:val="4"/>
              </w:rPr>
            </w:pPr>
            <w:r>
              <w:rPr>
                <w:sz w:val="4"/>
                <w:szCs w:val="4"/>
              </w:rPr>
            </w:r>
          </w:p>
        </w:tc>
        <w:tc>
          <w:tcPr>
            <w:tcW w:w="1275" w:type="dxa"/>
            <w:gridSpan w:val="4"/>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1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sz w:val="4"/>
                <w:szCs w:val="4"/>
              </w:rPr>
            </w:pPr>
            <w:r>
              <w:rPr>
                <w:sz w:val="4"/>
                <w:szCs w:val="4"/>
              </w:rPr>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253</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253</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253</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251</w:t>
            </w:r>
          </w:p>
        </w:tc>
        <w:tc>
          <w:tcPr>
            <w:tcW w:w="296" w:type="dxa"/>
            <w:tcBorders/>
            <w:vAlign w:val="bottom"/>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851</w:t>
            </w:r>
          </w:p>
        </w:tc>
        <w:tc>
          <w:tcPr>
            <w:tcW w:w="28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797</w:t>
            </w:r>
          </w:p>
        </w:tc>
        <w:tc>
          <w:tcPr>
            <w:tcW w:w="28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775</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709</w:t>
            </w:r>
          </w:p>
        </w:tc>
        <w:tc>
          <w:tcPr>
            <w:tcW w:w="296" w:type="dxa"/>
            <w:tcBorders/>
            <w:shd w:fill="CCEEFF" w:val="clear"/>
            <w:vAlign w:val="bottom"/>
          </w:tcPr>
          <w:p>
            <w:pPr>
              <w:pStyle w:val="TableContents"/>
              <w:bidi w:val="0"/>
              <w:spacing w:before="0" w:after="283"/>
              <w:jc w:val="left"/>
              <w:rPr/>
            </w:pPr>
            <w:r>
              <w:rPr/>
              <w:t> </w:t>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day(5)</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13,505</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12,563</w:t>
            </w:r>
          </w:p>
        </w:tc>
        <w:tc>
          <w:tcPr>
            <w:tcW w:w="28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13,635</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13,091</w:t>
            </w:r>
          </w:p>
        </w:tc>
        <w:tc>
          <w:tcPr>
            <w:tcW w:w="296" w:type="dxa"/>
            <w:tcBorders/>
            <w:vAlign w:val="bottom"/>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day(6)</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362</w:t>
            </w:r>
          </w:p>
        </w:tc>
        <w:tc>
          <w:tcPr>
            <w:tcW w:w="28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401</w:t>
            </w:r>
          </w:p>
        </w:tc>
        <w:tc>
          <w:tcPr>
            <w:tcW w:w="28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451</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431</w:t>
            </w:r>
          </w:p>
        </w:tc>
        <w:tc>
          <w:tcPr>
            <w:tcW w:w="29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games win per unit per day is shown before discounts, commissions, non-discretionary incentives (including the point-loyalty programs) as administered by the Gaming Operator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Gaming machines win per unit per day is shown before non-discretionary incentives (including the point-loyalty programs) as administered by the Gaming Operator and allocating casino revenues related to goods and services provided to gaming patrons on a complimentary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3494</Words>
  <Characters>19587</Characters>
  <CharactersWithSpaces>24133</CharactersWithSpaces>
  <Paragraphs>2243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Fourth Quarter of 2025</dc:title>
</cp:coreProperties>
</file>