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8673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673465"/>
                    </a:xfrm>
                    <a:prstGeom prst="rect">
                      <a:avLst/>
                    </a:prstGeom>
                    <a:noFill/>
                  </pic:spPr>
                </pic:pic>
              </a:graphicData>
            </a:graphic>
          </wp:anchor>
        </w:drawing>
      </w:r>
    </w:p>
    <w:p>
      <w:pPr>
        <w:spacing w:after="0" w:line="1187"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Point Capital, L.P.</w:t>
              </w:r>
            </w:hyperlink>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1"/>
          </w:tcPr>
          <w:p>
            <w:pPr>
              <w:spacing w:after="0" w:line="104"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STUDIO CITY INTERNATIONAL</w:t>
              </w:r>
            </w:hyperlink>
          </w:p>
        </w:tc>
        <w:tc>
          <w:tcPr>
            <w:tcW w:w="240" w:type="dxa"/>
            <w:vAlign w:val="bottom"/>
          </w:tcPr>
          <w:p>
            <w:pPr>
              <w:spacing w:after="0"/>
              <w:rPr>
                <w:sz w:val="9"/>
                <w:szCs w:val="9"/>
                <w:color w:val="auto"/>
              </w:rPr>
            </w:pPr>
          </w:p>
        </w:tc>
        <w:tc>
          <w:tcPr>
            <w:tcW w:w="16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6"/>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2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6"/>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gridSpan w:val="7"/>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HOLDINGS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w w:val="92"/>
              </w:rPr>
              <w:t>Director</w:t>
            </w: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gridSpan w:val="4"/>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40" w:type="dxa"/>
            <w:vAlign w:val="bottom"/>
            <w:tcBorders>
              <w:top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gridSpan w:val="7"/>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5"/>
                <w:szCs w:val="5"/>
                <w:color w:val="auto"/>
              </w:rPr>
            </w:pPr>
          </w:p>
        </w:tc>
        <w:tc>
          <w:tcPr>
            <w:tcW w:w="1540" w:type="dxa"/>
            <w:vAlign w:val="bottom"/>
            <w:gridSpan w:val="4"/>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380" w:type="dxa"/>
            <w:vAlign w:val="bottom"/>
            <w:tcBorders>
              <w:bottom w:val="single" w:sz="8" w:color="9A9A9A"/>
            </w:tcBorders>
          </w:tcPr>
          <w:p>
            <w:pPr>
              <w:spacing w:after="0" w:line="20" w:lineRule="exact"/>
              <w:rPr>
                <w:sz w:val="1"/>
                <w:szCs w:val="1"/>
                <w:color w:val="auto"/>
              </w:rPr>
            </w:pPr>
          </w:p>
        </w:tc>
        <w:tc>
          <w:tcPr>
            <w:tcW w:w="340" w:type="dxa"/>
            <w:vAlign w:val="bottom"/>
            <w:tcBorders>
              <w:bottom w:val="single" w:sz="8" w:color="9A9A9A"/>
            </w:tcBorders>
          </w:tcPr>
          <w:p>
            <w:pPr>
              <w:spacing w:after="0" w:line="20" w:lineRule="exact"/>
              <w:rPr>
                <w:sz w:val="1"/>
                <w:szCs w:val="1"/>
                <w:color w:val="auto"/>
              </w:rPr>
            </w:pPr>
          </w:p>
        </w:tc>
        <w:tc>
          <w:tcPr>
            <w:tcW w:w="38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0000EE"/>
              <w:bottom w:val="single" w:sz="8" w:color="0000EE"/>
            </w:tcBorders>
            <w:gridSpan w:val="5"/>
            <w:vMerge w:val="restart"/>
          </w:tcPr>
          <w:p>
            <w:pPr>
              <w:spacing w:after="0" w:line="136" w:lineRule="exact"/>
              <w:rPr>
                <w:sz w:val="20"/>
                <w:szCs w:val="20"/>
                <w:color w:val="auto"/>
              </w:rPr>
            </w:pPr>
            <w:r>
              <w:rPr>
                <w:rFonts w:ascii="Arial" w:cs="Arial" w:eastAsia="Arial" w:hAnsi="Arial"/>
                <w:sz w:val="13"/>
                <w:szCs w:val="13"/>
                <w:color w:val="auto"/>
                <w:w w:val="98"/>
              </w:rPr>
              <w:t>Foreign Trading Symbol</w:t>
            </w: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36" w:lineRule="exact"/>
              <w:rPr>
                <w:sz w:val="20"/>
                <w:szCs w:val="20"/>
                <w:color w:val="auto"/>
              </w:rPr>
            </w:pPr>
            <w:r>
              <w:rPr>
                <w:rFonts w:ascii="Arial" w:cs="Arial" w:eastAsia="Arial" w:hAnsi="Arial"/>
                <w:sz w:val="13"/>
                <w:szCs w:val="13"/>
                <w:color w:val="auto"/>
              </w:rPr>
              <w:t>(Last)</w:t>
            </w:r>
          </w:p>
        </w:tc>
        <w:tc>
          <w:tcPr>
            <w:tcW w:w="620" w:type="dxa"/>
            <w:vAlign w:val="bottom"/>
          </w:tcPr>
          <w:p>
            <w:pPr>
              <w:spacing w:after="0"/>
              <w:rPr>
                <w:sz w:val="12"/>
                <w:szCs w:val="12"/>
                <w:color w:val="auto"/>
              </w:rPr>
            </w:pPr>
          </w:p>
        </w:tc>
        <w:tc>
          <w:tcPr>
            <w:tcW w:w="1220" w:type="dxa"/>
            <w:vAlign w:val="bottom"/>
            <w:gridSpan w:val="4"/>
          </w:tcPr>
          <w:p>
            <w:pPr>
              <w:spacing w:after="0" w:line="136" w:lineRule="exact"/>
              <w:rPr>
                <w:sz w:val="20"/>
                <w:szCs w:val="20"/>
                <w:color w:val="auto"/>
              </w:rPr>
            </w:pPr>
            <w:r>
              <w:rPr>
                <w:rFonts w:ascii="Arial" w:cs="Arial" w:eastAsia="Arial" w:hAnsi="Arial"/>
                <w:sz w:val="13"/>
                <w:szCs w:val="13"/>
                <w:color w:val="auto"/>
              </w:rPr>
              <w:t>(First)</w:t>
            </w:r>
          </w:p>
        </w:tc>
        <w:tc>
          <w:tcPr>
            <w:tcW w:w="1100" w:type="dxa"/>
            <w:vAlign w:val="bottom"/>
          </w:tcPr>
          <w:p>
            <w:pPr>
              <w:spacing w:after="0" w:line="136" w:lineRule="exact"/>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ind w:left="300"/>
              <w:spacing w:after="0" w:line="143"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TWO GREENWICH PLAZA, SUITE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1320" w:type="dxa"/>
            <w:vAlign w:val="bottom"/>
            <w:gridSpan w:val="7"/>
            <w:vMerge w:val="restart"/>
          </w:tcPr>
          <w:p>
            <w:pPr>
              <w:ind w:left="260"/>
              <w:spacing w:after="0"/>
              <w:rPr>
                <w:sz w:val="20"/>
                <w:szCs w:val="20"/>
                <w:color w:val="auto"/>
              </w:rPr>
            </w:pPr>
            <w:r>
              <w:rPr>
                <w:rFonts w:ascii="Times New Roman" w:cs="Times New Roman" w:eastAsia="Times New Roman" w:hAnsi="Times New Roman"/>
                <w:sz w:val="17"/>
                <w:szCs w:val="17"/>
                <w:color w:val="0000FF"/>
              </w:rPr>
              <w:t>10/27/2026</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20" w:type="dxa"/>
            <w:vAlign w:val="bottom"/>
            <w:gridSpan w:val="7"/>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4"/>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2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2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06830</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20" w:type="dxa"/>
            <w:vAlign w:val="bottom"/>
            <w:gridSpan w:val="4"/>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4"/>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540" w:type="dxa"/>
            <w:vAlign w:val="bottom"/>
            <w:tcBorders>
              <w:top w:val="single" w:sz="8" w:color="2C2C2C"/>
            </w:tcBorders>
            <w:gridSpan w:val="21"/>
          </w:tcPr>
          <w:p>
            <w:pPr>
              <w:ind w:left="1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6"/>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7"/>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8"/>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400</w:t>
            </w: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line="310"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540" w:type="dxa"/>
            <w:vAlign w:val="bottom"/>
            <w:tcBorders>
              <w:top w:val="single" w:sz="8" w:color="2C2C2C"/>
            </w:tcBorders>
            <w:gridSpan w:val="21"/>
          </w:tcPr>
          <w:p>
            <w:pPr>
              <w:ind w:lef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40" w:type="dxa"/>
            <w:vAlign w:val="bottom"/>
            <w:gridSpan w:val="18"/>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8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Conversion</w:t>
            </w:r>
          </w:p>
        </w:tc>
        <w:tc>
          <w:tcPr>
            <w:tcW w:w="11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7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6"/>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American</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tcPr>
          <w:p>
            <w:pPr>
              <w:jc w:val="center"/>
              <w:ind w:right="2"/>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Depositary</w:t>
            </w: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ind w:left="280"/>
              <w:spacing w:after="0" w:line="143" w:lineRule="exact"/>
              <w:rPr>
                <w:sz w:val="20"/>
                <w:szCs w:val="20"/>
                <w:color w:val="auto"/>
              </w:rPr>
            </w:pPr>
            <w:r>
              <w:rPr>
                <w:rFonts w:ascii="Times New Roman" w:cs="Times New Roman" w:eastAsia="Times New Roman" w:hAnsi="Times New Roman"/>
                <w:sz w:val="13"/>
                <w:szCs w:val="13"/>
                <w:color w:val="0000FF"/>
              </w:rPr>
              <w:t>10/27/2026</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5"/>
          </w:tcPr>
          <w:p>
            <w:pPr>
              <w:ind w:left="80"/>
              <w:spacing w:after="0" w:line="143" w:lineRule="exact"/>
              <w:rPr>
                <w:sz w:val="20"/>
                <w:szCs w:val="20"/>
                <w:color w:val="auto"/>
              </w:rPr>
            </w:pPr>
            <w:r>
              <w:rPr>
                <w:rFonts w:ascii="Times New Roman" w:cs="Times New Roman" w:eastAsia="Times New Roman" w:hAnsi="Times New Roman"/>
                <w:sz w:val="13"/>
                <w:szCs w:val="13"/>
                <w:color w:val="0000FF"/>
              </w:rPr>
              <w:t>P</w:t>
            </w:r>
          </w:p>
        </w:tc>
        <w:tc>
          <w:tcPr>
            <w:tcW w:w="580" w:type="dxa"/>
            <w:vAlign w:val="bottom"/>
          </w:tcPr>
          <w:p>
            <w:pPr>
              <w:jc w:val="center"/>
              <w:ind w:left="1"/>
              <w:spacing w:after="0" w:line="143" w:lineRule="exact"/>
              <w:rPr>
                <w:sz w:val="20"/>
                <w:szCs w:val="20"/>
                <w:color w:val="auto"/>
              </w:rPr>
            </w:pPr>
            <w:r>
              <w:rPr>
                <w:rFonts w:ascii="Times New Roman" w:cs="Times New Roman" w:eastAsia="Times New Roman" w:hAnsi="Times New Roman"/>
                <w:sz w:val="13"/>
                <w:szCs w:val="13"/>
                <w:color w:val="0000FF"/>
              </w:rPr>
              <w:t>36,000</w:t>
            </w: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0.8</w:t>
            </w:r>
          </w:p>
        </w:tc>
        <w:tc>
          <w:tcPr>
            <w:tcW w:w="82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3"/>
                <w:szCs w:val="13"/>
                <w:color w:val="0000FF"/>
              </w:rPr>
              <w:t>31,379,563</w:t>
            </w:r>
          </w:p>
        </w:tc>
        <w:tc>
          <w:tcPr>
            <w:tcW w:w="7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gridSpan w:val="2"/>
          </w:tcPr>
          <w:p>
            <w:pPr>
              <w:jc w:val="center"/>
              <w:ind w:right="22"/>
              <w:spacing w:after="0"/>
              <w:rPr>
                <w:sz w:val="20"/>
                <w:szCs w:val="20"/>
                <w:color w:val="auto"/>
              </w:rPr>
            </w:pPr>
            <w:r>
              <w:rPr>
                <w:rFonts w:ascii="Times New Roman" w:cs="Times New Roman" w:eastAsia="Times New Roman" w:hAnsi="Times New Roman"/>
                <w:sz w:val="13"/>
                <w:szCs w:val="13"/>
                <w:color w:val="0000FF"/>
                <w:w w:val="97"/>
              </w:rPr>
              <w:t>Shares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American</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tcPr>
          <w:p>
            <w:pPr>
              <w:jc w:val="center"/>
              <w:ind w:right="2"/>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Depositary</w:t>
            </w: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ind w:left="280"/>
              <w:spacing w:after="0" w:line="143" w:lineRule="exact"/>
              <w:rPr>
                <w:sz w:val="20"/>
                <w:szCs w:val="20"/>
                <w:color w:val="auto"/>
              </w:rPr>
            </w:pPr>
            <w:r>
              <w:rPr>
                <w:rFonts w:ascii="Times New Roman" w:cs="Times New Roman" w:eastAsia="Times New Roman" w:hAnsi="Times New Roman"/>
                <w:sz w:val="13"/>
                <w:szCs w:val="13"/>
                <w:color w:val="0000FF"/>
              </w:rPr>
              <w:t>10/28/2026</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5"/>
          </w:tcPr>
          <w:p>
            <w:pPr>
              <w:ind w:left="80"/>
              <w:spacing w:after="0" w:line="143" w:lineRule="exact"/>
              <w:rPr>
                <w:sz w:val="20"/>
                <w:szCs w:val="20"/>
                <w:color w:val="auto"/>
              </w:rPr>
            </w:pPr>
            <w:r>
              <w:rPr>
                <w:rFonts w:ascii="Times New Roman" w:cs="Times New Roman" w:eastAsia="Times New Roman" w:hAnsi="Times New Roman"/>
                <w:sz w:val="13"/>
                <w:szCs w:val="13"/>
                <w:color w:val="0000FF"/>
              </w:rPr>
              <w:t>P</w:t>
            </w:r>
          </w:p>
        </w:tc>
        <w:tc>
          <w:tcPr>
            <w:tcW w:w="580" w:type="dxa"/>
            <w:vAlign w:val="bottom"/>
          </w:tcPr>
          <w:p>
            <w:pPr>
              <w:jc w:val="center"/>
              <w:ind w:left="21"/>
              <w:spacing w:after="0" w:line="143" w:lineRule="exact"/>
              <w:rPr>
                <w:sz w:val="20"/>
                <w:szCs w:val="20"/>
                <w:color w:val="auto"/>
              </w:rPr>
            </w:pPr>
            <w:r>
              <w:rPr>
                <w:rFonts w:ascii="Times New Roman" w:cs="Times New Roman" w:eastAsia="Times New Roman" w:hAnsi="Times New Roman"/>
                <w:sz w:val="13"/>
                <w:szCs w:val="13"/>
                <w:color w:val="0000FF"/>
              </w:rPr>
              <w:t>7,000</w:t>
            </w: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0.79</w:t>
            </w:r>
          </w:p>
        </w:tc>
        <w:tc>
          <w:tcPr>
            <w:tcW w:w="82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3"/>
                <w:szCs w:val="13"/>
                <w:color w:val="0000FF"/>
              </w:rPr>
              <w:t>31,386,563</w:t>
            </w:r>
          </w:p>
        </w:tc>
        <w:tc>
          <w:tcPr>
            <w:tcW w:w="7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gridSpan w:val="2"/>
          </w:tcPr>
          <w:p>
            <w:pPr>
              <w:jc w:val="center"/>
              <w:ind w:right="22"/>
              <w:spacing w:after="0"/>
              <w:rPr>
                <w:sz w:val="20"/>
                <w:szCs w:val="20"/>
                <w:color w:val="auto"/>
              </w:rPr>
            </w:pPr>
            <w:r>
              <w:rPr>
                <w:rFonts w:ascii="Times New Roman" w:cs="Times New Roman" w:eastAsia="Times New Roman" w:hAnsi="Times New Roman"/>
                <w:sz w:val="13"/>
                <w:szCs w:val="13"/>
                <w:color w:val="0000FF"/>
                <w:w w:val="97"/>
              </w:rPr>
              <w:t>Shares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American</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tcPr>
          <w:p>
            <w:pPr>
              <w:jc w:val="center"/>
              <w:ind w:right="2"/>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Depositary</w:t>
            </w: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ind w:left="280"/>
              <w:spacing w:after="0" w:line="143" w:lineRule="exact"/>
              <w:rPr>
                <w:sz w:val="20"/>
                <w:szCs w:val="20"/>
                <w:color w:val="auto"/>
              </w:rPr>
            </w:pPr>
            <w:r>
              <w:rPr>
                <w:rFonts w:ascii="Times New Roman" w:cs="Times New Roman" w:eastAsia="Times New Roman" w:hAnsi="Times New Roman"/>
                <w:sz w:val="13"/>
                <w:szCs w:val="13"/>
                <w:color w:val="0000FF"/>
              </w:rPr>
              <w:t>10/29/2026</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5"/>
          </w:tcPr>
          <w:p>
            <w:pPr>
              <w:ind w:left="80"/>
              <w:spacing w:after="0" w:line="143" w:lineRule="exact"/>
              <w:rPr>
                <w:sz w:val="20"/>
                <w:szCs w:val="20"/>
                <w:color w:val="auto"/>
              </w:rPr>
            </w:pPr>
            <w:r>
              <w:rPr>
                <w:rFonts w:ascii="Times New Roman" w:cs="Times New Roman" w:eastAsia="Times New Roman" w:hAnsi="Times New Roman"/>
                <w:sz w:val="13"/>
                <w:szCs w:val="13"/>
                <w:color w:val="0000FF"/>
              </w:rPr>
              <w:t>P</w:t>
            </w:r>
          </w:p>
        </w:tc>
        <w:tc>
          <w:tcPr>
            <w:tcW w:w="580" w:type="dxa"/>
            <w:vAlign w:val="bottom"/>
          </w:tcPr>
          <w:p>
            <w:pPr>
              <w:jc w:val="center"/>
              <w:ind w:left="21"/>
              <w:spacing w:after="0" w:line="143" w:lineRule="exact"/>
              <w:rPr>
                <w:sz w:val="20"/>
                <w:szCs w:val="20"/>
                <w:color w:val="auto"/>
              </w:rPr>
            </w:pPr>
            <w:r>
              <w:rPr>
                <w:rFonts w:ascii="Times New Roman" w:cs="Times New Roman" w:eastAsia="Times New Roman" w:hAnsi="Times New Roman"/>
                <w:sz w:val="13"/>
                <w:szCs w:val="13"/>
                <w:color w:val="0000FF"/>
              </w:rPr>
              <w:t>1,000</w:t>
            </w: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0.79</w:t>
            </w:r>
          </w:p>
        </w:tc>
        <w:tc>
          <w:tcPr>
            <w:tcW w:w="82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3"/>
                <w:szCs w:val="13"/>
                <w:color w:val="0000FF"/>
              </w:rPr>
              <w:t>31,387,563</w:t>
            </w:r>
          </w:p>
        </w:tc>
        <w:tc>
          <w:tcPr>
            <w:tcW w:w="7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gridSpan w:val="2"/>
          </w:tcPr>
          <w:p>
            <w:pPr>
              <w:jc w:val="center"/>
              <w:ind w:right="22"/>
              <w:spacing w:after="0"/>
              <w:rPr>
                <w:sz w:val="20"/>
                <w:szCs w:val="20"/>
                <w:color w:val="auto"/>
              </w:rPr>
            </w:pPr>
            <w:r>
              <w:rPr>
                <w:rFonts w:ascii="Times New Roman" w:cs="Times New Roman" w:eastAsia="Times New Roman" w:hAnsi="Times New Roman"/>
                <w:sz w:val="13"/>
                <w:szCs w:val="13"/>
                <w:color w:val="0000FF"/>
                <w:w w:val="97"/>
              </w:rPr>
              <w:t>Shares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8"/>
          </w:tcPr>
          <w:p>
            <w:pPr>
              <w:ind w:left="60"/>
              <w:spacing w:after="0" w:line="230"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6"/>
          </w:tcPr>
          <w:p>
            <w:pPr>
              <w:spacing w:after="0" w:line="22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Point Capital, L.P.</w:t>
              </w:r>
            </w:hyperlink>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TWO GREENWICH PLAZA, SUITE 1</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2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06830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6"/>
          </w:tcPr>
          <w:p>
            <w:pPr>
              <w:spacing w:after="0" w:line="222"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MULE EDWARD A</w:t>
              </w:r>
            </w:hyperlink>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TWO GREENWICH PLAZA, SUITE 1</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2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06830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-5581650</wp:posOffset>
            </wp:positionV>
            <wp:extent cx="29210" cy="272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272859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p>
      <w:pPr>
        <w:spacing w:after="0" w:line="30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11145" cy="16065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11145" cy="1606550"/>
                    </a:xfrm>
                    <a:prstGeom prst="rect">
                      <a:avLst/>
                    </a:prstGeom>
                    <a:noFill/>
                  </pic:spPr>
                </pic:pic>
              </a:graphicData>
            </a:graphic>
          </wp:anchor>
        </w:drawing>
        <w:t>1. Name and Address of Reporting Person</w:t>
      </w:r>
      <w:r>
        <w:rPr>
          <w:rFonts w:ascii="Arial" w:cs="Arial" w:eastAsia="Arial" w:hAnsi="Arial"/>
          <w:sz w:val="21"/>
          <w:szCs w:val="21"/>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O'Shea Robert J</w:t>
        </w:r>
      </w:hyperlink>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(Last)</w:t>
            </w:r>
          </w:p>
        </w:tc>
        <w:tc>
          <w:tcPr>
            <w:tcW w:w="1560" w:type="dxa"/>
            <w:vAlign w:val="bottom"/>
          </w:tcPr>
          <w:p>
            <w:pPr>
              <w:ind w:left="200"/>
              <w:spacing w:after="0"/>
              <w:rPr>
                <w:sz w:val="20"/>
                <w:szCs w:val="20"/>
                <w:color w:val="auto"/>
              </w:rPr>
            </w:pPr>
            <w:r>
              <w:rPr>
                <w:rFonts w:ascii="Arial" w:cs="Arial" w:eastAsia="Arial" w:hAnsi="Arial"/>
                <w:sz w:val="13"/>
                <w:szCs w:val="13"/>
                <w:color w:val="auto"/>
              </w:rPr>
              <w:t>(First)</w:t>
            </w:r>
          </w:p>
        </w:tc>
        <w:tc>
          <w:tcPr>
            <w:tcW w:w="140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TWO GREENWICH PLAZA, SUITE 1</w:t>
            </w:r>
          </w:p>
        </w:tc>
        <w:tc>
          <w:tcPr>
            <w:tcW w:w="1400" w:type="dxa"/>
            <w:vAlign w:val="bottom"/>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r>
      <w:tr>
        <w:trPr>
          <w:trHeight w:val="260"/>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CT</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06830</w:t>
            </w:r>
          </w:p>
        </w:tc>
      </w:tr>
      <w:tr>
        <w:trPr>
          <w:trHeight w:val="150"/>
        </w:trPr>
        <w:tc>
          <w:tcPr>
            <w:tcW w:w="2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1560" w:type="dxa"/>
            <w:vAlign w:val="bottom"/>
          </w:tcPr>
          <w:p>
            <w:pPr>
              <w:ind w:left="200"/>
              <w:spacing w:after="0"/>
              <w:rPr>
                <w:sz w:val="20"/>
                <w:szCs w:val="20"/>
                <w:color w:val="auto"/>
              </w:rPr>
            </w:pPr>
            <w:r>
              <w:rPr>
                <w:rFonts w:ascii="Arial" w:cs="Arial" w:eastAsia="Arial" w:hAnsi="Arial"/>
                <w:sz w:val="13"/>
                <w:szCs w:val="13"/>
                <w:color w:val="auto"/>
              </w:rPr>
              <w:t>(State)</w:t>
            </w:r>
          </w:p>
        </w:tc>
        <w:tc>
          <w:tcPr>
            <w:tcW w:w="140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firstLine="2"/>
        <w:spacing w:after="0" w:line="236"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Point Capital, L.P. ("Silver Point") or its wholly owned subsidiaries are the investment managers of Silver Point Capital Fund, L.P., Silver Point Capital Offshore Master Fund, L.P., Silver Point Distressed Opportunities Fund, L.P., Silver Point Distressed Opportunities Offshore Master Fund, L.P., Silver Point Distressed Opportunity Institutional Partners Master Fund (Offshore), L.P. and Silver Point Distressed Opportunity Institutional Partners, L.P. (the "Funds") and, by reason of such status, may be deemed to be the beneficial owner of all the reported securities held by the Funds. Silver Point Capital Management, LLC ("Management") is the general partner of Silver Point and as a result may be deemed to be the beneficial owner of all securities held by the Funds. Messrs. Edward A. Mule and Robert J. O'Shea are each members of Management and as a result may be deemed to be the beneficial owner of all of the securities held by the Funds. Messrs. Mule and O'Shea disclaim</w:t>
      </w:r>
    </w:p>
    <w:p>
      <w:pPr>
        <w:spacing w:after="0" w:line="28"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beneficial ownership of the reported securities held by Funds except to the extent of their pecuniary interests.</w:t>
      </w:r>
    </w:p>
    <w:p>
      <w:pPr>
        <w:spacing w:after="0" w:line="44"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is convertible at any time, at the holder's election, into four Class A Ordinary Shares of the issuer. The American Depositary Shares have no expiration date.</w:t>
      </w:r>
    </w:p>
    <w:p>
      <w:pPr>
        <w:sectPr>
          <w:pgSz w:w="11900" w:h="16838" w:orient="portrait"/>
          <w:cols w:equalWidth="0" w:num="1">
            <w:col w:w="10720"/>
          </w:cols>
          <w:pgMar w:left="500" w:top="154" w:right="679" w:bottom="1440" w:gutter="0" w:footer="0" w:header="0"/>
        </w:sectPr>
      </w:pPr>
    </w:p>
    <w:p>
      <w:pPr>
        <w:spacing w:after="0" w:line="7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Steven Weiser,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-8890</wp:posOffset>
            </wp:positionV>
            <wp:extent cx="1268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Signatory on behalf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-15875</wp:posOffset>
            </wp:positionV>
            <wp:extent cx="1240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Point 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-15875</wp:posOffset>
            </wp:positionV>
            <wp:extent cx="7804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6"/>
          <w:szCs w:val="16"/>
          <w:color w:val="0000FF"/>
        </w:rPr>
        <w:t>/s/ Steven Weiser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-1270</wp:posOffset>
            </wp:positionV>
            <wp:extent cx="13023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1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6"/>
          <w:szCs w:val="16"/>
          <w:color w:val="0000FF"/>
        </w:rPr>
        <w:t>in-fact on behalf of Edward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-8255</wp:posOffset>
            </wp:positionV>
            <wp:extent cx="13112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Mule,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-15875</wp:posOffset>
            </wp:positionV>
            <wp:extent cx="830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830580" cy="825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6"/>
          <w:szCs w:val="16"/>
          <w:color w:val="0000FF"/>
        </w:rPr>
        <w:t>/s/ Steven Weiser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-1270</wp:posOffset>
            </wp:positionV>
            <wp:extent cx="13023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02385" cy="8255"/>
                    </a:xfrm>
                    <a:prstGeom prst="rect">
                      <a:avLst/>
                    </a:prstGeom>
                    <a:noFill/>
                  </pic:spPr>
                </pic:pic>
              </a:graphicData>
            </a:graphic>
          </wp:anchor>
        </w:drawing>
      </w:r>
    </w:p>
    <w:p>
      <w:pPr>
        <w:spacing w:after="0" w:line="1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on behalf of Robert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-15875</wp:posOffset>
            </wp:positionV>
            <wp:extent cx="1233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O'Shea,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-15875</wp:posOffset>
            </wp:positionV>
            <wp:extent cx="909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909320" cy="8255"/>
                    </a:xfrm>
                    <a:prstGeom prst="rect">
                      <a:avLst/>
                    </a:prstGeom>
                    <a:noFill/>
                  </pic:spPr>
                </pic:pic>
              </a:graphicData>
            </a:graphic>
          </wp:anchor>
        </w:drawing>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4864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4864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4864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5" w:lineRule="exact"/>
        <w:rPr>
          <w:sz w:val="20"/>
          <w:szCs w:val="20"/>
          <w:color w:val="auto"/>
        </w:rPr>
      </w:pPr>
    </w:p>
    <w:p>
      <w:pPr>
        <w:sectPr>
          <w:pgSz w:w="11900" w:h="16838" w:orient="portrait"/>
          <w:cols w:equalWidth="0" w:num="2">
            <w:col w:w="8620" w:space="120"/>
            <w:col w:w="1980"/>
          </w:cols>
          <w:pgMar w:left="500" w:top="154" w:right="67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240" w:firstLine="2"/>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54"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13" Type="http://schemas.openxmlformats.org/officeDocument/2006/relationships/hyperlink" Target="http://www.sec.gov/cgi-bin/browse-edgar?action=getcompany&amp;CIK=0001332784" TargetMode="External"/><Relationship Id="rId14" Type="http://schemas.openxmlformats.org/officeDocument/2006/relationships/hyperlink" Target="http://www.sec.gov/cgi-bin/browse-edgar?action=getcompany&amp;CIK=0001713334" TargetMode="External"/><Relationship Id="rId15" Type="http://schemas.openxmlformats.org/officeDocument/2006/relationships/hyperlink" Target="http://www.sec.gov/cgi-bin/browse-edgar?action=getcompany&amp;CIK=0001029625" TargetMode="External"/><Relationship Id="rId18" Type="http://schemas.openxmlformats.org/officeDocument/2006/relationships/hyperlink" Target="http://www.sec.gov/cgi-bin/browse-edgar?action=getcompany&amp;CIK=0001382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2026-10-29T17:20:31Z</dcterms:created>
  <dcterms:modified xsi:type="dcterms:W3CDTF">2026-10-29T17:20:31Z</dcterms:modified>
</cp:coreProperties>
</file>