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5"/>
                <w:szCs w:val="15"/>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Press Release</w:t>
            </w:r>
          </w:p>
        </w:tc>
      </w:tr>
    </w:tbl>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173990</wp:posOffset>
            </wp:positionV>
            <wp:extent cx="1585595"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55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Company Limited Announces Results of its Tender Offer for Any and All of its 7.00% senior secured notes due 2027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MACAU, Wednesday, May 13, 2026 – </w:t>
      </w:r>
      <w:r>
        <w:rPr>
          <w:rFonts w:ascii="Times New Roman" w:cs="Times New Roman" w:eastAsia="Times New Roman" w:hAnsi="Times New Roman"/>
          <w:sz w:val="18"/>
          <w:szCs w:val="18"/>
          <w:color w:val="auto"/>
        </w:rPr>
        <w:t>Studio City Company Limited (“</w:t>
      </w:r>
      <w:r>
        <w:rPr>
          <w:rFonts w:ascii="Times New Roman" w:cs="Times New Roman" w:eastAsia="Times New Roman" w:hAnsi="Times New Roman"/>
          <w:sz w:val="18"/>
          <w:szCs w:val="18"/>
          <w:b w:val="1"/>
          <w:bCs w:val="1"/>
          <w:color w:val="auto"/>
        </w:rPr>
        <w:t>Studio City Company</w:t>
      </w:r>
      <w:r>
        <w:rPr>
          <w:rFonts w:ascii="Times New Roman" w:cs="Times New Roman" w:eastAsia="Times New Roman" w:hAnsi="Times New Roman"/>
          <w:sz w:val="18"/>
          <w:szCs w:val="18"/>
          <w:color w:val="auto"/>
        </w:rPr>
        <w:t>”) today announces the results of its previously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conditional cash tender offer for any and all of its outstanding 7.00% senior secured notes due 2027 (CUSIP Numbers G8539E AC9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86400G AC3; ISIN USG8539EAC96 and US86400GAC33) (the “</w:t>
      </w:r>
      <w:r>
        <w:rPr>
          <w:rFonts w:ascii="Times New Roman" w:cs="Times New Roman" w:eastAsia="Times New Roman" w:hAnsi="Times New Roman"/>
          <w:sz w:val="18"/>
          <w:szCs w:val="18"/>
          <w:b w:val="1"/>
          <w:bCs w:val="1"/>
          <w:color w:val="auto"/>
        </w:rPr>
        <w:t>2027 SCC Senior Secured Notes</w:t>
      </w:r>
      <w:r>
        <w:rPr>
          <w:rFonts w:ascii="Times New Roman" w:cs="Times New Roman" w:eastAsia="Times New Roman" w:hAnsi="Times New Roman"/>
          <w:sz w:val="18"/>
          <w:szCs w:val="18"/>
          <w:color w:val="auto"/>
        </w:rPr>
        <w:t>” and such conditional tender offer,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Conditional Tender Offer</w:t>
      </w:r>
      <w:r>
        <w:rPr>
          <w:rFonts w:ascii="Times New Roman" w:cs="Times New Roman" w:eastAsia="Times New Roman" w:hAnsi="Times New Roman"/>
          <w:sz w:val="18"/>
          <w:szCs w:val="18"/>
          <w:color w:val="auto"/>
        </w:rPr>
        <w:t>”) as further described in the Offer to Purchase dated May 6,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related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Delivery. Capitalized terms used in this announcement but not defined herein have the meanings given to them in the Offer to Purchase.</w:t>
      </w:r>
    </w:p>
    <w:p>
      <w:pPr>
        <w:spacing w:after="0" w:line="2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Conditional Tender Offer expired at 5:00 p.m., New York City time, on May 12, 2026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The deadline for delivery of Notes tendered pursuant to the guaranteed delivery procedures described in the Offer to Purchase is 5:00 p.m., New York City time, on May 14, 2026. At or prior to the Expiration Time, US$196,421,000 aggregate principal amount of the Notes were validly tendered (and not validly withdrawn) and an additional US$1,500,000 aggregate principal of the Notes were subject to the guaranteed delivery procedures.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consideration for each US$1,000 principal amount of the 2027 SCC Senior Secured Notes validly tendered prior to the Expiration Time and accepted for purchase pursuant to the Conditional Tender Offer will be US$1,001.25. Subject to the conditions (including the Financing Condition) set out in “Terms of the Offer—Conditions to the Offer” in the Offer to Purchase having been satisfied or otherwise waived by Studio City Company, as the case may be, Studio City Company expects to accept for purchase all of the 2027 SCC Senior Secured Notes that were validly tendered (and not validly withdrawn) pursuant to the Conditional Tender Offer and pay the consideration to the Holders of the 2027 SCC Senior Secured Notes accepted for purchase in the Conditional Tender Offer promptly after the Expiration Time on the settlement date, which is expected to be on May 15, 2026.</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Conditional Tender Offer was made solely pursuant to the Offer to Purchase, which sets forth the complete terms of the Conditional Tender Offer. Copies of the Offer to Purchase are available from the Tender and Information Agent at the following website: https://deals.is.kroll.com/studiocity. Studio City Company has engaged Deutsche Bank AG, Singapore Branch to act as the dealer manager for the Conditional Tender Offer. Questions regarding the terms of the Conditional Tender Offer should be directed to Deutsche Bank AG, Singapore Branch at One Raffles Quay, #17-00 South Tower, Singapore 048583, Attention: Global Risk Syndicate (Tel: +65 6423-4229), with a copy to Deutsche Bank AG, London Branch at 21 Moorfields, London EC2Y 9DB, United Kingdom, Attention: Liability Management Group (Tel: +44 20-7545-8011) and Deutsche Bank Securities Inc. at 1 Columbus Circle, New York, New York 10019, United States of America, Attention: Liability Management Group (Tel: +1 212-250-7527) with a copy at the same address to Attention of the General Counsel, 19th Floor at the email of dbcapmarkets.gcnotices@list.db.com. Studio City Company has appointed Kroll Issuer Services Limited to serve as the Tender and Information Agent for the Conditional Tender Offer. Questions regarding the Conditional Tender Offer or requests for additional copies of the Offer to Purchase should be directed to Kroll Issuer Services Limited, Attention: Kevin Wong / Alison Lee (Tel: +852 2281 0114 / +44 20 7704 0880, Email: </w:t>
      </w:r>
      <w:r>
        <w:rPr>
          <w:rFonts w:ascii="Times New Roman" w:cs="Times New Roman" w:eastAsia="Times New Roman" w:hAnsi="Times New Roman"/>
          <w:sz w:val="18"/>
          <w:szCs w:val="18"/>
          <w:u w:val="single" w:color="auto"/>
          <w:color w:val="auto"/>
        </w:rPr>
        <w:t>studiocity@is.kroll.com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90805</wp:posOffset>
            </wp:positionV>
            <wp:extent cx="54089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8930" cy="13716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0"/>
                    </a:xfrm>
                    <a:prstGeom prst="rect">
                      <a:avLst/>
                    </a:prstGeom>
                    <a:noFill/>
                  </pic:spPr>
                </pic:pic>
              </a:graphicData>
            </a:graphic>
          </wp:anchor>
        </w:drawing>
        <w:t>This press release is not an offer to sell, a solicitation to buy or an offer to purchase or sell any securities. The Conditional Tender Offer was made solely by the Offer to Purchase.</w:t>
      </w:r>
    </w:p>
    <w:p>
      <w:pPr>
        <w:spacing w:after="0" w:line="162"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The distribution of this announcement in certain jurisdictions may be restricted by law. Persons into whose possession this press release comes are required to inform themselves about, and to observe, any such restrictions.</w:t>
      </w:r>
    </w:p>
    <w:p>
      <w:pPr>
        <w:spacing w:after="0" w:line="160" w:lineRule="exact"/>
        <w:rPr>
          <w:sz w:val="20"/>
          <w:szCs w:val="20"/>
          <w:color w:val="auto"/>
        </w:rPr>
      </w:pPr>
    </w:p>
    <w:p>
      <w:pPr>
        <w:ind w:left="4"/>
        <w:spacing w:after="0" w:line="290" w:lineRule="auto"/>
        <w:rPr>
          <w:sz w:val="20"/>
          <w:szCs w:val="20"/>
          <w:color w:val="auto"/>
        </w:rPr>
      </w:pPr>
      <w:r>
        <w:rPr>
          <w:rFonts w:ascii="Times New Roman" w:cs="Times New Roman" w:eastAsia="Times New Roman" w:hAnsi="Times New Roman"/>
          <w:sz w:val="17"/>
          <w:szCs w:val="17"/>
          <w:i w:val="1"/>
          <w:iCs w:val="1"/>
          <w:color w:val="auto"/>
        </w:rPr>
        <w:t>This press release is for information purposes only and does not constitute an invitation or offer to acquire, purchase or subscribe for the securities referred to herein. Nothing in this press release constitutes an offer to buy, or a solicitation of an offer to sell, securities in the United States or any other jurisdiction in which such offer or solicitation would be unlawful prior to registration or qualification under the securities laws of any such jurisdiction.</w:t>
      </w:r>
    </w:p>
    <w:p>
      <w:pPr>
        <w:spacing w:after="0" w:line="15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Without limiting the generality of the foregoing, forward-looking statements contained in this press release specifically include statements regarding Studio City Company’s plans and expected timing with respect to the Conditional Tender Offer. Studio City International Holdings Limited may also make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the Studio City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w:t>
      </w:r>
    </w:p>
    <w:p>
      <w:pPr>
        <w:ind w:left="4" w:right="220" w:hanging="4"/>
        <w:spacing w:after="0" w:line="25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Offer to Purchase. All information provided in this press release is as of the date of this press release, and Studio City Company undertakes no duty to update such information,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88900</wp:posOffset>
            </wp:positionV>
            <wp:extent cx="54089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8930" cy="137160"/>
                    </a:xfrm>
                    <a:prstGeom prst="rect">
                      <a:avLst/>
                    </a:prstGeom>
                    <a:noFill/>
                  </pic:spPr>
                </pic:pic>
              </a:graphicData>
            </a:graphic>
          </wp:anchor>
        </w:drawing>
      </w:r>
    </w:p>
    <w:p>
      <w:pPr>
        <w:sectPr>
          <w:pgSz w:w="11900" w:h="16838" w:orient="portrait"/>
          <w:cols w:equalWidth="0" w:num="1">
            <w:col w:w="10984"/>
          </w:cols>
          <w:pgMar w:left="436" w:top="135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For the investment community, please contact: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Jeanny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100330</wp:posOffset>
            </wp:positionV>
            <wp:extent cx="54864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0" cy="137160"/>
                    </a:xfrm>
                    <a:prstGeom prst="rect">
                      <a:avLst/>
                    </a:prstGeom>
                    <a:noFill/>
                  </pic:spPr>
                </pic:pic>
              </a:graphicData>
            </a:graphic>
          </wp:anchor>
        </w:drawing>
      </w:r>
    </w:p>
    <w:sectPr>
      <w:pgSz w:w="11900" w:h="16838" w:orient="portrait"/>
      <w:cols w:equalWidth="0" w:num="1">
        <w:col w:w="10019"/>
      </w:cols>
      <w:pgMar w:left="440" w:top="13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2026-05-13T06:05:17Z</dcterms:created>
  <dcterms:modified xsi:type="dcterms:W3CDTF">2026-05-13T06:05:17Z</dcterms:modified>
</cp:coreProperties>
</file>