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868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8680450"/>
                    </a:xfrm>
                    <a:prstGeom prst="rect">
                      <a:avLst/>
                    </a:prstGeom>
                    <a:noFill/>
                  </pic:spPr>
                </pic:pic>
              </a:graphicData>
            </a:graphic>
          </wp:anchor>
        </w:drawing>
      </w:r>
    </w:p>
    <w:p>
      <w:pPr>
        <w:spacing w:after="0" w:line="1178" w:lineRule="exact"/>
        <w:rPr>
          <w:sz w:val="24"/>
          <w:szCs w:val="24"/>
          <w:color w:val="auto"/>
        </w:rPr>
      </w:pPr>
    </w:p>
    <w:p>
      <w:pPr>
        <w:sectPr>
          <w:pgSz w:w="11900" w:h="16839" w:orient="portrait"/>
          <w:cols w:equalWidth="0" w:num="2">
            <w:col w:w="2320" w:space="260"/>
            <w:col w:w="8500"/>
          </w:cols>
          <w:pgMar w:left="460" w:top="217"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6"/>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Point Capital, L.P.</w:t>
              </w:r>
            </w:hyperlink>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560" w:type="dxa"/>
            <w:vAlign w:val="bottom"/>
            <w:gridSpan w:val="11"/>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STUDIO CITY INTERNATIONAL</w:t>
              </w:r>
            </w:hyperlink>
          </w:p>
        </w:tc>
        <w:tc>
          <w:tcPr>
            <w:tcW w:w="20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40" w:type="dxa"/>
            <w:vAlign w:val="bottom"/>
            <w:gridSpan w:val="6"/>
            <w:vMerge w:val="continue"/>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6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6"/>
            <w:vMerge w:val="continue"/>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40" w:type="dxa"/>
            <w:vAlign w:val="bottom"/>
            <w:gridSpan w:val="8"/>
            <w:vMerge w:val="restart"/>
          </w:tcPr>
          <w:p>
            <w:pPr>
              <w:spacing w:after="0" w:line="219"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HOLDINGS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40" w:type="dxa"/>
            <w:vAlign w:val="bottom"/>
            <w:gridSpan w:val="4"/>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38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40" w:type="dxa"/>
            <w:vAlign w:val="bottom"/>
            <w:gridSpan w:val="8"/>
            <w:vMerge w:val="continue"/>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40" w:type="dxa"/>
            <w:vAlign w:val="bottom"/>
            <w:gridSpan w:val="8"/>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40" w:type="dxa"/>
            <w:vAlign w:val="bottom"/>
          </w:tcPr>
          <w:p>
            <w:pPr>
              <w:spacing w:after="0"/>
              <w:rPr>
                <w:sz w:val="5"/>
                <w:szCs w:val="5"/>
                <w:color w:val="auto"/>
              </w:rPr>
            </w:pPr>
          </w:p>
        </w:tc>
        <w:tc>
          <w:tcPr>
            <w:tcW w:w="1540" w:type="dxa"/>
            <w:vAlign w:val="bottom"/>
            <w:gridSpan w:val="4"/>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380" w:type="dxa"/>
            <w:vAlign w:val="bottom"/>
            <w:tcBorders>
              <w:bottom w:val="single" w:sz="8" w:color="9A9A9A"/>
            </w:tcBorders>
          </w:tcPr>
          <w:p>
            <w:pPr>
              <w:spacing w:after="0" w:line="20" w:lineRule="exact"/>
              <w:rPr>
                <w:sz w:val="1"/>
                <w:szCs w:val="1"/>
                <w:color w:val="auto"/>
              </w:rPr>
            </w:pPr>
          </w:p>
        </w:tc>
        <w:tc>
          <w:tcPr>
            <w:tcW w:w="320" w:type="dxa"/>
            <w:vAlign w:val="bottom"/>
            <w:tcBorders>
              <w:bottom w:val="single" w:sz="8" w:color="9A9A9A"/>
            </w:tcBorders>
          </w:tcPr>
          <w:p>
            <w:pPr>
              <w:spacing w:after="0" w:line="20" w:lineRule="exact"/>
              <w:rPr>
                <w:sz w:val="1"/>
                <w:szCs w:val="1"/>
                <w:color w:val="auto"/>
              </w:rPr>
            </w:pPr>
          </w:p>
        </w:tc>
        <w:tc>
          <w:tcPr>
            <w:tcW w:w="400" w:type="dxa"/>
            <w:vAlign w:val="bottom"/>
            <w:tcBorders>
              <w:bottom w:val="single" w:sz="8" w:color="9A9A9A"/>
            </w:tcBorders>
          </w:tcPr>
          <w:p>
            <w:pPr>
              <w:spacing w:after="0" w:line="20" w:lineRule="exact"/>
              <w:rPr>
                <w:sz w:val="1"/>
                <w:szCs w:val="1"/>
                <w:color w:val="auto"/>
              </w:rPr>
            </w:pPr>
          </w:p>
        </w:tc>
        <w:tc>
          <w:tcPr>
            <w:tcW w:w="1080" w:type="dxa"/>
            <w:vAlign w:val="bottom"/>
            <w:tcBorders>
              <w:bottom w:val="single" w:sz="8" w:color="9A9A9A"/>
            </w:tcBorders>
          </w:tcPr>
          <w:p>
            <w:pPr>
              <w:spacing w:after="0" w:line="20" w:lineRule="exact"/>
              <w:rPr>
                <w:sz w:val="1"/>
                <w:szCs w:val="1"/>
                <w:color w:val="auto"/>
              </w:rPr>
            </w:pPr>
          </w:p>
        </w:tc>
        <w:tc>
          <w:tcPr>
            <w:tcW w:w="100" w:type="dxa"/>
            <w:vAlign w:val="bottom"/>
            <w:tcBorders>
              <w:bottom w:val="single" w:sz="8" w:color="9A9A9A"/>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Borders>
              <w:top w:val="single" w:sz="8" w:color="0000EE"/>
              <w:bottom w:val="single" w:sz="8" w:color="0000EE"/>
            </w:tcBorders>
            <w:gridSpan w:val="5"/>
            <w:vMerge w:val="restart"/>
          </w:tcPr>
          <w:p>
            <w:pPr>
              <w:spacing w:after="0" w:line="134" w:lineRule="exact"/>
              <w:rPr>
                <w:sz w:val="20"/>
                <w:szCs w:val="20"/>
                <w:color w:val="auto"/>
              </w:rPr>
            </w:pPr>
            <w:r>
              <w:rPr>
                <w:rFonts w:ascii="Arial" w:cs="Arial" w:eastAsia="Arial" w:hAnsi="Arial"/>
                <w:sz w:val="13"/>
                <w:szCs w:val="13"/>
                <w:color w:val="auto"/>
                <w:w w:val="99"/>
              </w:rPr>
              <w:t>Foreign Trading Symbol</w:t>
            </w: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0" w:type="dxa"/>
            <w:vAlign w:val="bottom"/>
            <w:gridSpan w:val="5"/>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line="134" w:lineRule="exact"/>
              <w:rPr>
                <w:sz w:val="20"/>
                <w:szCs w:val="20"/>
                <w:color w:val="auto"/>
              </w:rPr>
            </w:pPr>
            <w:r>
              <w:rPr>
                <w:rFonts w:ascii="Arial" w:cs="Arial" w:eastAsia="Arial" w:hAnsi="Arial"/>
                <w:sz w:val="13"/>
                <w:szCs w:val="13"/>
                <w:color w:val="auto"/>
              </w:rPr>
              <w:t>(Last)</w:t>
            </w:r>
          </w:p>
        </w:tc>
        <w:tc>
          <w:tcPr>
            <w:tcW w:w="640" w:type="dxa"/>
            <w:vAlign w:val="bottom"/>
          </w:tcPr>
          <w:p>
            <w:pPr>
              <w:spacing w:after="0"/>
              <w:rPr>
                <w:sz w:val="12"/>
                <w:szCs w:val="12"/>
                <w:color w:val="auto"/>
              </w:rPr>
            </w:pPr>
          </w:p>
        </w:tc>
        <w:tc>
          <w:tcPr>
            <w:tcW w:w="1220" w:type="dxa"/>
            <w:vAlign w:val="bottom"/>
            <w:gridSpan w:val="4"/>
          </w:tcPr>
          <w:p>
            <w:pPr>
              <w:spacing w:after="0" w:line="134" w:lineRule="exact"/>
              <w:rPr>
                <w:sz w:val="20"/>
                <w:szCs w:val="20"/>
                <w:color w:val="auto"/>
              </w:rPr>
            </w:pPr>
            <w:r>
              <w:rPr>
                <w:rFonts w:ascii="Arial" w:cs="Arial" w:eastAsia="Arial" w:hAnsi="Arial"/>
                <w:sz w:val="13"/>
                <w:szCs w:val="13"/>
                <w:color w:val="auto"/>
              </w:rPr>
              <w:t>(First)</w:t>
            </w:r>
          </w:p>
        </w:tc>
        <w:tc>
          <w:tcPr>
            <w:tcW w:w="1080" w:type="dxa"/>
            <w:vAlign w:val="bottom"/>
          </w:tcPr>
          <w:p>
            <w:pPr>
              <w:spacing w:after="0" w:line="134" w:lineRule="exact"/>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40"/>
              <w:spacing w:after="0" w:line="142" w:lineRule="exact"/>
              <w:rPr>
                <w:sz w:val="20"/>
                <w:szCs w:val="20"/>
                <w:color w:val="auto"/>
              </w:rPr>
            </w:pPr>
            <w:r>
              <w:rPr>
                <w:rFonts w:ascii="Arial" w:cs="Arial" w:eastAsia="Arial" w:hAnsi="Arial"/>
                <w:sz w:val="13"/>
                <w:szCs w:val="13"/>
                <w:color w:val="auto"/>
              </w:rPr>
              <w:t>below)</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ind w:left="300"/>
              <w:spacing w:after="0" w:line="142"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TWO GREENWICH PLAZA, SUITE 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520" w:type="dxa"/>
            <w:vAlign w:val="bottom"/>
            <w:gridSpan w:val="7"/>
            <w:vMerge w:val="continue"/>
          </w:tcPr>
          <w:p>
            <w:pPr>
              <w:spacing w:after="0"/>
              <w:rPr>
                <w:sz w:val="9"/>
                <w:szCs w:val="9"/>
                <w:color w:val="auto"/>
              </w:rPr>
            </w:pPr>
          </w:p>
        </w:tc>
        <w:tc>
          <w:tcPr>
            <w:tcW w:w="1440" w:type="dxa"/>
            <w:vAlign w:val="bottom"/>
            <w:gridSpan w:val="6"/>
            <w:vMerge w:val="restart"/>
          </w:tcPr>
          <w:p>
            <w:pPr>
              <w:ind w:left="260"/>
              <w:spacing w:after="0"/>
              <w:rPr>
                <w:sz w:val="20"/>
                <w:szCs w:val="20"/>
                <w:color w:val="auto"/>
              </w:rPr>
            </w:pPr>
            <w:r>
              <w:rPr>
                <w:rFonts w:ascii="Times New Roman" w:cs="Times New Roman" w:eastAsia="Times New Roman" w:hAnsi="Times New Roman"/>
                <w:sz w:val="17"/>
                <w:szCs w:val="17"/>
                <w:color w:val="0000FF"/>
              </w:rPr>
              <w:t>10/22/2026</w:t>
            </w: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40" w:type="dxa"/>
            <w:vAlign w:val="bottom"/>
            <w:gridSpan w:val="6"/>
            <w:vMerge w:val="continue"/>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gridSpan w:val="3"/>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1460" w:type="dxa"/>
            <w:vAlign w:val="bottom"/>
            <w:tcBorders>
              <w:bottom w:val="single" w:sz="8" w:color="808080"/>
            </w:tcBorders>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gridSpan w:val="2"/>
          </w:tcPr>
          <w:p>
            <w:pPr>
              <w:spacing w:after="0"/>
              <w:rPr>
                <w:sz w:val="9"/>
                <w:szCs w:val="9"/>
                <w:color w:val="auto"/>
              </w:rPr>
            </w:pPr>
          </w:p>
        </w:tc>
        <w:tc>
          <w:tcPr>
            <w:tcW w:w="2860" w:type="dxa"/>
            <w:vAlign w:val="bottom"/>
            <w:tcBorders>
              <w:bottom w:val="single" w:sz="8" w:color="808080"/>
            </w:tcBorders>
            <w:gridSpan w:val="5"/>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60" w:type="dxa"/>
            <w:vAlign w:val="bottom"/>
            <w:tcBorders>
              <w:right w:val="single" w:sz="8" w:color="2C2C2C"/>
            </w:tcBorders>
          </w:tcPr>
          <w:p>
            <w:pPr>
              <w:spacing w:after="0" w:line="20" w:lineRule="exact"/>
              <w:rPr>
                <w:sz w:val="1"/>
                <w:szCs w:val="1"/>
                <w:color w:val="auto"/>
              </w:rPr>
            </w:pPr>
          </w:p>
        </w:tc>
        <w:tc>
          <w:tcPr>
            <w:tcW w:w="380" w:type="dxa"/>
            <w:vAlign w:val="bottom"/>
            <w:tcBorders>
              <w:top w:val="single" w:sz="8" w:color="2C2C2C"/>
            </w:tcBorders>
            <w:shd w:val="clear" w:color="auto" w:fill="2C2C2C"/>
          </w:tcPr>
          <w:p>
            <w:pPr>
              <w:spacing w:after="0" w:line="20" w:lineRule="exact"/>
              <w:rPr>
                <w:sz w:val="1"/>
                <w:szCs w:val="1"/>
                <w:color w:val="auto"/>
              </w:rPr>
            </w:pPr>
          </w:p>
        </w:tc>
        <w:tc>
          <w:tcPr>
            <w:tcW w:w="100" w:type="dxa"/>
            <w:vAlign w:val="bottom"/>
            <w:tcBorders>
              <w:top w:val="single" w:sz="8" w:color="2C2C2C"/>
            </w:tcBorders>
            <w:shd w:val="clear" w:color="auto" w:fill="2C2C2C"/>
          </w:tcPr>
          <w:p>
            <w:pPr>
              <w:spacing w:after="0" w:line="20" w:lineRule="exact"/>
              <w:rPr>
                <w:sz w:val="1"/>
                <w:szCs w:val="1"/>
                <w:color w:val="auto"/>
              </w:rPr>
            </w:pPr>
          </w:p>
        </w:tc>
        <w:tc>
          <w:tcPr>
            <w:tcW w:w="920" w:type="dxa"/>
            <w:vAlign w:val="bottom"/>
            <w:tcBorders>
              <w:top w:val="single" w:sz="8" w:color="2C2C2C"/>
            </w:tcBorders>
            <w:gridSpan w:val="3"/>
            <w:shd w:val="clear" w:color="auto" w:fill="2C2C2C"/>
          </w:tcPr>
          <w:p>
            <w:pPr>
              <w:spacing w:after="0" w:line="20" w:lineRule="exact"/>
              <w:rPr>
                <w:sz w:val="1"/>
                <w:szCs w:val="1"/>
                <w:color w:val="auto"/>
              </w:rPr>
            </w:pPr>
          </w:p>
        </w:tc>
        <w:tc>
          <w:tcPr>
            <w:tcW w:w="120" w:type="dxa"/>
            <w:vAlign w:val="bottom"/>
            <w:tcBorders>
              <w:top w:val="single" w:sz="8" w:color="2C2C2C"/>
            </w:tcBorders>
            <w:gridSpan w:val="2"/>
            <w:shd w:val="clear" w:color="auto" w:fill="2C2C2C"/>
          </w:tcPr>
          <w:p>
            <w:pPr>
              <w:spacing w:after="0" w:line="20" w:lineRule="exact"/>
              <w:rPr>
                <w:sz w:val="1"/>
                <w:szCs w:val="1"/>
                <w:color w:val="auto"/>
              </w:rPr>
            </w:pPr>
          </w:p>
        </w:tc>
        <w:tc>
          <w:tcPr>
            <w:tcW w:w="1460" w:type="dxa"/>
            <w:vAlign w:val="bottom"/>
            <w:tcBorders>
              <w:top w:val="single" w:sz="8" w:color="2C2C2C"/>
            </w:tcBorders>
            <w:gridSpan w:val="3"/>
            <w:shd w:val="clear" w:color="auto" w:fill="2C2C2C"/>
          </w:tcPr>
          <w:p>
            <w:pPr>
              <w:spacing w:after="0" w:line="20" w:lineRule="exact"/>
              <w:rPr>
                <w:sz w:val="1"/>
                <w:szCs w:val="1"/>
                <w:color w:val="auto"/>
              </w:rPr>
            </w:pPr>
          </w:p>
        </w:tc>
        <w:tc>
          <w:tcPr>
            <w:tcW w:w="580" w:type="dxa"/>
            <w:vAlign w:val="bottom"/>
            <w:tcBorders>
              <w:top w:val="single" w:sz="8" w:color="2C2C2C"/>
            </w:tcBorders>
            <w:shd w:val="clear" w:color="auto" w:fill="2C2C2C"/>
          </w:tcPr>
          <w:p>
            <w:pPr>
              <w:spacing w:after="0" w:line="20" w:lineRule="exact"/>
              <w:rPr>
                <w:sz w:val="1"/>
                <w:szCs w:val="1"/>
                <w:color w:val="auto"/>
              </w:rPr>
            </w:pPr>
          </w:p>
        </w:tc>
        <w:tc>
          <w:tcPr>
            <w:tcW w:w="200" w:type="dxa"/>
            <w:vAlign w:val="bottom"/>
            <w:tcBorders>
              <w:top w:val="single" w:sz="8" w:color="2C2C2C"/>
            </w:tcBorders>
            <w:shd w:val="clear" w:color="auto" w:fill="2C2C2C"/>
          </w:tcPr>
          <w:p>
            <w:pPr>
              <w:spacing w:after="0" w:line="20" w:lineRule="exact"/>
              <w:rPr>
                <w:sz w:val="1"/>
                <w:szCs w:val="1"/>
                <w:color w:val="auto"/>
              </w:rPr>
            </w:pPr>
          </w:p>
        </w:tc>
        <w:tc>
          <w:tcPr>
            <w:tcW w:w="320" w:type="dxa"/>
            <w:vAlign w:val="bottom"/>
            <w:tcBorders>
              <w:top w:val="single" w:sz="8" w:color="2C2C2C"/>
            </w:tcBorders>
            <w:shd w:val="clear" w:color="auto" w:fill="2C2C2C"/>
          </w:tcPr>
          <w:p>
            <w:pPr>
              <w:spacing w:after="0" w:line="20" w:lineRule="exact"/>
              <w:rPr>
                <w:sz w:val="1"/>
                <w:szCs w:val="1"/>
                <w:color w:val="auto"/>
              </w:rPr>
            </w:pPr>
          </w:p>
        </w:tc>
        <w:tc>
          <w:tcPr>
            <w:tcW w:w="120" w:type="dxa"/>
            <w:vAlign w:val="bottom"/>
            <w:tcBorders>
              <w:top w:val="single" w:sz="8" w:color="2C2C2C"/>
            </w:tcBorders>
            <w:gridSpan w:val="2"/>
            <w:shd w:val="clear" w:color="auto" w:fill="2C2C2C"/>
          </w:tcPr>
          <w:p>
            <w:pPr>
              <w:spacing w:after="0" w:line="20" w:lineRule="exact"/>
              <w:rPr>
                <w:sz w:val="1"/>
                <w:szCs w:val="1"/>
                <w:color w:val="auto"/>
              </w:rPr>
            </w:pPr>
          </w:p>
        </w:tc>
        <w:tc>
          <w:tcPr>
            <w:tcW w:w="2860" w:type="dxa"/>
            <w:vAlign w:val="bottom"/>
            <w:tcBorders>
              <w:top w:val="single" w:sz="8" w:color="2C2C2C"/>
            </w:tcBorders>
            <w:gridSpan w:val="5"/>
            <w:shd w:val="clear" w:color="auto" w:fill="2C2C2C"/>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60" w:type="dxa"/>
            <w:vAlign w:val="bottom"/>
            <w:gridSpan w:val="11"/>
          </w:tcPr>
          <w:p>
            <w:pPr>
              <w:spacing w:after="0" w:line="146"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420" w:type="dxa"/>
            <w:vAlign w:val="bottom"/>
            <w:gridSpan w:val="10"/>
          </w:tcPr>
          <w:p>
            <w:pPr>
              <w:ind w:left="6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2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06830</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vMerge w:val="restart"/>
          </w:tcPr>
          <w:p>
            <w:pPr>
              <w:spacing w:after="0"/>
              <w:rPr>
                <w:sz w:val="10"/>
                <w:szCs w:val="10"/>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40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vMerge w:val="continue"/>
          </w:tcPr>
          <w:p>
            <w:pPr>
              <w:spacing w:after="0"/>
              <w:rPr>
                <w:sz w:val="2"/>
                <w:szCs w:val="2"/>
                <w:color w:val="auto"/>
              </w:rPr>
            </w:pPr>
          </w:p>
        </w:tc>
        <w:tc>
          <w:tcPr>
            <w:tcW w:w="29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220" w:type="dxa"/>
            <w:vAlign w:val="bottom"/>
            <w:gridSpan w:val="4"/>
            <w:vMerge w:val="restart"/>
          </w:tcPr>
          <w:p>
            <w:pPr>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gridSpan w:val="3"/>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580" w:type="dxa"/>
            <w:vAlign w:val="bottom"/>
            <w:tcBorders>
              <w:top w:val="single" w:sz="8" w:color="2C2C2C"/>
            </w:tcBorders>
            <w:gridSpan w:val="20"/>
          </w:tcPr>
          <w:p>
            <w:pPr>
              <w:ind w:left="1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gridSpan w:val="3"/>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spacing w:after="0"/>
              <w:rPr>
                <w:sz w:val="20"/>
                <w:szCs w:val="20"/>
                <w:color w:val="auto"/>
              </w:rPr>
            </w:pPr>
            <w:r>
              <w:rPr>
                <w:rFonts w:ascii="Arial" w:cs="Arial" w:eastAsia="Arial" w:hAnsi="Arial"/>
                <w:sz w:val="12"/>
                <w:szCs w:val="12"/>
                <w:b w:val="1"/>
                <w:bCs w:val="1"/>
                <w:color w:val="auto"/>
                <w:w w:val="96"/>
              </w:rPr>
              <w:t>2A. Deemed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6"/>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40" w:type="dxa"/>
            <w:vAlign w:val="bottom"/>
            <w:gridSpan w:val="6"/>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center"/>
              <w:ind w:right="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gridSpan w:val="8"/>
          </w:tcPr>
          <w:p>
            <w:pPr>
              <w:ind w:left="60"/>
              <w:spacing w:after="0"/>
              <w:rPr>
                <w:sz w:val="20"/>
                <w:szCs w:val="20"/>
                <w:color w:val="auto"/>
              </w:rPr>
            </w:pPr>
            <w:r>
              <w:rPr>
                <w:rFonts w:ascii="Times New Roman" w:cs="Times New Roman" w:eastAsia="Times New Roman" w:hAnsi="Times New Roman"/>
                <w:sz w:val="17"/>
                <w:szCs w:val="17"/>
                <w:color w:val="0000FF"/>
              </w:rPr>
              <w:t>Class A Ordinary Shares</w:t>
            </w:r>
          </w:p>
        </w:tc>
        <w:tc>
          <w:tcPr>
            <w:tcW w:w="10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540"/>
              <w:spacing w:after="0"/>
              <w:rPr>
                <w:sz w:val="20"/>
                <w:szCs w:val="20"/>
                <w:color w:val="auto"/>
              </w:rPr>
            </w:pPr>
            <w:r>
              <w:rPr>
                <w:rFonts w:ascii="Times New Roman" w:cs="Times New Roman" w:eastAsia="Times New Roman" w:hAnsi="Times New Roman"/>
                <w:sz w:val="17"/>
                <w:szCs w:val="17"/>
                <w:color w:val="0000FF"/>
              </w:rPr>
              <w:t>400</w:t>
            </w: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(1)(2)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3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20"/>
          </w:tcPr>
          <w:p>
            <w:pPr>
              <w:ind w:left="3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tcPr>
          <w:p>
            <w:pPr>
              <w:ind w:left="12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40" w:type="dxa"/>
            <w:vAlign w:val="bottom"/>
          </w:tcPr>
          <w:p>
            <w:pPr>
              <w:spacing w:after="0"/>
              <w:rPr>
                <w:sz w:val="11"/>
                <w:szCs w:val="11"/>
                <w:color w:val="auto"/>
              </w:rPr>
            </w:pPr>
          </w:p>
        </w:tc>
        <w:tc>
          <w:tcPr>
            <w:tcW w:w="1540" w:type="dxa"/>
            <w:vAlign w:val="bottom"/>
            <w:tcBorders>
              <w:right w:val="single" w:sz="8" w:color="2C2C2C"/>
            </w:tcBorders>
            <w:gridSpan w:val="4"/>
          </w:tcPr>
          <w:p>
            <w:pPr>
              <w:ind w:left="12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40" w:type="dxa"/>
            <w:vAlign w:val="bottom"/>
          </w:tcPr>
          <w:p>
            <w:pPr>
              <w:spacing w:after="0"/>
              <w:rPr>
                <w:sz w:val="11"/>
                <w:szCs w:val="11"/>
                <w:color w:val="auto"/>
              </w:rPr>
            </w:pP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w w:val="94"/>
              </w:rPr>
              <w:t>Transaction(s)</w:t>
            </w: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jc w:val="center"/>
              <w:ind w:right="12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American</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5"/>
                <w:szCs w:val="15"/>
                <w:color w:val="auto"/>
              </w:rPr>
            </w:pPr>
          </w:p>
        </w:tc>
        <w:tc>
          <w:tcPr>
            <w:tcW w:w="58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Depositary</w:t>
            </w: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3"/>
                <w:szCs w:val="13"/>
                <w:color w:val="0000FF"/>
              </w:rPr>
              <w:t>10/22/2026</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P</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9"/>
              </w:rPr>
              <w:t>302,000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0.82</w:t>
            </w:r>
          </w:p>
        </w:tc>
        <w:tc>
          <w:tcPr>
            <w:tcW w:w="8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0000FF"/>
              </w:rPr>
              <w:t>31,232,563</w:t>
            </w:r>
          </w:p>
        </w:tc>
        <w:tc>
          <w:tcPr>
            <w:tcW w:w="7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0000FF"/>
                <w:w w:val="97"/>
              </w:rPr>
              <w:t>Shares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American</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5"/>
                <w:szCs w:val="15"/>
                <w:color w:val="auto"/>
              </w:rPr>
            </w:pPr>
          </w:p>
        </w:tc>
        <w:tc>
          <w:tcPr>
            <w:tcW w:w="58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Depositary</w:t>
            </w: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3"/>
                <w:szCs w:val="13"/>
                <w:color w:val="0000FF"/>
              </w:rPr>
              <w:t>10/23/2026</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P</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75,000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w:t>
            </w:r>
          </w:p>
        </w:tc>
        <w:tc>
          <w:tcPr>
            <w:tcW w:w="8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0000FF"/>
              </w:rPr>
              <w:t>31,307,563</w:t>
            </w:r>
          </w:p>
        </w:tc>
        <w:tc>
          <w:tcPr>
            <w:tcW w:w="7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0000FF"/>
                <w:w w:val="97"/>
              </w:rPr>
              <w:t>Shares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American</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100" w:type="dxa"/>
            <w:vAlign w:val="bottom"/>
          </w:tcPr>
          <w:p>
            <w:pPr>
              <w:spacing w:after="0"/>
              <w:rPr>
                <w:sz w:val="15"/>
                <w:szCs w:val="15"/>
                <w:color w:val="auto"/>
              </w:rPr>
            </w:pPr>
          </w:p>
        </w:tc>
        <w:tc>
          <w:tcPr>
            <w:tcW w:w="580" w:type="dxa"/>
            <w:vAlign w:val="bottom"/>
          </w:tcPr>
          <w:p>
            <w:pPr>
              <w:jc w:val="center"/>
              <w:ind w:right="7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3"/>
                <w:szCs w:val="13"/>
                <w:color w:val="0000FF"/>
              </w:rPr>
              <w:t>Depositary</w:t>
            </w: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ind w:left="260"/>
              <w:spacing w:after="0" w:line="142" w:lineRule="exact"/>
              <w:rPr>
                <w:sz w:val="20"/>
                <w:szCs w:val="20"/>
                <w:color w:val="auto"/>
              </w:rPr>
            </w:pPr>
            <w:r>
              <w:rPr>
                <w:rFonts w:ascii="Times New Roman" w:cs="Times New Roman" w:eastAsia="Times New Roman" w:hAnsi="Times New Roman"/>
                <w:sz w:val="13"/>
                <w:szCs w:val="13"/>
                <w:color w:val="0000FF"/>
              </w:rPr>
              <w:t>10/26/2026</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4"/>
          </w:tcPr>
          <w:p>
            <w:pPr>
              <w:ind w:left="80"/>
              <w:spacing w:after="0" w:line="142" w:lineRule="exact"/>
              <w:rPr>
                <w:sz w:val="20"/>
                <w:szCs w:val="20"/>
                <w:color w:val="auto"/>
              </w:rPr>
            </w:pPr>
            <w:r>
              <w:rPr>
                <w:rFonts w:ascii="Times New Roman" w:cs="Times New Roman" w:eastAsia="Times New Roman" w:hAnsi="Times New Roman"/>
                <w:sz w:val="13"/>
                <w:szCs w:val="13"/>
                <w:color w:val="0000FF"/>
              </w:rPr>
              <w:t>P</w:t>
            </w:r>
          </w:p>
        </w:tc>
        <w:tc>
          <w:tcPr>
            <w:tcW w:w="6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30,000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68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39"/>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0.8</w:t>
            </w:r>
          </w:p>
        </w:tc>
        <w:tc>
          <w:tcPr>
            <w:tcW w:w="8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0000FF"/>
              </w:rPr>
              <w:t>31,337,563</w:t>
            </w:r>
          </w:p>
        </w:tc>
        <w:tc>
          <w:tcPr>
            <w:tcW w:w="7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Shares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97"/>
              <w:spacing w:after="0"/>
              <w:rPr>
                <w:sz w:val="20"/>
                <w:szCs w:val="20"/>
                <w:color w:val="auto"/>
              </w:rPr>
            </w:pPr>
            <w:r>
              <w:rPr>
                <w:rFonts w:ascii="Times New Roman" w:cs="Times New Roman" w:eastAsia="Times New Roman" w:hAnsi="Times New Roman"/>
                <w:sz w:val="13"/>
                <w:szCs w:val="13"/>
                <w:color w:val="0000FF"/>
                <w:w w:val="97"/>
              </w:rPr>
              <w:t>Shares</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40" w:type="dxa"/>
            <w:vAlign w:val="bottom"/>
            <w:tcBorders>
              <w:top w:val="single" w:sz="8" w:color="2C2C2C"/>
            </w:tcBorders>
            <w:gridSpan w:val="8"/>
          </w:tcPr>
          <w:p>
            <w:pPr>
              <w:ind w:left="60"/>
              <w:spacing w:after="0" w:line="231"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6"/>
          </w:tcPr>
          <w:p>
            <w:pPr>
              <w:spacing w:after="0" w:line="21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Silver Point Capital, L.P.</w:t>
              </w:r>
            </w:hyperlink>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TWO GREENWICH PLAZA, SUITE 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2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06830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tcPr>
          <w:p>
            <w:pPr>
              <w:ind w:left="3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40" w:type="dxa"/>
            <w:vAlign w:val="bottom"/>
            <w:gridSpan w:val="8"/>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gridSpan w:val="6"/>
          </w:tcPr>
          <w:p>
            <w:pPr>
              <w:spacing w:after="0" w:line="218"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MULE EDWARD A</w:t>
              </w:r>
            </w:hyperlink>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380" w:type="dxa"/>
            <w:vAlign w:val="bottom"/>
            <w:tcBorders>
              <w:top w:val="single" w:sz="8" w:color="0000EE"/>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3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5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TWO GREENWICH PLAZA, SUITE 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3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GREENWICH</w:t>
            </w:r>
          </w:p>
        </w:tc>
        <w:tc>
          <w:tcPr>
            <w:tcW w:w="12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CT</w:t>
            </w:r>
          </w:p>
        </w:tc>
        <w:tc>
          <w:tcPr>
            <w:tcW w:w="10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06830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tcPr>
          <w:p>
            <w:pPr>
              <w:ind w:left="36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-5682615</wp:posOffset>
            </wp:positionV>
            <wp:extent cx="29210" cy="254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10" cy="2549525"/>
                    </a:xfrm>
                    <a:prstGeom prst="rect">
                      <a:avLst/>
                    </a:prstGeom>
                    <a:noFill/>
                  </pic:spPr>
                </pic:pic>
              </a:graphicData>
            </a:graphic>
          </wp:anchor>
        </w:drawing>
      </w:r>
    </w:p>
    <w:p>
      <w:pPr>
        <w:spacing w:after="0" w:line="129"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39" w:orient="portrait"/>
          <w:cols w:equalWidth="0" w:num="1">
            <w:col w:w="11080"/>
          </w:cols>
          <w:pgMar w:left="460" w:top="217" w:right="359" w:bottom="0" w:gutter="0" w:footer="0" w:header="0"/>
          <w:type w:val="continuous"/>
        </w:sectPr>
      </w:pPr>
    </w:p>
    <w:bookmarkStart w:id="1" w:name="page2"/>
    <w:bookmarkEnd w:id="1"/>
    <w:p>
      <w:pPr>
        <w:ind w:left="8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O'Shea Robert J</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-135890</wp:posOffset>
            </wp:positionV>
            <wp:extent cx="2811145" cy="14344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11145" cy="1434465"/>
                    </a:xfrm>
                    <a:prstGeom prst="rect">
                      <a:avLst/>
                    </a:prstGeom>
                    <a:noFill/>
                  </pic:spPr>
                </pic:pic>
              </a:graphicData>
            </a:graphic>
          </wp:anchor>
        </w:drawing>
      </w: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1540" w:type="dxa"/>
            <w:vAlign w:val="bottom"/>
          </w:tcPr>
          <w:p>
            <w:pPr>
              <w:ind w:left="20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67"/>
        </w:trPr>
        <w:tc>
          <w:tcPr>
            <w:tcW w:w="20" w:type="dxa"/>
            <w:vAlign w:val="bottom"/>
          </w:tcPr>
          <w:p>
            <w:pPr>
              <w:spacing w:after="0"/>
              <w:rPr>
                <w:sz w:val="23"/>
                <w:szCs w:val="23"/>
                <w:color w:val="auto"/>
              </w:rPr>
            </w:pP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9"/>
              </w:rPr>
              <w:t>TWO GREENWICH PLAZA, SUITE 1</w:t>
            </w:r>
          </w:p>
        </w:tc>
        <w:tc>
          <w:tcPr>
            <w:tcW w:w="142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r>
      <w:tr>
        <w:trPr>
          <w:trHeight w:val="25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2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GREENWICH</w:t>
            </w:r>
          </w:p>
        </w:tc>
        <w:tc>
          <w:tcPr>
            <w:tcW w:w="15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CT</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06830</w:t>
            </w:r>
          </w:p>
        </w:tc>
      </w:tr>
      <w:tr>
        <w:trPr>
          <w:trHeight w:val="149"/>
        </w:trPr>
        <w:tc>
          <w:tcPr>
            <w:tcW w:w="2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(City)</w:t>
            </w:r>
          </w:p>
        </w:tc>
        <w:tc>
          <w:tcPr>
            <w:tcW w:w="1540" w:type="dxa"/>
            <w:vAlign w:val="bottom"/>
          </w:tcPr>
          <w:p>
            <w:pPr>
              <w:ind w:left="20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firstLine="2"/>
        <w:spacing w:after="0" w:line="235" w:lineRule="auto"/>
        <w:tabs>
          <w:tab w:leader="none" w:pos="12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Silver Point Capital, L.P. ("Silver Point") or its wholly owned subsidiaries are the investment managers of Silver Point Capital Fund, L.P., Silver Point Capital Offshore Master Fund, L.P., Silver Point Distressed Opportunities Fund, L.P., Silver Point Distressed Opportunities Offshore Master Fund, L.P., Silver Point Distressed Opportunity Institutional Partners Master Fund (Offshore), L.P. and Silver Point Distressed Opportunity Institutional Partners, L.P. (the "Funds") and, by reason of such status, may be deemed to be the beneficial owner of all the reported securities held by the Funds. Silver Point Capital Management, LLC ("Management") is the general partner of Silver Point and as a result may be deemed to be the beneficial owner of all securities held by the Funds. Messrs. Edward A. Mule and Robert J. O'Shea are each members of Management and as a result may be deemed to be the beneficial owner of all of the securities held by the Funds. Messrs. Mule and O'Shea disclaim</w:t>
      </w:r>
    </w:p>
    <w:p>
      <w:pPr>
        <w:spacing w:after="0" w:line="27"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beneficial ownership of the reported securities held by Funds except to the extent of their pecuniary interests.</w:t>
      </w:r>
    </w:p>
    <w:p>
      <w:pPr>
        <w:spacing w:after="0" w:line="43" w:lineRule="exact"/>
        <w:rPr>
          <w:rFonts w:ascii="Times New Roman" w:cs="Times New Roman" w:eastAsia="Times New Roman" w:hAnsi="Times New Roman"/>
          <w:sz w:val="13"/>
          <w:szCs w:val="13"/>
          <w:color w:val="008000"/>
        </w:rPr>
      </w:pPr>
    </w:p>
    <w:p>
      <w:pPr>
        <w:ind w:left="140" w:hanging="138"/>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is convertible at any time, at the holder's election, into four Class A Ordinary Shares of the issuer. The American Depositary Shares have no expiration date.</w:t>
      </w:r>
    </w:p>
    <w:p>
      <w:pPr>
        <w:sectPr>
          <w:pgSz w:w="11900" w:h="16838" w:orient="portrait"/>
          <w:cols w:equalWidth="0" w:num="1">
            <w:col w:w="10660"/>
          </w:cols>
          <w:pgMar w:left="500" w:top="114" w:right="739" w:bottom="1440" w:gutter="0" w:footer="0" w:header="0"/>
        </w:sectPr>
      </w:pPr>
    </w:p>
    <w:p>
      <w:pPr>
        <w:spacing w:after="0" w:line="6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Steven Weiser,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-1905</wp:posOffset>
            </wp:positionV>
            <wp:extent cx="12611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Signatory on behalf of Silver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12325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Point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7759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75970"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Steven Weiser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-1905</wp:posOffset>
            </wp:positionV>
            <wp:extent cx="1294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in-fact on behalf of Edward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-8890</wp:posOffset>
            </wp:positionV>
            <wp:extent cx="13036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03655" cy="8255"/>
                    </a:xfrm>
                    <a:prstGeom prst="rect">
                      <a:avLst/>
                    </a:prstGeom>
                    <a:noFill/>
                  </pic:spPr>
                </pic:pic>
              </a:graphicData>
            </a:graphic>
          </wp:anchor>
        </w:drawing>
      </w:r>
    </w:p>
    <w:p>
      <w:pPr>
        <w:spacing w:after="0" w:line="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Mule,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8261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826135"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Steven Weiser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-1905</wp:posOffset>
            </wp:positionV>
            <wp:extent cx="1294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in-fact on behalf of Robert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12268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O'Shea,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-16510</wp:posOffset>
            </wp:positionV>
            <wp:extent cx="904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31"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483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483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10/26/2026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483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0"/>
          <w:szCs w:val="20"/>
          <w:color w:val="auto"/>
        </w:rPr>
      </w:pPr>
    </w:p>
    <w:p>
      <w:pPr>
        <w:sectPr>
          <w:pgSz w:w="11900" w:h="16838" w:orient="portrait"/>
          <w:cols w:equalWidth="0" w:num="2">
            <w:col w:w="8600" w:space="160"/>
            <w:col w:w="1900"/>
          </w:cols>
          <w:pgMar w:left="500" w:top="114" w:right="7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240" w:firstLine="2"/>
        <w:spacing w:after="0" w:line="335"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14" w:right="7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13" Type="http://schemas.openxmlformats.org/officeDocument/2006/relationships/hyperlink" Target="http://www.sec.gov/cgi-bin/browse-edgar?action=getcompany&amp;CIK=0001332784" TargetMode="External"/><Relationship Id="rId14" Type="http://schemas.openxmlformats.org/officeDocument/2006/relationships/hyperlink" Target="http://www.sec.gov/cgi-bin/browse-edgar?action=getcompany&amp;CIK=0001713334" TargetMode="External"/><Relationship Id="rId15" Type="http://schemas.openxmlformats.org/officeDocument/2006/relationships/hyperlink" Target="http://www.sec.gov/cgi-bin/browse-edgar?action=getcompany&amp;CIK=0001029625" TargetMode="External"/><Relationship Id="rId17" Type="http://schemas.openxmlformats.org/officeDocument/2006/relationships/hyperlink" Target="http://www.sec.gov/cgi-bin/browse-edgar?action=getcompany&amp;CIK=0001382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2026-10-26T16:34:07Z</dcterms:created>
  <dcterms:modified xsi:type="dcterms:W3CDTF">2026-10-26T16:34:07Z</dcterms:modified>
</cp:coreProperties>
</file>