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24189d6k.htm"/>
        <w:bookmarkStart w:id="1" w:name="ksd124189d6k"/>
        <w:bookmarkEnd w:id="0"/>
        <w:bookmarkEnd w:id="1"/>
        <w:r>
          <w:rPr>
            <w:rStyle w:val="InternetLink"/>
            <w:b/>
            <w:sz w:val="20"/>
          </w:rPr>
          <w:t>Table of Contents</w:t>
        </w:r>
      </w:hyperlink>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May 2026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001-38699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0"/>
        </w:rPr>
      </w:pPr>
      <w:r>
        <w:rPr>
          <w:rFonts w:ascii="Times New Roman" w:hAnsi="Times New Roman"/>
          <w:b/>
          <w:sz w:val="40"/>
        </w:rPr>
        <w:t xml:space="preserve">STUDIO CITY INTERNATIONAL HOLDINGS LIMITED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71 Robinson Road </w:t>
      </w:r>
    </w:p>
    <w:p>
      <w:pPr>
        <w:pStyle w:val="TextBody"/>
        <w:bidi w:val="0"/>
        <w:spacing w:before="0" w:after="0"/>
        <w:jc w:val="center"/>
        <w:rPr>
          <w:rFonts w:ascii="Times New Roman" w:hAnsi="Times New Roman"/>
          <w:b/>
          <w:sz w:val="20"/>
        </w:rPr>
      </w:pPr>
      <w:r>
        <w:rPr>
          <w:rFonts w:ascii="Times New Roman" w:hAnsi="Times New Roman"/>
          <w:b/>
          <w:sz w:val="20"/>
        </w:rPr>
        <w:t xml:space="preserve">#04-03 </w:t>
      </w:r>
    </w:p>
    <w:p>
      <w:pPr>
        <w:pStyle w:val="TextBody"/>
        <w:bidi w:val="0"/>
        <w:spacing w:before="0" w:after="0"/>
        <w:jc w:val="center"/>
        <w:rPr>
          <w:rFonts w:ascii="Times New Roman" w:hAnsi="Times New Roman"/>
          <w:b/>
          <w:sz w:val="20"/>
        </w:rPr>
      </w:pPr>
      <w:r>
        <w:rPr>
          <w:rFonts w:ascii="Times New Roman" w:hAnsi="Times New Roman"/>
          <w:b/>
          <w:sz w:val="20"/>
        </w:rPr>
        <w:t xml:space="preserve">Singapore 068895 </w:t>
      </w:r>
    </w:p>
    <w:p>
      <w:pPr>
        <w:pStyle w:val="TextBody"/>
        <w:bidi w:val="0"/>
        <w:spacing w:before="0" w:after="0"/>
        <w:jc w:val="center"/>
        <w:rPr>
          <w:rFonts w:ascii="Times New Roman" w:hAnsi="Times New Roman"/>
          <w:b/>
          <w:sz w:val="20"/>
        </w:rPr>
      </w:pPr>
      <w:r>
        <w:rPr>
          <w:rFonts w:ascii="Times New Roman" w:hAnsi="Times New Roman"/>
          <w:b/>
          <w:sz w:val="20"/>
        </w:rPr>
        <w:t xml:space="preserve">and </w:t>
      </w:r>
    </w:p>
    <w:p>
      <w:pPr>
        <w:pStyle w:val="TextBody"/>
        <w:bidi w:val="0"/>
        <w:spacing w:before="0" w:after="0"/>
        <w:jc w:val="center"/>
        <w:rPr>
          <w:rFonts w:ascii="Times New Roman" w:hAnsi="Times New Roman"/>
          <w:b/>
          <w:sz w:val="20"/>
        </w:rPr>
      </w:pPr>
      <w:r>
        <w:rPr>
          <w:rFonts w:ascii="Times New Roman" w:hAnsi="Times New Roman"/>
          <w:b/>
          <w:sz w:val="20"/>
        </w:rPr>
        <w:t xml:space="preserve">38th Floor, The Centrium </w:t>
      </w:r>
    </w:p>
    <w:p>
      <w:pPr>
        <w:pStyle w:val="TextBody"/>
        <w:bidi w:val="0"/>
        <w:spacing w:before="0" w:after="0"/>
        <w:jc w:val="center"/>
        <w:rPr>
          <w:rFonts w:ascii="Times New Roman" w:hAnsi="Times New Roman"/>
          <w:b/>
          <w:sz w:val="20"/>
        </w:rPr>
      </w:pPr>
      <w:r>
        <w:rPr>
          <w:rFonts w:ascii="Times New Roman" w:hAnsi="Times New Roman"/>
          <w:b/>
          <w:sz w:val="20"/>
        </w:rPr>
        <w:t xml:space="preserve">60 Wyndham Street </w:t>
      </w:r>
    </w:p>
    <w:p>
      <w:pPr>
        <w:pStyle w:val="TextBody"/>
        <w:bidi w:val="0"/>
        <w:spacing w:before="0" w:after="0"/>
        <w:jc w:val="center"/>
        <w:rPr>
          <w:rFonts w:ascii="Times New Roman" w:hAnsi="Times New Roman"/>
          <w:b/>
          <w:sz w:val="20"/>
        </w:rPr>
      </w:pPr>
      <w:r>
        <w:rPr>
          <w:rFonts w:ascii="Times New Roman" w:hAnsi="Times New Roman"/>
          <w:b/>
          <w:sz w:val="20"/>
        </w:rPr>
        <w:t xml:space="preserve">Central </w:t>
      </w:r>
    </w:p>
    <w:p>
      <w:pPr>
        <w:pStyle w:val="TextBody"/>
        <w:bidi w:val="0"/>
        <w:spacing w:before="0" w:after="0"/>
        <w:jc w:val="center"/>
        <w:rPr>
          <w:rFonts w:ascii="Times New Roman" w:hAnsi="Times New Roman"/>
          <w:b/>
          <w:sz w:val="20"/>
        </w:rPr>
      </w:pPr>
      <w:r>
        <w:rPr>
          <w:rFonts w:ascii="Times New Roman" w:hAnsi="Times New Roman"/>
          <w:b/>
          <w:sz w:val="20"/>
        </w:rPr>
        <w:t xml:space="preserve">Hong Kong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Form 20–F or Form 40– F. </w:t>
      </w:r>
    </w:p>
    <w:p>
      <w:pPr>
        <w:pStyle w:val="TextBody"/>
        <w:bidi w:val="0"/>
        <w:spacing w:before="240" w:after="0"/>
        <w:jc w:val="center"/>
        <w:rPr>
          <w:rFonts w:ascii="Times New Roman" w:hAnsi="Times New Roman"/>
          <w:sz w:val="20"/>
        </w:rPr>
      </w:pPr>
      <w:r>
        <w:rPr>
          <w:rFonts w:ascii="Times New Roman" w:hAnsi="Times New Roman"/>
          <w:sz w:val="20"/>
        </w:rPr>
        <w:t xml:space="preserve">Form 20-F ☒   Form 40-F ☐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STUDIO CITY INTERNATIONAL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Form 6–K </w:t>
      </w:r>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815"/>
        <w:gridCol w:w="128"/>
        <w:gridCol w:w="60"/>
        <w:gridCol w:w="140"/>
        <w:gridCol w:w="62"/>
      </w:tblGrid>
      <w:tr>
        <w:trPr/>
        <w:tc>
          <w:tcPr>
            <w:tcW w:w="9815"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815" w:type="dxa"/>
            <w:tcBorders/>
            <w:vAlign w:val="bottom"/>
          </w:tcPr>
          <w:p>
            <w:pPr>
              <w:pStyle w:val="TableContents"/>
              <w:bidi w:val="0"/>
              <w:spacing w:before="0" w:after="0"/>
              <w:jc w:val="left"/>
              <w:rPr/>
            </w:pPr>
            <w:hyperlink w:anchor="tx124189_1">
              <w:r>
                <w:rPr>
                  <w:rStyle w:val="InternetLink"/>
                  <w:rFonts w:ascii="Times New Roman" w:hAnsi="Times New Roman"/>
                  <w:sz w:val="20"/>
                </w:rPr>
                <w:t xml:space="preserve">Signature </w:t>
              </w:r>
            </w:hyperlink>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bl>
    <w:p>
      <w:pPr>
        <w:pStyle w:val="TextBody"/>
        <w:bidi w:val="0"/>
        <w:spacing w:before="240" w:after="0"/>
        <w:jc w:val="left"/>
        <w:rPr/>
      </w:pPr>
      <w:hyperlink w:anchor="d124189dex991.htm">
        <w:r>
          <w:rPr>
            <w:rStyle w:val="InternetLink"/>
            <w:rFonts w:ascii="Times New Roman" w:hAnsi="Times New Roman"/>
            <w:sz w:val="20"/>
            <w:u w:val="single"/>
          </w:rPr>
          <w:t xml:space="preserve">Exhibit 99.1 </w:t>
        </w:r>
      </w:hyperlink>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x124189_1"/>
      <w:bookmarkEnd w:id="3"/>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42"/>
        <w:gridCol w:w="60"/>
        <w:gridCol w:w="3380"/>
      </w:tblGrid>
      <w:tr>
        <w:trPr/>
        <w:tc>
          <w:tcPr>
            <w:tcW w:w="64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STUDIO CITY INTERNATIONAL HOLDINGS LIMITED</w:t>
            </w:r>
          </w:p>
        </w:tc>
      </w:tr>
      <w:tr>
        <w:trPr>
          <w:trHeight w:val="240" w:hRule="atLeast"/>
        </w:trPr>
        <w:tc>
          <w:tcPr>
            <w:tcW w:w="642" w:type="dxa"/>
            <w:tcBorders/>
            <w:vAlign w:val="center"/>
          </w:tcPr>
          <w:p>
            <w:pPr>
              <w:pStyle w:val="TableContents"/>
              <w:bidi w:val="0"/>
              <w:spacing w:before="0" w:after="283"/>
              <w:jc w:val="left"/>
              <w:rPr>
                <w:sz w:val="4"/>
                <w:szCs w:val="4"/>
              </w:rPr>
            </w:pPr>
            <w:r>
              <w:rPr>
                <w:sz w:val="4"/>
                <w:szCs w:val="4"/>
              </w:rPr>
            </w:r>
          </w:p>
        </w:tc>
        <w:tc>
          <w:tcPr>
            <w:tcW w:w="3440" w:type="dxa"/>
            <w:gridSpan w:val="2"/>
            <w:tcBorders/>
            <w:vAlign w:val="center"/>
          </w:tcPr>
          <w:p>
            <w:pPr>
              <w:pStyle w:val="TableContents"/>
              <w:bidi w:val="0"/>
              <w:spacing w:before="0" w:after="283"/>
              <w:jc w:val="left"/>
              <w:rPr>
                <w:sz w:val="4"/>
                <w:szCs w:val="4"/>
              </w:rPr>
            </w:pPr>
            <w:r>
              <w:rPr>
                <w:sz w:val="4"/>
                <w:szCs w:val="4"/>
              </w:rPr>
            </w:r>
          </w:p>
        </w:tc>
      </w:tr>
      <w:tr>
        <w:trPr/>
        <w:tc>
          <w:tcPr>
            <w:tcW w:w="642"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80" w:type="dxa"/>
            <w:tcBorders>
              <w:bottom w:val="single" w:sz="2" w:space="0" w:color="000000"/>
            </w:tcBorders>
            <w:tcMar>
              <w:bottom w:w="28" w:type="dxa"/>
            </w:tcMar>
            <w:vAlign w:val="bottom"/>
          </w:tcPr>
          <w:p>
            <w:pPr>
              <w:pStyle w:val="TableContents"/>
              <w:bidi w:val="0"/>
              <w:spacing w:before="0" w:after="283"/>
              <w:jc w:val="left"/>
              <w:rPr/>
            </w:pPr>
            <w:r>
              <w:rPr/>
              <w:t>/s/ Geoffrey Davis</w:t>
            </w:r>
          </w:p>
        </w:tc>
      </w:tr>
      <w:tr>
        <w:trPr/>
        <w:tc>
          <w:tcPr>
            <w:tcW w:w="642"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80" w:type="dxa"/>
            <w:tcBorders/>
            <w:vAlign w:val="bottom"/>
          </w:tcPr>
          <w:p>
            <w:pPr>
              <w:pStyle w:val="TableContents"/>
              <w:bidi w:val="0"/>
              <w:spacing w:before="0" w:after="283"/>
              <w:jc w:val="left"/>
              <w:rPr/>
            </w:pPr>
            <w:r>
              <w:rPr/>
              <w:t>Geoffrey Davis, CFA</w:t>
            </w:r>
          </w:p>
        </w:tc>
      </w:tr>
      <w:tr>
        <w:trPr/>
        <w:tc>
          <w:tcPr>
            <w:tcW w:w="642"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80" w:type="dxa"/>
            <w:tcBorders/>
            <w:vAlign w:val="bottom"/>
          </w:tcPr>
          <w:p>
            <w:pPr>
              <w:pStyle w:val="TableContents"/>
              <w:bidi w:val="0"/>
              <w:spacing w:before="0" w:after="283"/>
              <w:jc w:val="left"/>
              <w:rPr/>
            </w:pPr>
            <w:r>
              <w:rPr/>
              <w:t>Chief Financial Officer</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53"/>
        <w:gridCol w:w="139"/>
        <w:gridCol w:w="4813"/>
      </w:tblGrid>
      <w:tr>
        <w:trPr/>
        <w:tc>
          <w:tcPr>
            <w:tcW w:w="5253"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4813" w:type="dxa"/>
            <w:tcBorders/>
            <w:vAlign w:val="center"/>
          </w:tcPr>
          <w:p>
            <w:pPr>
              <w:pStyle w:val="TableContents"/>
              <w:bidi w:val="0"/>
              <w:spacing w:before="0" w:after="283"/>
              <w:jc w:val="left"/>
              <w:rPr>
                <w:sz w:val="4"/>
                <w:szCs w:val="4"/>
              </w:rPr>
            </w:pPr>
            <w:r>
              <w:rPr>
                <w:sz w:val="4"/>
                <w:szCs w:val="4"/>
              </w:rPr>
            </w:r>
          </w:p>
        </w:tc>
      </w:tr>
      <w:tr>
        <w:trPr/>
        <w:tc>
          <w:tcPr>
            <w:tcW w:w="5253" w:type="dxa"/>
            <w:tcBorders/>
          </w:tcPr>
          <w:p>
            <w:pPr>
              <w:pStyle w:val="TableContents"/>
              <w:bidi w:val="0"/>
              <w:spacing w:before="0" w:after="0"/>
              <w:jc w:val="left"/>
              <w:rPr>
                <w:rFonts w:ascii="Times New Roman" w:hAnsi="Times New Roman"/>
                <w:sz w:val="20"/>
              </w:rPr>
            </w:pPr>
            <w:r>
              <w:rPr>
                <w:rFonts w:ascii="Times New Roman" w:hAnsi="Times New Roman"/>
                <w:sz w:val="20"/>
              </w:rPr>
              <w:t>Date: May 4, 2026</w:t>
            </w:r>
          </w:p>
        </w:tc>
        <w:tc>
          <w:tcPr>
            <w:tcW w:w="139" w:type="dxa"/>
            <w:tcBorders/>
            <w:vAlign w:val="bottom"/>
          </w:tcPr>
          <w:p>
            <w:pPr>
              <w:pStyle w:val="TableContents"/>
              <w:bidi w:val="0"/>
              <w:spacing w:before="0" w:after="283"/>
              <w:jc w:val="left"/>
              <w:rPr/>
            </w:pPr>
            <w:r>
              <w:rPr/>
              <w:t>  </w:t>
            </w:r>
          </w:p>
        </w:tc>
        <w:tc>
          <w:tcPr>
            <w:tcW w:w="4813"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12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15"/>
        <w:gridCol w:w="321"/>
        <w:gridCol w:w="8669"/>
      </w:tblGrid>
      <w:tr>
        <w:trPr/>
        <w:tc>
          <w:tcPr>
            <w:tcW w:w="1215" w:type="dxa"/>
            <w:tcBorders/>
            <w:vAlign w:val="center"/>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8669" w:type="dxa"/>
            <w:tcBorders/>
            <w:vAlign w:val="center"/>
          </w:tcPr>
          <w:p>
            <w:pPr>
              <w:pStyle w:val="TableContents"/>
              <w:bidi w:val="0"/>
              <w:spacing w:before="0" w:after="283"/>
              <w:jc w:val="left"/>
              <w:rPr>
                <w:sz w:val="4"/>
                <w:szCs w:val="4"/>
              </w:rPr>
            </w:pPr>
            <w:r>
              <w:rPr>
                <w:sz w:val="4"/>
                <w:szCs w:val="4"/>
              </w:rPr>
            </w:r>
          </w:p>
        </w:tc>
      </w:tr>
      <w:tr>
        <w:trPr/>
        <w:tc>
          <w:tcPr>
            <w:tcW w:w="121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 No.</w:t>
            </w:r>
          </w:p>
        </w:tc>
        <w:tc>
          <w:tcPr>
            <w:tcW w:w="321" w:type="dxa"/>
            <w:tcBorders/>
            <w:vAlign w:val="bottom"/>
          </w:tcPr>
          <w:p>
            <w:pPr>
              <w:pStyle w:val="TableContents"/>
              <w:bidi w:val="0"/>
              <w:spacing w:before="0" w:after="283"/>
              <w:jc w:val="left"/>
              <w:rPr/>
            </w:pPr>
            <w:r>
              <w:rPr/>
              <w:t>  </w:t>
            </w:r>
          </w:p>
        </w:tc>
        <w:tc>
          <w:tcPr>
            <w:tcW w:w="866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rHeight w:val="120" w:hRule="atLeast"/>
        </w:trPr>
        <w:tc>
          <w:tcPr>
            <w:tcW w:w="1215" w:type="dxa"/>
            <w:tcBorders/>
            <w:vAlign w:val="center"/>
          </w:tcPr>
          <w:p>
            <w:pPr>
              <w:pStyle w:val="TableContents"/>
              <w:bidi w:val="0"/>
              <w:spacing w:before="0" w:after="283"/>
              <w:jc w:val="left"/>
              <w:rPr>
                <w:sz w:val="4"/>
                <w:szCs w:val="4"/>
              </w:rPr>
            </w:pPr>
            <w:r>
              <w:rPr>
                <w:sz w:val="4"/>
                <w:szCs w:val="4"/>
              </w:rPr>
            </w:r>
          </w:p>
        </w:tc>
        <w:tc>
          <w:tcPr>
            <w:tcW w:w="8990" w:type="dxa"/>
            <w:gridSpan w:val="2"/>
            <w:tcBorders/>
            <w:vAlign w:val="center"/>
          </w:tcPr>
          <w:p>
            <w:pPr>
              <w:pStyle w:val="TableContents"/>
              <w:bidi w:val="0"/>
              <w:spacing w:before="0" w:after="283"/>
              <w:jc w:val="left"/>
              <w:rPr>
                <w:sz w:val="4"/>
                <w:szCs w:val="4"/>
              </w:rPr>
            </w:pPr>
            <w:r>
              <w:rPr>
                <w:sz w:val="4"/>
                <w:szCs w:val="4"/>
              </w:rPr>
            </w:r>
          </w:p>
        </w:tc>
      </w:tr>
      <w:tr>
        <w:trPr/>
        <w:tc>
          <w:tcPr>
            <w:tcW w:w="1215" w:type="dxa"/>
            <w:tcBorders/>
          </w:tcPr>
          <w:p>
            <w:pPr>
              <w:pStyle w:val="TableContents"/>
              <w:bidi w:val="0"/>
              <w:spacing w:before="0" w:after="283"/>
              <w:jc w:val="left"/>
              <w:rPr/>
            </w:pPr>
            <w:r>
              <w:rPr/>
              <w:t>Exhibit 99.1</w:t>
            </w:r>
          </w:p>
        </w:tc>
        <w:tc>
          <w:tcPr>
            <w:tcW w:w="321" w:type="dxa"/>
            <w:tcBorders/>
            <w:vAlign w:val="bottom"/>
          </w:tcPr>
          <w:p>
            <w:pPr>
              <w:pStyle w:val="TableContents"/>
              <w:bidi w:val="0"/>
              <w:spacing w:before="0" w:after="283"/>
              <w:jc w:val="left"/>
              <w:rPr/>
            </w:pPr>
            <w:r>
              <w:rPr/>
              <w:t>  </w:t>
            </w:r>
          </w:p>
        </w:tc>
        <w:tc>
          <w:tcPr>
            <w:tcW w:w="8669" w:type="dxa"/>
            <w:tcBorders/>
          </w:tcPr>
          <w:p>
            <w:pPr>
              <w:pStyle w:val="TableContents"/>
              <w:bidi w:val="0"/>
              <w:spacing w:before="0" w:after="283"/>
              <w:jc w:val="left"/>
              <w:rPr/>
            </w:pPr>
            <w:r>
              <w:rPr/>
              <w:t>Unaudited Results for First Quarter of 2026</w:t>
            </w:r>
          </w:p>
        </w:tc>
      </w:tr>
    </w:tbl>
    <w:p>
      <w:pPr>
        <w:pStyle w:val="TextBody"/>
        <w:bidi w:val="0"/>
        <w:spacing w:before="0" w:after="0"/>
        <w:jc w:val="right"/>
        <w:rPr>
          <w:rFonts w:ascii="Times New Roman" w:hAnsi="Times New Roman"/>
          <w:b/>
          <w:sz w:val="20"/>
        </w:rPr>
      </w:pPr>
      <w:bookmarkStart w:id="4" w:name="d124189dex991.htm"/>
      <w:bookmarkStart w:id="5" w:name="ksd124189dex991"/>
      <w:bookmarkEnd w:id="4"/>
      <w:bookmarkEnd w:id="5"/>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181100" cy="381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81100" cy="3810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Studio City International Holdings Limited Announces Unaudited First Quarter 2026 Earnings </w:t>
      </w:r>
    </w:p>
    <w:p>
      <w:pPr>
        <w:pStyle w:val="TextBody"/>
        <w:bidi w:val="0"/>
        <w:spacing w:before="240" w:after="0"/>
        <w:jc w:val="left"/>
        <w:rPr>
          <w:rFonts w:ascii="Times New Roman" w:hAnsi="Times New Roman"/>
          <w:sz w:val="20"/>
        </w:rPr>
      </w:pPr>
      <w:r>
        <w:rPr>
          <w:rFonts w:ascii="Times New Roman" w:hAnsi="Times New Roman"/>
          <w:sz w:val="20"/>
        </w:rPr>
        <w:t xml:space="preserve">MACAU, April 30, 2026 (GLOBE NEWSWIRE) — Studio City International Holdings Limited (NYSE: MSC) (“Studio City” or the “Company”), a world-class integrated resort located in Cotai, Macau, today reported its unaudited financial results for the first quarter of 2026. </w:t>
      </w:r>
    </w:p>
    <w:p>
      <w:pPr>
        <w:pStyle w:val="TextBody"/>
        <w:bidi w:val="0"/>
        <w:spacing w:before="240" w:after="0"/>
        <w:jc w:val="left"/>
        <w:rPr>
          <w:rFonts w:ascii="Times New Roman" w:hAnsi="Times New Roman"/>
          <w:sz w:val="20"/>
        </w:rPr>
      </w:pPr>
      <w:r>
        <w:rPr>
          <w:rFonts w:ascii="Times New Roman" w:hAnsi="Times New Roman"/>
          <w:sz w:val="20"/>
        </w:rPr>
        <w:t xml:space="preserve">Total operating revenues for the first quarter of 2026 were US$176.7 million, compared with US$161.7 million in the first quarter of 2025. The increase was primarily attributable to better performance in mass market operations leading to an increase in revenue from casino contract and higher overall non-gaming revenues. </w:t>
      </w:r>
    </w:p>
    <w:p>
      <w:pPr>
        <w:pStyle w:val="TextBody"/>
        <w:bidi w:val="0"/>
        <w:spacing w:before="240" w:after="0"/>
        <w:jc w:val="left"/>
        <w:rPr>
          <w:rFonts w:ascii="Times New Roman" w:hAnsi="Times New Roman"/>
          <w:sz w:val="20"/>
        </w:rPr>
      </w:pPr>
      <w:r>
        <w:rPr>
          <w:rFonts w:ascii="Times New Roman" w:hAnsi="Times New Roman"/>
          <w:sz w:val="20"/>
        </w:rPr>
        <w:t xml:space="preserve">Studio City Casino generated gross gaming revenues of US$373.5 million and US$336.2 million for the first quarters of 2026 and 2025, respectively. </w:t>
      </w:r>
    </w:p>
    <w:p>
      <w:pPr>
        <w:pStyle w:val="TextBody"/>
        <w:bidi w:val="0"/>
        <w:spacing w:before="240" w:after="0"/>
        <w:jc w:val="left"/>
        <w:rPr>
          <w:rFonts w:ascii="Times New Roman" w:hAnsi="Times New Roman"/>
          <w:sz w:val="20"/>
        </w:rPr>
      </w:pPr>
      <w:r>
        <w:rPr>
          <w:rFonts w:ascii="Times New Roman" w:hAnsi="Times New Roman"/>
          <w:sz w:val="20"/>
        </w:rPr>
        <w:t xml:space="preserve">Mass market table games drop was US$901.3 million in the first quarter of 2026, compared with US$923.9 million in the first quarter of 2025 and hold percentage was 36.9% in the first quarter of 2026, compared with 32.8% in the first quarter of 2025. </w:t>
      </w:r>
    </w:p>
    <w:p>
      <w:pPr>
        <w:pStyle w:val="TextBody"/>
        <w:bidi w:val="0"/>
        <w:spacing w:before="240" w:after="0"/>
        <w:jc w:val="left"/>
        <w:rPr>
          <w:rFonts w:ascii="Times New Roman" w:hAnsi="Times New Roman"/>
          <w:sz w:val="20"/>
        </w:rPr>
      </w:pPr>
      <w:r>
        <w:rPr>
          <w:rFonts w:ascii="Times New Roman" w:hAnsi="Times New Roman"/>
          <w:sz w:val="20"/>
        </w:rPr>
        <w:t xml:space="preserve">Gaming machine handle for the first quarter of 2026 was US$1.09 billion, compared with US$0.87 billion in the first quarter of 2025 and win rate was 3.7% in the first quarter of 2026, compared with 3.8% in the first quarter of 2025. </w:t>
      </w:r>
    </w:p>
    <w:p>
      <w:pPr>
        <w:pStyle w:val="TextBody"/>
        <w:bidi w:val="0"/>
        <w:spacing w:before="240" w:after="0"/>
        <w:jc w:val="left"/>
        <w:rPr>
          <w:rFonts w:ascii="Times New Roman" w:hAnsi="Times New Roman"/>
          <w:sz w:val="20"/>
        </w:rPr>
      </w:pPr>
      <w:r>
        <w:rPr>
          <w:rFonts w:ascii="Times New Roman" w:hAnsi="Times New Roman"/>
          <w:sz w:val="20"/>
        </w:rPr>
        <w:t xml:space="preserve">Revenue from casino contract was US$87.0 million for the first quarter of 2026, compared with US$75.9 million for the first quarter of 2025. Revenue from casino contract is net of gaming taxes and the costs incurred in connection with the on-going operation of the Studio City Casino which are deducted by Melco Resorts (Macau) Limited, the gaming operator of the Studio City Casino (the “Gaming Operator”). </w:t>
      </w:r>
    </w:p>
    <w:p>
      <w:pPr>
        <w:pStyle w:val="TextBody"/>
        <w:bidi w:val="0"/>
        <w:spacing w:before="240" w:after="0"/>
        <w:jc w:val="left"/>
        <w:rPr>
          <w:rFonts w:ascii="Times New Roman" w:hAnsi="Times New Roman"/>
          <w:sz w:val="20"/>
        </w:rPr>
      </w:pPr>
      <w:r>
        <w:rPr>
          <w:rFonts w:ascii="Times New Roman" w:hAnsi="Times New Roman"/>
          <w:sz w:val="20"/>
        </w:rPr>
        <w:t xml:space="preserve">Total gaming taxes and the costs incurred in connection with the on-going operation of the Studio City Casino deducted from gross gaming revenues were US$286.5 million and US$260.2 million in the first quarters of 2026 and 2025, respectively. </w:t>
      </w:r>
    </w:p>
    <w:p>
      <w:pPr>
        <w:pStyle w:val="TextBody"/>
        <w:bidi w:val="0"/>
        <w:spacing w:before="240" w:after="0"/>
        <w:jc w:val="left"/>
        <w:rPr>
          <w:rFonts w:ascii="Times New Roman" w:hAnsi="Times New Roman"/>
          <w:sz w:val="20"/>
        </w:rPr>
      </w:pPr>
      <w:r>
        <w:rPr>
          <w:rFonts w:ascii="Times New Roman" w:hAnsi="Times New Roman"/>
          <w:sz w:val="20"/>
        </w:rPr>
        <w:t xml:space="preserve">Total non-gaming revenues at Studio City for the first quarter of 2026 were US$89.8 million, compared with US$85.8 million for the first quarter of 2025. </w:t>
      </w:r>
    </w:p>
    <w:p>
      <w:pPr>
        <w:pStyle w:val="TextBody"/>
        <w:bidi w:val="0"/>
        <w:spacing w:before="240" w:after="0"/>
        <w:jc w:val="left"/>
        <w:rPr>
          <w:rFonts w:ascii="Times New Roman" w:hAnsi="Times New Roman"/>
          <w:sz w:val="20"/>
        </w:rPr>
      </w:pPr>
      <w:r>
        <w:rPr>
          <w:rFonts w:ascii="Times New Roman" w:hAnsi="Times New Roman"/>
          <w:sz w:val="20"/>
        </w:rPr>
        <w:t xml:space="preserve">Operating income for the first quarter of 2026 was US$28.0 million, compared with US$15.3 million in the first quarter of 2025. </w:t>
      </w:r>
    </w:p>
    <w:p>
      <w:pPr>
        <w:pStyle w:val="TextBody"/>
        <w:bidi w:val="0"/>
        <w:spacing w:before="240" w:after="0"/>
        <w:jc w:val="left"/>
        <w:rPr>
          <w:rFonts w:ascii="Times New Roman" w:hAnsi="Times New Roman"/>
          <w:sz w:val="20"/>
        </w:rPr>
      </w:pPr>
      <w:r>
        <w:rPr>
          <w:rFonts w:ascii="Times New Roman" w:hAnsi="Times New Roman"/>
          <w:sz w:val="20"/>
        </w:rPr>
        <w:t xml:space="preserve">Studio City’s Adjusted EBITDA(1) was US$80.0 million in the first quarter of 2026, compared with US$69.9 million in the first quarter of 2025. The change was mainly attributable to higher revenue from casino contract and non-gaming revenues, partially offset by higher operating costs. </w:t>
      </w:r>
    </w:p>
    <w:p>
      <w:pPr>
        <w:pStyle w:val="TextBody"/>
        <w:bidi w:val="0"/>
        <w:spacing w:before="240" w:after="0"/>
        <w:jc w:val="left"/>
        <w:rPr>
          <w:rFonts w:ascii="Times New Roman" w:hAnsi="Times New Roman"/>
          <w:sz w:val="20"/>
        </w:rPr>
      </w:pPr>
      <w:r>
        <w:rPr>
          <w:rFonts w:ascii="Times New Roman" w:hAnsi="Times New Roman"/>
          <w:sz w:val="20"/>
        </w:rPr>
        <w:t xml:space="preserve">Net income attributable to Studio City International Holdings Limited for the first quarter of 2026 was US$2.9 million, or US$0.02 per ADS, compared with net loss attributable to Studio City International Holdings Limited of US$16.0 million, or US$0.08 per ADS, in the first quarter of 2025. The net income attributable to participation interest was US$0.3 million in the first quarter of 2026, compared with net loss attributable to participation interest of US$1.5 million in the first quarter of 2025. </w:t>
      </w:r>
    </w:p>
    <w:p>
      <w:pPr>
        <w:pStyle w:val="TextBody"/>
        <w:bidi w:val="0"/>
        <w:spacing w:before="240" w:after="0"/>
        <w:jc w:val="left"/>
        <w:rPr>
          <w:rFonts w:ascii="Times New Roman" w:hAnsi="Times New Roman"/>
          <w:b/>
          <w:sz w:val="20"/>
        </w:rPr>
      </w:pPr>
      <w:r>
        <w:rPr>
          <w:rFonts w:ascii="Times New Roman" w:hAnsi="Times New Roman"/>
          <w:b/>
          <w:sz w:val="20"/>
        </w:rPr>
        <w:t xml:space="preserve">Other Factors Affecting Earnings </w:t>
      </w:r>
    </w:p>
    <w:p>
      <w:pPr>
        <w:pStyle w:val="TextBody"/>
        <w:bidi w:val="0"/>
        <w:spacing w:before="240" w:after="0"/>
        <w:jc w:val="left"/>
        <w:rPr>
          <w:rFonts w:ascii="Times New Roman" w:hAnsi="Times New Roman"/>
          <w:sz w:val="20"/>
        </w:rPr>
      </w:pPr>
      <w:r>
        <w:rPr>
          <w:rFonts w:ascii="Times New Roman" w:hAnsi="Times New Roman"/>
          <w:sz w:val="20"/>
        </w:rPr>
        <w:t xml:space="preserve">Total net non-operating expenses for the first quarter of 2026 were US$21.9 million, which mainly included interest expense of US$30.0 million, partially offset by net foreign exchange gains of US$8.4 million. </w:t>
      </w:r>
    </w:p>
    <w:p>
      <w:pPr>
        <w:pStyle w:val="TextBody"/>
        <w:bidi w:val="0"/>
        <w:spacing w:before="240" w:after="0"/>
        <w:jc w:val="left"/>
        <w:rPr>
          <w:rFonts w:ascii="Times New Roman" w:hAnsi="Times New Roman"/>
          <w:sz w:val="20"/>
        </w:rPr>
      </w:pPr>
      <w:r>
        <w:rPr>
          <w:rFonts w:ascii="Times New Roman" w:hAnsi="Times New Roman"/>
          <w:sz w:val="20"/>
        </w:rPr>
        <w:t xml:space="preserve">Depreciation and amortization costs of US$51.8 million were recorded in the first quarter of 2026, of which US$0.8 million was related to the amortization expense for the land use right.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Adjusted EBITDA for Studio City for the three months ended March 31, 2026 referred to in the earnings release of Melco Resorts &amp; Entertainment Limited (“Melco Resorts”) dated April 30, 2026 (“Melco Resorts’ Earnings Release”) was US$31.7 million more than the Adjusted EBITDA of Studio City reported in this press release. Adjusted EBITDA of Studio City reported in this press release includes certain intercompany charges that are not included in Adjusted EBITDA for Studio City reported in Melco Resorts’ Earnings Release. Such intercompany charges include, among other items, fees and shared service charges billed between the Company and its subsidiaries and certain subsidiaries of Melco Resorts. Additionally, Adjusted EBITDA of Studio City presented in Melco Resorts’ Earnings Release does not reflect certain gaming concession related costs and certain intercompany costs related to the gaming operations at Studio City Casino. </w:t>
      </w:r>
    </w:p>
    <w:p>
      <w:pPr>
        <w:pStyle w:val="TextBody"/>
        <w:bidi w:val="0"/>
        <w:spacing w:before="360" w:after="0"/>
        <w:jc w:val="left"/>
        <w:rPr>
          <w:rFonts w:ascii="Times New Roman" w:hAnsi="Times New Roman"/>
          <w:b/>
          <w:sz w:val="20"/>
        </w:rPr>
      </w:pPr>
      <w:r>
        <w:rPr>
          <w:rFonts w:ascii="Times New Roman" w:hAnsi="Times New Roman"/>
          <w:b/>
          <w:sz w:val="20"/>
        </w:rPr>
        <w:t xml:space="preserve">Financial Position and Capital Expenditures </w:t>
      </w:r>
    </w:p>
    <w:p>
      <w:pPr>
        <w:pStyle w:val="TextBody"/>
        <w:bidi w:val="0"/>
        <w:spacing w:before="80" w:after="0"/>
        <w:jc w:val="left"/>
        <w:rPr>
          <w:rFonts w:ascii="Times New Roman" w:hAnsi="Times New Roman"/>
          <w:sz w:val="20"/>
        </w:rPr>
      </w:pPr>
      <w:r>
        <w:rPr>
          <w:rFonts w:ascii="Times New Roman" w:hAnsi="Times New Roman"/>
          <w:sz w:val="20"/>
        </w:rPr>
        <w:t xml:space="preserve">Total cash and bank balances as of March 31, 2026 aggregated to US$87.0 million (December 31, 2025: US$109.5 million), including US$0.1 million of restricted cash (December 31, 2025: US$0.1 million). Total debt, net of unamortized deferred financing costs and original issue premiums, at the end of the first quarter of 2026 was US$2.01 billion (December 31, 2025: US$2.02 billion), a reduction of US$9.8 million compared to total debt, net as of December 31, 2025. The reduction in total debt, net was primarily the result of the repayment of HK$78.0 million (equivalent to US$10.0 million) principal amount outstanding under the senior secured credit facility in March 2026. </w:t>
      </w:r>
    </w:p>
    <w:p>
      <w:pPr>
        <w:pStyle w:val="TextBody"/>
        <w:bidi w:val="0"/>
        <w:spacing w:before="240" w:after="0"/>
        <w:jc w:val="left"/>
        <w:rPr>
          <w:rFonts w:ascii="Times New Roman" w:hAnsi="Times New Roman"/>
          <w:sz w:val="20"/>
        </w:rPr>
      </w:pPr>
      <w:r>
        <w:rPr>
          <w:rFonts w:ascii="Times New Roman" w:hAnsi="Times New Roman"/>
          <w:sz w:val="20"/>
        </w:rPr>
        <w:t xml:space="preserve">Capital expenditures for the first quarter of 2026 were US$4.6 million. </w:t>
      </w:r>
    </w:p>
    <w:p>
      <w:pPr>
        <w:pStyle w:val="TextBody"/>
        <w:bidi w:val="0"/>
        <w:spacing w:before="360" w:after="0"/>
        <w:jc w:val="left"/>
        <w:rPr>
          <w:rFonts w:ascii="Times New Roman" w:hAnsi="Times New Roman"/>
          <w:b/>
          <w:sz w:val="20"/>
        </w:rPr>
      </w:pPr>
      <w:r>
        <w:rPr>
          <w:rFonts w:ascii="Times New Roman" w:hAnsi="Times New Roman"/>
          <w:b/>
          <w:sz w:val="20"/>
        </w:rPr>
        <w:t xml:space="preserve">Safe Harbor Statement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forward-looking statements. These statements are made under the “safe harbor” provisions of the U.S. Private Securities Litigation Reform Act of 1995. Studio City International Holdings Limited (the “Company”) may also make forward-looking statements in its periodic reports to the U.S. Securities and Exchange Commission (the “SEC”), in its annual report to shareholders, in press releases and other written materials and in oral statements made by its officers, directors or employees to third parties. Statements that are not historical facts, including statements about the Company’s beliefs and expectations, are forward-looking statements. Forward-looking statements involve inherent risks and uncertainties, and a number of factors could cause actual results to differ materially from those contained in any forward-looking statement. These factors include, but are not limited to, (i) changes in the gaming market and visitations in Macau, (ii) local and global economic conditions, (iii) capital and credit market volatility, (iv) our anticipated growth strategies, (v) risks associated with the implementation of the amended Macau gaming law by the Macau government, (vi) gaming authority and other governmental approvals and regulations, and (vii) our future business development, results of operations and financial condition. In some cases, forward-looking statements can be identified by words or phrases such as “may,” “will,” “expect,” “anticipate,” “target,” “aim,” “estimate,” “intend,” “plan,” “believe,” “potential,” “continue,” “is/are likely to” or other similar expressions. Further information regarding these and other risks, uncertainties or factors is included in the Company’s filings with the SEC. All information provided in this press release is as of the date of this press release, and the Company undertakes no duty to update such information, except as required under applicable law. </w:t>
      </w:r>
    </w:p>
    <w:p>
      <w:pPr>
        <w:pStyle w:val="TextBody"/>
        <w:bidi w:val="0"/>
        <w:spacing w:before="360" w:after="0"/>
        <w:jc w:val="left"/>
        <w:rPr>
          <w:rFonts w:ascii="Times New Roman" w:hAnsi="Times New Roman"/>
          <w:b/>
          <w:sz w:val="20"/>
        </w:rPr>
      </w:pPr>
      <w:r>
        <w:rPr>
          <w:rFonts w:ascii="Times New Roman" w:hAnsi="Times New Roman"/>
          <w:b/>
          <w:sz w:val="20"/>
        </w:rPr>
        <w:t xml:space="preserve">Non-GAAP Financial Measures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pPr>
            <w:r>
              <w:rPr/>
              <w:t>“</w:t>
            </w:r>
            <w:r>
              <w:rPr>
                <w:rFonts w:ascii="Times New Roman" w:hAnsi="Times New Roman"/>
                <w:sz w:val="20"/>
              </w:rPr>
              <w:t xml:space="preserve">Adjusted EBITDA” is defined as net income/loss before interest, taxes, depreciation, amortization, pre-opening costs, property charges and other and other non-operating income and expenses. Adjusted EBITDA, which is a non-GAAP financial measure, is presented as supplemental disclosure because management believes it is widely used to measure the performance, and as a basis for valuation, of gaming companies. Management uses Adjusted EBITDA to measure our operating performance and to compare our operating performance with those of our competitors.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also presents Adjusted EBITDA because it is used by some investors as a way to measure a company’s ability to incur and service debt, make capital expenditures, and meet working capital requirements. Gaming companies have historically reported similar measures as supplements to financial measures in accordance with generally accepted accounting principles, in particular, U.S. GAAP or International Financial Reporting Standards. However, Adjusted EBITDA should not be considered as an alternative to operating income/loss as an indicator of the Company’s performance, as an alternative to cash flows from operating activities as a measure of liquidity, or as an alternative to any other measure determined in accordance with U.S. GAAP. Unlike net income/loss, Adjusted EBITDA does not include depreciation and amortization or interest expense and, therefore, do not reflect current or future capital expenditures or the cost of capital. The Company recognizes these limitations and uses Adjusted EBITDA as only one of several comparative tools, together with U.S. GAAP measurements, to assist in the evaluation of operating performance.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Such U.S. GAAP measurements include operating income/loss, net income/loss, cash flows from operations and cash flow data. The Company has significant uses of cash flows, including capital expenditures, interest payments, debt principal repayments, taxes and other recurring and nonrecurring charges, which are not reflected in Adjusted EBITDA. Also, the Company’s calculation of Adjusted EBITDA may be different from the calculation methods used by other companies and, therefore, comparability may be limited. The use of Adjusted EBITDA has material limitations as an analytical tool, as Adjusted EBITDA does not include all items that impact our net income/loss. Investors are encouraged to review the reconciliation of the historical non-GAAP financial measure to its most directly comparable GAAP financial measure. Reconciliations of Adjusted EBITDA with the most comparable financial measures calculated and presented in accordance with U.S. GAAP are provided herein immediately following the financial statements included in this press release.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pPr>
            <w:r>
              <w:rPr/>
              <w:t>“</w:t>
            </w:r>
            <w:r>
              <w:rPr>
                <w:rFonts w:ascii="Times New Roman" w:hAnsi="Times New Roman"/>
                <w:sz w:val="20"/>
              </w:rPr>
              <w:t xml:space="preserve">Adjusted net income/loss” is net income/loss before pre-opening costs and property charges and other, net of participation interest and taxes. Adjusted net income/loss, which is a non-GAAP financial measure, is presented as supplemental disclosure because management believes it provides useful information to investors and others in understanding and evaluating our performance, in addition to income/loss computed in accordance with U.S. GAAP. Adjusted net income/loss may be different from the calculation methods used by other companies and, therefore, comparability may be limited. Reconciliations of adjusted net income/loss attributable to Studio City International Holdings Limited with the most comparable financial measures calculated and presented in accordance with U.S. GAAP are provided herein immediately following the financial statements included in this press release.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About Studio City International Holdings Limited </w:t>
      </w:r>
    </w:p>
    <w:p>
      <w:pPr>
        <w:pStyle w:val="TextBody"/>
        <w:bidi w:val="0"/>
        <w:spacing w:before="120" w:after="0"/>
        <w:jc w:val="left"/>
        <w:rPr>
          <w:rFonts w:ascii="Times New Roman" w:hAnsi="Times New Roman"/>
          <w:sz w:val="20"/>
        </w:rPr>
      </w:pPr>
      <w:r>
        <w:rPr>
          <w:rFonts w:ascii="Times New Roman" w:hAnsi="Times New Roman"/>
          <w:sz w:val="20"/>
        </w:rPr>
        <w:t xml:space="preserve">The Company, with its American depositary shares listed on the New York Stock Exchange (NYSE: MSC), is a world-class integrated resort located in Cotai, Macau. For more information about the Company, please visit </w:t>
      </w:r>
      <w:r>
        <w:rPr>
          <w:rFonts w:ascii="Times New Roman" w:hAnsi="Times New Roman"/>
          <w:sz w:val="20"/>
          <w:u w:val="single"/>
        </w:rPr>
        <w:t>www.studiocity-macau.com</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majority owned by Melco Resorts &amp; Entertainment Limited, a company with its American depositary shares listed on the Nasdaq Global Select Market (Nasdaq: MLCO). </w:t>
      </w:r>
    </w:p>
    <w:p>
      <w:pPr>
        <w:pStyle w:val="TextBody"/>
        <w:bidi w:val="0"/>
        <w:spacing w:before="360" w:after="0"/>
        <w:jc w:val="left"/>
        <w:rPr>
          <w:rFonts w:ascii="Times New Roman" w:hAnsi="Times New Roman"/>
          <w:b/>
          <w:sz w:val="20"/>
        </w:rPr>
      </w:pPr>
      <w:r>
        <w:rPr>
          <w:rFonts w:ascii="Times New Roman" w:hAnsi="Times New Roman"/>
          <w:b/>
          <w:sz w:val="20"/>
        </w:rPr>
        <w:t xml:space="preserve">For the investment community, please contact: </w:t>
      </w:r>
    </w:p>
    <w:p>
      <w:pPr>
        <w:pStyle w:val="TextBody"/>
        <w:bidi w:val="0"/>
        <w:spacing w:before="120" w:after="0"/>
        <w:jc w:val="left"/>
        <w:rPr>
          <w:rFonts w:ascii="Times New Roman" w:hAnsi="Times New Roman"/>
          <w:sz w:val="20"/>
        </w:rPr>
      </w:pPr>
      <w:r>
        <w:rPr>
          <w:rFonts w:ascii="Times New Roman" w:hAnsi="Times New Roman"/>
          <w:sz w:val="20"/>
        </w:rPr>
        <w:t xml:space="preserve">Jeanny Kim </w:t>
      </w:r>
    </w:p>
    <w:p>
      <w:pPr>
        <w:pStyle w:val="TextBody"/>
        <w:bidi w:val="0"/>
        <w:spacing w:before="0" w:after="0"/>
        <w:jc w:val="left"/>
        <w:rPr>
          <w:rFonts w:ascii="Times New Roman" w:hAnsi="Times New Roman"/>
          <w:sz w:val="20"/>
        </w:rPr>
      </w:pPr>
      <w:r>
        <w:rPr>
          <w:rFonts w:ascii="Times New Roman" w:hAnsi="Times New Roman"/>
          <w:sz w:val="20"/>
        </w:rPr>
        <w:t xml:space="preserve">Senior Vice President, Group Treasurer </w:t>
      </w:r>
    </w:p>
    <w:p>
      <w:pPr>
        <w:pStyle w:val="TextBody"/>
        <w:bidi w:val="0"/>
        <w:spacing w:before="0" w:after="0"/>
        <w:jc w:val="left"/>
        <w:rPr>
          <w:rFonts w:ascii="Times New Roman" w:hAnsi="Times New Roman"/>
          <w:sz w:val="20"/>
        </w:rPr>
      </w:pPr>
      <w:r>
        <w:rPr>
          <w:rFonts w:ascii="Times New Roman" w:hAnsi="Times New Roman"/>
          <w:sz w:val="20"/>
        </w:rPr>
        <w:t xml:space="preserve">Tel: +852 2598 3698 </w:t>
      </w:r>
    </w:p>
    <w:p>
      <w:pPr>
        <w:pStyle w:val="TextBody"/>
        <w:bidi w:val="0"/>
        <w:spacing w:before="0" w:after="0"/>
        <w:jc w:val="left"/>
        <w:rPr>
          <w:rFonts w:ascii="Times New Roman" w:hAnsi="Times New Roman"/>
          <w:sz w:val="20"/>
        </w:rPr>
      </w:pPr>
      <w:r>
        <w:rPr>
          <w:rFonts w:ascii="Times New Roman" w:hAnsi="Times New Roman"/>
          <w:sz w:val="20"/>
        </w:rPr>
        <w:t xml:space="preserve">Email: </w:t>
      </w:r>
      <w:r>
        <w:rPr>
          <w:rFonts w:ascii="Times New Roman" w:hAnsi="Times New Roman"/>
          <w:sz w:val="20"/>
          <w:u w:val="single"/>
        </w:rPr>
        <w:t>jeannykim@melco-resorts.com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For media enquiries, please contact: </w:t>
      </w:r>
    </w:p>
    <w:p>
      <w:pPr>
        <w:pStyle w:val="TextBody"/>
        <w:bidi w:val="0"/>
        <w:spacing w:before="120" w:after="0"/>
        <w:jc w:val="left"/>
        <w:rPr>
          <w:rFonts w:ascii="Times New Roman" w:hAnsi="Times New Roman"/>
          <w:sz w:val="20"/>
        </w:rPr>
      </w:pPr>
      <w:r>
        <w:rPr>
          <w:rFonts w:ascii="Times New Roman" w:hAnsi="Times New Roman"/>
          <w:sz w:val="20"/>
        </w:rPr>
        <w:t xml:space="preserve">Chimmy Leung </w:t>
      </w:r>
    </w:p>
    <w:p>
      <w:pPr>
        <w:pStyle w:val="TextBody"/>
        <w:bidi w:val="0"/>
        <w:spacing w:before="0" w:after="0"/>
        <w:jc w:val="left"/>
        <w:rPr>
          <w:rFonts w:ascii="Times New Roman" w:hAnsi="Times New Roman"/>
          <w:sz w:val="20"/>
        </w:rPr>
      </w:pPr>
      <w:r>
        <w:rPr>
          <w:rFonts w:ascii="Times New Roman" w:hAnsi="Times New Roman"/>
          <w:sz w:val="20"/>
        </w:rPr>
        <w:t xml:space="preserve">Executive Director, Corporate Communications </w:t>
      </w:r>
    </w:p>
    <w:p>
      <w:pPr>
        <w:pStyle w:val="TextBody"/>
        <w:bidi w:val="0"/>
        <w:spacing w:before="0" w:after="0"/>
        <w:jc w:val="left"/>
        <w:rPr>
          <w:rFonts w:ascii="Times New Roman" w:hAnsi="Times New Roman"/>
          <w:sz w:val="20"/>
        </w:rPr>
      </w:pPr>
      <w:r>
        <w:rPr>
          <w:rFonts w:ascii="Times New Roman" w:hAnsi="Times New Roman"/>
          <w:sz w:val="20"/>
        </w:rPr>
        <w:t xml:space="preserve">Tel: +852 3151 3765 </w:t>
      </w:r>
    </w:p>
    <w:p>
      <w:pPr>
        <w:pStyle w:val="TextBody"/>
        <w:bidi w:val="0"/>
        <w:spacing w:before="0" w:after="0"/>
        <w:jc w:val="left"/>
        <w:rPr>
          <w:rFonts w:ascii="Times New Roman" w:hAnsi="Times New Roman"/>
          <w:sz w:val="20"/>
        </w:rPr>
      </w:pPr>
      <w:r>
        <w:rPr>
          <w:rFonts w:ascii="Times New Roman" w:hAnsi="Times New Roman"/>
          <w:sz w:val="20"/>
        </w:rPr>
        <w:t xml:space="preserve">Email: </w:t>
      </w:r>
      <w:r>
        <w:rPr>
          <w:rFonts w:ascii="Times New Roman" w:hAnsi="Times New Roman"/>
          <w:sz w:val="20"/>
          <w:u w:val="single"/>
        </w:rPr>
        <w:t>chimmyleung@melco-resorts.com</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Studio City International Holdings Limited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Statements of Operations (Unaudited)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share and per share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325"/>
        <w:gridCol w:w="438"/>
        <w:gridCol w:w="140"/>
        <w:gridCol w:w="1228"/>
        <w:gridCol w:w="155"/>
        <w:gridCol w:w="391"/>
        <w:gridCol w:w="140"/>
        <w:gridCol w:w="1228"/>
        <w:gridCol w:w="160"/>
      </w:tblGrid>
      <w:tr>
        <w:trPr/>
        <w:tc>
          <w:tcPr>
            <w:tcW w:w="6325" w:type="dxa"/>
            <w:tcBorders/>
            <w:vAlign w:val="center"/>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9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325" w:type="dxa"/>
            <w:tcBorders/>
            <w:vAlign w:val="bottom"/>
          </w:tcPr>
          <w:p>
            <w:pPr>
              <w:pStyle w:val="TableContents"/>
              <w:bidi w:val="0"/>
              <w:spacing w:before="0" w:after="283"/>
              <w:jc w:val="left"/>
              <w:rPr/>
            </w:pPr>
            <w:r>
              <w:rPr/>
              <w:t> </w:t>
            </w:r>
          </w:p>
        </w:tc>
        <w:tc>
          <w:tcPr>
            <w:tcW w:w="438" w:type="dxa"/>
            <w:tcBorders/>
            <w:vAlign w:val="bottom"/>
          </w:tcPr>
          <w:p>
            <w:pPr>
              <w:pStyle w:val="TableContents"/>
              <w:bidi w:val="0"/>
              <w:spacing w:before="0" w:after="283"/>
              <w:jc w:val="left"/>
              <w:rPr/>
            </w:pPr>
            <w:r>
              <w:rPr/>
              <w:t>  </w:t>
            </w:r>
          </w:p>
        </w:tc>
        <w:tc>
          <w:tcPr>
            <w:tcW w:w="3282" w:type="dxa"/>
            <w:gridSpan w:val="6"/>
            <w:tcBorders/>
            <w:vAlign w:val="bottom"/>
          </w:tcPr>
          <w:p>
            <w:pPr>
              <w:pStyle w:val="TableContents"/>
              <w:bidi w:val="0"/>
              <w:spacing w:before="0" w:after="283"/>
              <w:jc w:val="center"/>
              <w:rPr>
                <w:b/>
              </w:rPr>
            </w:pPr>
            <w:r>
              <w:rPr>
                <w:b/>
              </w:rPr>
              <w:t>Three Months Ended</w:t>
            </w:r>
          </w:p>
        </w:tc>
        <w:tc>
          <w:tcPr>
            <w:tcW w:w="160" w:type="dxa"/>
            <w:tcBorders/>
            <w:vAlign w:val="bottom"/>
          </w:tcPr>
          <w:p>
            <w:pPr>
              <w:pStyle w:val="TableContents"/>
              <w:bidi w:val="0"/>
              <w:spacing w:before="0" w:after="283"/>
              <w:jc w:val="left"/>
              <w:rPr/>
            </w:pPr>
            <w:r>
              <w:rPr/>
              <w:t> </w:t>
            </w:r>
          </w:p>
        </w:tc>
      </w:tr>
      <w:tr>
        <w:trPr/>
        <w:tc>
          <w:tcPr>
            <w:tcW w:w="6325" w:type="dxa"/>
            <w:tcBorders/>
            <w:vAlign w:val="bottom"/>
          </w:tcPr>
          <w:p>
            <w:pPr>
              <w:pStyle w:val="TableContents"/>
              <w:bidi w:val="0"/>
              <w:spacing w:before="0" w:after="283"/>
              <w:jc w:val="left"/>
              <w:rPr/>
            </w:pPr>
            <w:r>
              <w:rPr/>
              <w:t> </w:t>
            </w:r>
          </w:p>
        </w:tc>
        <w:tc>
          <w:tcPr>
            <w:tcW w:w="438" w:type="dxa"/>
            <w:tcBorders/>
            <w:vAlign w:val="bottom"/>
          </w:tcPr>
          <w:p>
            <w:pPr>
              <w:pStyle w:val="TableContents"/>
              <w:bidi w:val="0"/>
              <w:spacing w:before="0" w:after="283"/>
              <w:jc w:val="left"/>
              <w:rPr/>
            </w:pPr>
            <w:r>
              <w:rPr/>
              <w:t>  </w:t>
            </w:r>
          </w:p>
        </w:tc>
        <w:tc>
          <w:tcPr>
            <w:tcW w:w="3282" w:type="dxa"/>
            <w:gridSpan w:val="6"/>
            <w:tcBorders/>
            <w:vAlign w:val="bottom"/>
          </w:tcPr>
          <w:p>
            <w:pPr>
              <w:pStyle w:val="TableContents"/>
              <w:bidi w:val="0"/>
              <w:spacing w:before="0" w:after="283"/>
              <w:jc w:val="center"/>
              <w:rPr>
                <w:b/>
              </w:rPr>
            </w:pPr>
            <w:r>
              <w:rPr>
                <w:b/>
              </w:rPr>
              <w:t>March 31,</w:t>
            </w:r>
          </w:p>
        </w:tc>
        <w:tc>
          <w:tcPr>
            <w:tcW w:w="160" w:type="dxa"/>
            <w:tcBorders/>
            <w:vAlign w:val="bottom"/>
          </w:tcPr>
          <w:p>
            <w:pPr>
              <w:pStyle w:val="TableContents"/>
              <w:bidi w:val="0"/>
              <w:spacing w:before="0" w:after="283"/>
              <w:jc w:val="left"/>
              <w:rPr/>
            </w:pPr>
            <w:r>
              <w:rPr/>
              <w:t> </w:t>
            </w:r>
          </w:p>
        </w:tc>
      </w:tr>
      <w:tr>
        <w:trPr/>
        <w:tc>
          <w:tcPr>
            <w:tcW w:w="6325" w:type="dxa"/>
            <w:tcBorders/>
            <w:vAlign w:val="bottom"/>
          </w:tcPr>
          <w:p>
            <w:pPr>
              <w:pStyle w:val="TableContents"/>
              <w:bidi w:val="0"/>
              <w:spacing w:before="0" w:after="283"/>
              <w:jc w:val="left"/>
              <w:rPr/>
            </w:pPr>
            <w:r>
              <w:rPr/>
              <w:t> </w:t>
            </w:r>
          </w:p>
        </w:tc>
        <w:tc>
          <w:tcPr>
            <w:tcW w:w="438" w:type="dxa"/>
            <w:tcBorders/>
            <w:vAlign w:val="bottom"/>
          </w:tcPr>
          <w:p>
            <w:pPr>
              <w:pStyle w:val="TableContents"/>
              <w:bidi w:val="0"/>
              <w:spacing w:before="0" w:after="283"/>
              <w:jc w:val="left"/>
              <w:rPr/>
            </w:pPr>
            <w:r>
              <w:rPr/>
              <w:t>  </w:t>
            </w:r>
          </w:p>
        </w:tc>
        <w:tc>
          <w:tcPr>
            <w:tcW w:w="13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3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0" w:type="dxa"/>
            <w:tcBorders/>
            <w:vAlign w:val="bottom"/>
          </w:tcPr>
          <w:p>
            <w:pPr>
              <w:pStyle w:val="TableContents"/>
              <w:bidi w:val="0"/>
              <w:spacing w:before="0" w:after="283"/>
              <w:jc w:val="left"/>
              <w:rPr/>
            </w:pPr>
            <w:r>
              <w:rPr/>
              <w:t> </w:t>
            </w:r>
          </w:p>
        </w:tc>
      </w:tr>
      <w:tr>
        <w:trPr/>
        <w:tc>
          <w:tcPr>
            <w:tcW w:w="63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revenues:</w:t>
            </w:r>
          </w:p>
        </w:tc>
        <w:tc>
          <w:tcPr>
            <w:tcW w:w="4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8"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6325" w:type="dxa"/>
            <w:tcBorders/>
          </w:tcPr>
          <w:p>
            <w:pPr>
              <w:pStyle w:val="TableContents"/>
              <w:bidi w:val="0"/>
              <w:spacing w:before="0" w:after="0"/>
              <w:jc w:val="left"/>
              <w:rPr>
                <w:rFonts w:ascii="Times New Roman" w:hAnsi="Times New Roman"/>
                <w:sz w:val="20"/>
              </w:rPr>
            </w:pPr>
            <w:r>
              <w:rPr>
                <w:rFonts w:ascii="Times New Roman" w:hAnsi="Times New Roman"/>
                <w:sz w:val="20"/>
              </w:rPr>
              <w:t>Revenue from casino contract</w:t>
            </w:r>
          </w:p>
        </w:tc>
        <w:tc>
          <w:tcPr>
            <w:tcW w:w="4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8" w:type="dxa"/>
            <w:tcBorders/>
            <w:vAlign w:val="bottom"/>
          </w:tcPr>
          <w:p>
            <w:pPr>
              <w:pStyle w:val="TableContents"/>
              <w:bidi w:val="0"/>
              <w:spacing w:before="0" w:after="283"/>
              <w:jc w:val="right"/>
              <w:rPr/>
            </w:pPr>
            <w:r>
              <w:rPr/>
              <w:t>86,968</w:t>
            </w:r>
          </w:p>
        </w:tc>
        <w:tc>
          <w:tcPr>
            <w:tcW w:w="155"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8" w:type="dxa"/>
            <w:tcBorders/>
            <w:vAlign w:val="bottom"/>
          </w:tcPr>
          <w:p>
            <w:pPr>
              <w:pStyle w:val="TableContents"/>
              <w:bidi w:val="0"/>
              <w:spacing w:before="0" w:after="283"/>
              <w:jc w:val="right"/>
              <w:rPr/>
            </w:pPr>
            <w:r>
              <w:rPr/>
              <w:t>75,920</w:t>
            </w:r>
          </w:p>
        </w:tc>
        <w:tc>
          <w:tcPr>
            <w:tcW w:w="160" w:type="dxa"/>
            <w:tcBorders/>
            <w:vAlign w:val="bottom"/>
          </w:tcPr>
          <w:p>
            <w:pPr>
              <w:pStyle w:val="TableContents"/>
              <w:bidi w:val="0"/>
              <w:spacing w:before="0" w:after="283"/>
              <w:jc w:val="left"/>
              <w:rPr/>
            </w:pPr>
            <w:r>
              <w:rPr/>
              <w:t> </w:t>
            </w:r>
          </w:p>
        </w:tc>
      </w:tr>
      <w:tr>
        <w:trPr/>
        <w:tc>
          <w:tcPr>
            <w:tcW w:w="63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Rooms</w:t>
            </w:r>
          </w:p>
        </w:tc>
        <w:tc>
          <w:tcPr>
            <w:tcW w:w="4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43,600</w:t>
            </w:r>
          </w:p>
        </w:tc>
        <w:tc>
          <w:tcPr>
            <w:tcW w:w="155"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41,236</w:t>
            </w:r>
          </w:p>
        </w:tc>
        <w:tc>
          <w:tcPr>
            <w:tcW w:w="160" w:type="dxa"/>
            <w:tcBorders/>
            <w:shd w:fill="CCEEFF" w:val="clear"/>
            <w:vAlign w:val="bottom"/>
          </w:tcPr>
          <w:p>
            <w:pPr>
              <w:pStyle w:val="TableContents"/>
              <w:bidi w:val="0"/>
              <w:spacing w:before="0" w:after="283"/>
              <w:jc w:val="left"/>
              <w:rPr/>
            </w:pPr>
            <w:r>
              <w:rPr/>
              <w:t> </w:t>
            </w:r>
          </w:p>
        </w:tc>
      </w:tr>
      <w:tr>
        <w:trPr/>
        <w:tc>
          <w:tcPr>
            <w:tcW w:w="6325" w:type="dxa"/>
            <w:tcBorders/>
          </w:tcPr>
          <w:p>
            <w:pPr>
              <w:pStyle w:val="TableContents"/>
              <w:bidi w:val="0"/>
              <w:spacing w:before="0" w:after="0"/>
              <w:jc w:val="left"/>
              <w:rPr>
                <w:rFonts w:ascii="Times New Roman" w:hAnsi="Times New Roman"/>
                <w:sz w:val="20"/>
              </w:rPr>
            </w:pPr>
            <w:r>
              <w:rPr>
                <w:rFonts w:ascii="Times New Roman" w:hAnsi="Times New Roman"/>
                <w:sz w:val="20"/>
              </w:rPr>
              <w:t>Food and beverage</w:t>
            </w:r>
          </w:p>
        </w:tc>
        <w:tc>
          <w:tcPr>
            <w:tcW w:w="4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21,342</w:t>
            </w:r>
          </w:p>
        </w:tc>
        <w:tc>
          <w:tcPr>
            <w:tcW w:w="155"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22,751</w:t>
            </w:r>
          </w:p>
        </w:tc>
        <w:tc>
          <w:tcPr>
            <w:tcW w:w="160" w:type="dxa"/>
            <w:tcBorders/>
            <w:vAlign w:val="bottom"/>
          </w:tcPr>
          <w:p>
            <w:pPr>
              <w:pStyle w:val="TableContents"/>
              <w:bidi w:val="0"/>
              <w:spacing w:before="0" w:after="283"/>
              <w:jc w:val="left"/>
              <w:rPr/>
            </w:pPr>
            <w:r>
              <w:rPr/>
              <w:t> </w:t>
            </w:r>
          </w:p>
        </w:tc>
      </w:tr>
      <w:tr>
        <w:trPr/>
        <w:tc>
          <w:tcPr>
            <w:tcW w:w="63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Entertainment</w:t>
            </w:r>
          </w:p>
        </w:tc>
        <w:tc>
          <w:tcPr>
            <w:tcW w:w="4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3,364</w:t>
            </w:r>
          </w:p>
        </w:tc>
        <w:tc>
          <w:tcPr>
            <w:tcW w:w="155"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2,964</w:t>
            </w:r>
          </w:p>
        </w:tc>
        <w:tc>
          <w:tcPr>
            <w:tcW w:w="160" w:type="dxa"/>
            <w:tcBorders/>
            <w:shd w:fill="CCEEFF" w:val="clear"/>
            <w:vAlign w:val="bottom"/>
          </w:tcPr>
          <w:p>
            <w:pPr>
              <w:pStyle w:val="TableContents"/>
              <w:bidi w:val="0"/>
              <w:spacing w:before="0" w:after="283"/>
              <w:jc w:val="left"/>
              <w:rPr/>
            </w:pPr>
            <w:r>
              <w:rPr/>
              <w:t> </w:t>
            </w:r>
          </w:p>
        </w:tc>
      </w:tr>
      <w:tr>
        <w:trPr/>
        <w:tc>
          <w:tcPr>
            <w:tcW w:w="6325" w:type="dxa"/>
            <w:tcBorders/>
          </w:tcPr>
          <w:p>
            <w:pPr>
              <w:pStyle w:val="TableContents"/>
              <w:bidi w:val="0"/>
              <w:spacing w:before="0" w:after="0"/>
              <w:jc w:val="left"/>
              <w:rPr>
                <w:rFonts w:ascii="Times New Roman" w:hAnsi="Times New Roman"/>
                <w:sz w:val="20"/>
              </w:rPr>
            </w:pPr>
            <w:r>
              <w:rPr>
                <w:rFonts w:ascii="Times New Roman" w:hAnsi="Times New Roman"/>
                <w:sz w:val="20"/>
              </w:rPr>
              <w:t>Services fee</w:t>
            </w:r>
          </w:p>
        </w:tc>
        <w:tc>
          <w:tcPr>
            <w:tcW w:w="4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15,112</w:t>
            </w:r>
          </w:p>
        </w:tc>
        <w:tc>
          <w:tcPr>
            <w:tcW w:w="155"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13,358</w:t>
            </w:r>
          </w:p>
        </w:tc>
        <w:tc>
          <w:tcPr>
            <w:tcW w:w="160" w:type="dxa"/>
            <w:tcBorders/>
            <w:vAlign w:val="bottom"/>
          </w:tcPr>
          <w:p>
            <w:pPr>
              <w:pStyle w:val="TableContents"/>
              <w:bidi w:val="0"/>
              <w:spacing w:before="0" w:after="283"/>
              <w:jc w:val="left"/>
              <w:rPr/>
            </w:pPr>
            <w:r>
              <w:rPr/>
              <w:t> </w:t>
            </w:r>
          </w:p>
        </w:tc>
      </w:tr>
      <w:tr>
        <w:trPr/>
        <w:tc>
          <w:tcPr>
            <w:tcW w:w="63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Mall</w:t>
            </w:r>
          </w:p>
        </w:tc>
        <w:tc>
          <w:tcPr>
            <w:tcW w:w="4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5,029</w:t>
            </w:r>
          </w:p>
        </w:tc>
        <w:tc>
          <w:tcPr>
            <w:tcW w:w="155"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4,461</w:t>
            </w:r>
          </w:p>
        </w:tc>
        <w:tc>
          <w:tcPr>
            <w:tcW w:w="160" w:type="dxa"/>
            <w:tcBorders/>
            <w:shd w:fill="CCEEFF" w:val="clear"/>
            <w:vAlign w:val="bottom"/>
          </w:tcPr>
          <w:p>
            <w:pPr>
              <w:pStyle w:val="TableContents"/>
              <w:bidi w:val="0"/>
              <w:spacing w:before="0" w:after="283"/>
              <w:jc w:val="left"/>
              <w:rPr/>
            </w:pPr>
            <w:r>
              <w:rPr/>
              <w:t> </w:t>
            </w:r>
          </w:p>
        </w:tc>
      </w:tr>
      <w:tr>
        <w:trPr/>
        <w:tc>
          <w:tcPr>
            <w:tcW w:w="6325" w:type="dxa"/>
            <w:tcBorders/>
          </w:tcPr>
          <w:p>
            <w:pPr>
              <w:pStyle w:val="TableContents"/>
              <w:bidi w:val="0"/>
              <w:spacing w:before="0" w:after="0"/>
              <w:jc w:val="left"/>
              <w:rPr>
                <w:rFonts w:ascii="Times New Roman" w:hAnsi="Times New Roman"/>
                <w:sz w:val="20"/>
              </w:rPr>
            </w:pPr>
            <w:r>
              <w:rPr>
                <w:rFonts w:ascii="Times New Roman" w:hAnsi="Times New Roman"/>
                <w:sz w:val="20"/>
              </w:rPr>
              <w:t>Retail and other</w:t>
            </w:r>
          </w:p>
        </w:tc>
        <w:tc>
          <w:tcPr>
            <w:tcW w:w="4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1,309</w:t>
            </w:r>
          </w:p>
        </w:tc>
        <w:tc>
          <w:tcPr>
            <w:tcW w:w="155"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1,030</w:t>
            </w:r>
          </w:p>
        </w:tc>
        <w:tc>
          <w:tcPr>
            <w:tcW w:w="160" w:type="dxa"/>
            <w:tcBorders/>
            <w:vAlign w:val="bottom"/>
          </w:tcPr>
          <w:p>
            <w:pPr>
              <w:pStyle w:val="TableContents"/>
              <w:bidi w:val="0"/>
              <w:spacing w:before="0" w:after="283"/>
              <w:jc w:val="left"/>
              <w:rPr/>
            </w:pPr>
            <w:r>
              <w:rPr/>
              <w:t> </w:t>
            </w:r>
          </w:p>
        </w:tc>
      </w:tr>
      <w:tr>
        <w:trPr/>
        <w:tc>
          <w:tcPr>
            <w:tcW w:w="6325"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3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operating revenues</w:t>
            </w:r>
          </w:p>
        </w:tc>
        <w:tc>
          <w:tcPr>
            <w:tcW w:w="4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176,724</w:t>
            </w:r>
          </w:p>
        </w:tc>
        <w:tc>
          <w:tcPr>
            <w:tcW w:w="155"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161,720</w:t>
            </w:r>
          </w:p>
        </w:tc>
        <w:tc>
          <w:tcPr>
            <w:tcW w:w="160" w:type="dxa"/>
            <w:tcBorders/>
            <w:shd w:fill="CCEEFF" w:val="clear"/>
            <w:vAlign w:val="bottom"/>
          </w:tcPr>
          <w:p>
            <w:pPr>
              <w:pStyle w:val="TableContents"/>
              <w:bidi w:val="0"/>
              <w:spacing w:before="0" w:after="283"/>
              <w:jc w:val="left"/>
              <w:rPr/>
            </w:pPr>
            <w:r>
              <w:rPr/>
              <w:t> </w:t>
            </w:r>
          </w:p>
        </w:tc>
      </w:tr>
      <w:tr>
        <w:trPr/>
        <w:tc>
          <w:tcPr>
            <w:tcW w:w="6325"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325" w:type="dxa"/>
            <w:tcBorders/>
          </w:tcPr>
          <w:p>
            <w:pPr>
              <w:pStyle w:val="TableContents"/>
              <w:bidi w:val="0"/>
              <w:spacing w:before="0" w:after="0"/>
              <w:jc w:val="left"/>
              <w:rPr>
                <w:rFonts w:ascii="Times New Roman" w:hAnsi="Times New Roman"/>
                <w:sz w:val="20"/>
              </w:rPr>
            </w:pPr>
            <w:r>
              <w:rPr>
                <w:rFonts w:ascii="Times New Roman" w:hAnsi="Times New Roman"/>
                <w:sz w:val="20"/>
              </w:rPr>
              <w:t>Operating costs and expenses:</w:t>
            </w:r>
          </w:p>
        </w:tc>
        <w:tc>
          <w:tcPr>
            <w:tcW w:w="4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8"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63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Costs related to casino contract</w:t>
            </w:r>
          </w:p>
        </w:tc>
        <w:tc>
          <w:tcPr>
            <w:tcW w:w="4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(8,452</w:t>
            </w:r>
          </w:p>
        </w:tc>
        <w:tc>
          <w:tcPr>
            <w:tcW w:w="155"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(9,021</w:t>
            </w:r>
          </w:p>
        </w:tc>
        <w:tc>
          <w:tcPr>
            <w:tcW w:w="160" w:type="dxa"/>
            <w:tcBorders/>
            <w:shd w:fill="CCEEFF" w:val="clear"/>
            <w:vAlign w:val="bottom"/>
          </w:tcPr>
          <w:p>
            <w:pPr>
              <w:pStyle w:val="TableContents"/>
              <w:bidi w:val="0"/>
              <w:spacing w:before="0" w:after="283"/>
              <w:jc w:val="left"/>
              <w:rPr/>
            </w:pPr>
            <w:r>
              <w:rPr/>
              <w:t>) </w:t>
            </w:r>
          </w:p>
        </w:tc>
      </w:tr>
      <w:tr>
        <w:trPr/>
        <w:tc>
          <w:tcPr>
            <w:tcW w:w="6325" w:type="dxa"/>
            <w:tcBorders/>
          </w:tcPr>
          <w:p>
            <w:pPr>
              <w:pStyle w:val="TableContents"/>
              <w:bidi w:val="0"/>
              <w:spacing w:before="0" w:after="0"/>
              <w:jc w:val="left"/>
              <w:rPr>
                <w:rFonts w:ascii="Times New Roman" w:hAnsi="Times New Roman"/>
                <w:sz w:val="20"/>
              </w:rPr>
            </w:pPr>
            <w:r>
              <w:rPr>
                <w:rFonts w:ascii="Times New Roman" w:hAnsi="Times New Roman"/>
                <w:sz w:val="20"/>
              </w:rPr>
              <w:t>Rooms</w:t>
            </w:r>
          </w:p>
        </w:tc>
        <w:tc>
          <w:tcPr>
            <w:tcW w:w="4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(15,287</w:t>
            </w:r>
          </w:p>
        </w:tc>
        <w:tc>
          <w:tcPr>
            <w:tcW w:w="155"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(14,772</w:t>
            </w:r>
          </w:p>
        </w:tc>
        <w:tc>
          <w:tcPr>
            <w:tcW w:w="160" w:type="dxa"/>
            <w:tcBorders/>
            <w:vAlign w:val="bottom"/>
          </w:tcPr>
          <w:p>
            <w:pPr>
              <w:pStyle w:val="TableContents"/>
              <w:bidi w:val="0"/>
              <w:spacing w:before="0" w:after="283"/>
              <w:jc w:val="left"/>
              <w:rPr/>
            </w:pPr>
            <w:r>
              <w:rPr/>
              <w:t>) </w:t>
            </w:r>
          </w:p>
        </w:tc>
      </w:tr>
      <w:tr>
        <w:trPr/>
        <w:tc>
          <w:tcPr>
            <w:tcW w:w="63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Food and beverage</w:t>
            </w:r>
          </w:p>
        </w:tc>
        <w:tc>
          <w:tcPr>
            <w:tcW w:w="4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(19,750</w:t>
            </w:r>
          </w:p>
        </w:tc>
        <w:tc>
          <w:tcPr>
            <w:tcW w:w="155"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(20,134</w:t>
            </w:r>
          </w:p>
        </w:tc>
        <w:tc>
          <w:tcPr>
            <w:tcW w:w="160" w:type="dxa"/>
            <w:tcBorders/>
            <w:shd w:fill="CCEEFF" w:val="clear"/>
            <w:vAlign w:val="bottom"/>
          </w:tcPr>
          <w:p>
            <w:pPr>
              <w:pStyle w:val="TableContents"/>
              <w:bidi w:val="0"/>
              <w:spacing w:before="0" w:after="283"/>
              <w:jc w:val="left"/>
              <w:rPr/>
            </w:pPr>
            <w:r>
              <w:rPr/>
              <w:t>) </w:t>
            </w:r>
          </w:p>
        </w:tc>
      </w:tr>
      <w:tr>
        <w:trPr/>
        <w:tc>
          <w:tcPr>
            <w:tcW w:w="6325" w:type="dxa"/>
            <w:tcBorders/>
          </w:tcPr>
          <w:p>
            <w:pPr>
              <w:pStyle w:val="TableContents"/>
              <w:bidi w:val="0"/>
              <w:spacing w:before="0" w:after="0"/>
              <w:jc w:val="left"/>
              <w:rPr>
                <w:rFonts w:ascii="Times New Roman" w:hAnsi="Times New Roman"/>
                <w:sz w:val="20"/>
              </w:rPr>
            </w:pPr>
            <w:r>
              <w:rPr>
                <w:rFonts w:ascii="Times New Roman" w:hAnsi="Times New Roman"/>
                <w:sz w:val="20"/>
              </w:rPr>
              <w:t>Entertainment</w:t>
            </w:r>
          </w:p>
        </w:tc>
        <w:tc>
          <w:tcPr>
            <w:tcW w:w="4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(5,120</w:t>
            </w:r>
          </w:p>
        </w:tc>
        <w:tc>
          <w:tcPr>
            <w:tcW w:w="155"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(5,006</w:t>
            </w:r>
          </w:p>
        </w:tc>
        <w:tc>
          <w:tcPr>
            <w:tcW w:w="160" w:type="dxa"/>
            <w:tcBorders/>
            <w:vAlign w:val="bottom"/>
          </w:tcPr>
          <w:p>
            <w:pPr>
              <w:pStyle w:val="TableContents"/>
              <w:bidi w:val="0"/>
              <w:spacing w:before="0" w:after="283"/>
              <w:jc w:val="left"/>
              <w:rPr/>
            </w:pPr>
            <w:r>
              <w:rPr/>
              <w:t>) </w:t>
            </w:r>
          </w:p>
        </w:tc>
      </w:tr>
      <w:tr>
        <w:trPr/>
        <w:tc>
          <w:tcPr>
            <w:tcW w:w="63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Mall</w:t>
            </w:r>
          </w:p>
        </w:tc>
        <w:tc>
          <w:tcPr>
            <w:tcW w:w="4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(2,063</w:t>
            </w:r>
          </w:p>
        </w:tc>
        <w:tc>
          <w:tcPr>
            <w:tcW w:w="155"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(1,833</w:t>
            </w:r>
          </w:p>
        </w:tc>
        <w:tc>
          <w:tcPr>
            <w:tcW w:w="160" w:type="dxa"/>
            <w:tcBorders/>
            <w:shd w:fill="CCEEFF" w:val="clear"/>
            <w:vAlign w:val="bottom"/>
          </w:tcPr>
          <w:p>
            <w:pPr>
              <w:pStyle w:val="TableContents"/>
              <w:bidi w:val="0"/>
              <w:spacing w:before="0" w:after="283"/>
              <w:jc w:val="left"/>
              <w:rPr/>
            </w:pPr>
            <w:r>
              <w:rPr/>
              <w:t>) </w:t>
            </w:r>
          </w:p>
        </w:tc>
      </w:tr>
      <w:tr>
        <w:trPr/>
        <w:tc>
          <w:tcPr>
            <w:tcW w:w="6325" w:type="dxa"/>
            <w:tcBorders/>
          </w:tcPr>
          <w:p>
            <w:pPr>
              <w:pStyle w:val="TableContents"/>
              <w:bidi w:val="0"/>
              <w:spacing w:before="0" w:after="0"/>
              <w:jc w:val="left"/>
              <w:rPr>
                <w:rFonts w:ascii="Times New Roman" w:hAnsi="Times New Roman"/>
                <w:sz w:val="20"/>
              </w:rPr>
            </w:pPr>
            <w:r>
              <w:rPr>
                <w:rFonts w:ascii="Times New Roman" w:hAnsi="Times New Roman"/>
                <w:sz w:val="20"/>
              </w:rPr>
              <w:t>Retail and other</w:t>
            </w:r>
          </w:p>
        </w:tc>
        <w:tc>
          <w:tcPr>
            <w:tcW w:w="4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(559</w:t>
            </w:r>
          </w:p>
        </w:tc>
        <w:tc>
          <w:tcPr>
            <w:tcW w:w="155"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(571</w:t>
            </w:r>
          </w:p>
        </w:tc>
        <w:tc>
          <w:tcPr>
            <w:tcW w:w="160" w:type="dxa"/>
            <w:tcBorders/>
            <w:vAlign w:val="bottom"/>
          </w:tcPr>
          <w:p>
            <w:pPr>
              <w:pStyle w:val="TableContents"/>
              <w:bidi w:val="0"/>
              <w:spacing w:before="0" w:after="283"/>
              <w:jc w:val="left"/>
              <w:rPr/>
            </w:pPr>
            <w:r>
              <w:rPr/>
              <w:t>) </w:t>
            </w:r>
          </w:p>
        </w:tc>
      </w:tr>
      <w:tr>
        <w:trPr/>
        <w:tc>
          <w:tcPr>
            <w:tcW w:w="63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4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(45,455</w:t>
            </w:r>
          </w:p>
        </w:tc>
        <w:tc>
          <w:tcPr>
            <w:tcW w:w="155"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(40,472</w:t>
            </w:r>
          </w:p>
        </w:tc>
        <w:tc>
          <w:tcPr>
            <w:tcW w:w="160" w:type="dxa"/>
            <w:tcBorders/>
            <w:shd w:fill="CCEEFF" w:val="clear"/>
            <w:vAlign w:val="bottom"/>
          </w:tcPr>
          <w:p>
            <w:pPr>
              <w:pStyle w:val="TableContents"/>
              <w:bidi w:val="0"/>
              <w:spacing w:before="0" w:after="283"/>
              <w:jc w:val="left"/>
              <w:rPr/>
            </w:pPr>
            <w:r>
              <w:rPr/>
              <w:t>) </w:t>
            </w:r>
          </w:p>
        </w:tc>
      </w:tr>
      <w:tr>
        <w:trPr/>
        <w:tc>
          <w:tcPr>
            <w:tcW w:w="6325" w:type="dxa"/>
            <w:tcBorders/>
          </w:tcPr>
          <w:p>
            <w:pPr>
              <w:pStyle w:val="TableContents"/>
              <w:bidi w:val="0"/>
              <w:spacing w:before="0" w:after="0"/>
              <w:jc w:val="left"/>
              <w:rPr>
                <w:rFonts w:ascii="Times New Roman" w:hAnsi="Times New Roman"/>
                <w:sz w:val="20"/>
              </w:rPr>
            </w:pPr>
            <w:r>
              <w:rPr>
                <w:rFonts w:ascii="Times New Roman" w:hAnsi="Times New Roman"/>
                <w:sz w:val="20"/>
              </w:rPr>
              <w:t>Pre-opening costs</w:t>
            </w:r>
          </w:p>
        </w:tc>
        <w:tc>
          <w:tcPr>
            <w:tcW w:w="4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(155</w:t>
            </w:r>
          </w:p>
        </w:tc>
        <w:tc>
          <w:tcPr>
            <w:tcW w:w="160" w:type="dxa"/>
            <w:tcBorders/>
            <w:vAlign w:val="bottom"/>
          </w:tcPr>
          <w:p>
            <w:pPr>
              <w:pStyle w:val="TableContents"/>
              <w:bidi w:val="0"/>
              <w:spacing w:before="0" w:after="283"/>
              <w:jc w:val="left"/>
              <w:rPr/>
            </w:pPr>
            <w:r>
              <w:rPr/>
              <w:t>) </w:t>
            </w:r>
          </w:p>
        </w:tc>
      </w:tr>
      <w:tr>
        <w:trPr/>
        <w:tc>
          <w:tcPr>
            <w:tcW w:w="63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land use right</w:t>
            </w:r>
          </w:p>
        </w:tc>
        <w:tc>
          <w:tcPr>
            <w:tcW w:w="4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(826</w:t>
            </w:r>
          </w:p>
        </w:tc>
        <w:tc>
          <w:tcPr>
            <w:tcW w:w="155"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(831</w:t>
            </w:r>
          </w:p>
        </w:tc>
        <w:tc>
          <w:tcPr>
            <w:tcW w:w="160" w:type="dxa"/>
            <w:tcBorders/>
            <w:shd w:fill="CCEEFF" w:val="clear"/>
            <w:vAlign w:val="bottom"/>
          </w:tcPr>
          <w:p>
            <w:pPr>
              <w:pStyle w:val="TableContents"/>
              <w:bidi w:val="0"/>
              <w:spacing w:before="0" w:after="283"/>
              <w:jc w:val="left"/>
              <w:rPr/>
            </w:pPr>
            <w:r>
              <w:rPr/>
              <w:t>) </w:t>
            </w:r>
          </w:p>
        </w:tc>
      </w:tr>
      <w:tr>
        <w:trPr/>
        <w:tc>
          <w:tcPr>
            <w:tcW w:w="6325"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4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(50,972</w:t>
            </w:r>
          </w:p>
        </w:tc>
        <w:tc>
          <w:tcPr>
            <w:tcW w:w="155"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(51,649</w:t>
            </w:r>
          </w:p>
        </w:tc>
        <w:tc>
          <w:tcPr>
            <w:tcW w:w="160" w:type="dxa"/>
            <w:tcBorders/>
            <w:vAlign w:val="bottom"/>
          </w:tcPr>
          <w:p>
            <w:pPr>
              <w:pStyle w:val="TableContents"/>
              <w:bidi w:val="0"/>
              <w:spacing w:before="0" w:after="283"/>
              <w:jc w:val="left"/>
              <w:rPr/>
            </w:pPr>
            <w:r>
              <w:rPr/>
              <w:t>) </w:t>
            </w:r>
          </w:p>
        </w:tc>
      </w:tr>
      <w:tr>
        <w:trPr/>
        <w:tc>
          <w:tcPr>
            <w:tcW w:w="63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charges and other</w:t>
            </w:r>
          </w:p>
        </w:tc>
        <w:tc>
          <w:tcPr>
            <w:tcW w:w="4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(202</w:t>
            </w:r>
          </w:p>
        </w:tc>
        <w:tc>
          <w:tcPr>
            <w:tcW w:w="155"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(2,006</w:t>
            </w:r>
          </w:p>
        </w:tc>
        <w:tc>
          <w:tcPr>
            <w:tcW w:w="160" w:type="dxa"/>
            <w:tcBorders/>
            <w:shd w:fill="CCEEFF" w:val="clear"/>
            <w:vAlign w:val="bottom"/>
          </w:tcPr>
          <w:p>
            <w:pPr>
              <w:pStyle w:val="TableContents"/>
              <w:bidi w:val="0"/>
              <w:spacing w:before="0" w:after="283"/>
              <w:jc w:val="left"/>
              <w:rPr/>
            </w:pPr>
            <w:r>
              <w:rPr/>
              <w:t>) </w:t>
            </w:r>
          </w:p>
        </w:tc>
      </w:tr>
      <w:tr>
        <w:trPr/>
        <w:tc>
          <w:tcPr>
            <w:tcW w:w="6325"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325"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costs and expenses</w:t>
            </w:r>
          </w:p>
        </w:tc>
        <w:tc>
          <w:tcPr>
            <w:tcW w:w="4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(148,687</w:t>
            </w:r>
          </w:p>
        </w:tc>
        <w:tc>
          <w:tcPr>
            <w:tcW w:w="155"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(146,450</w:t>
            </w:r>
          </w:p>
        </w:tc>
        <w:tc>
          <w:tcPr>
            <w:tcW w:w="160" w:type="dxa"/>
            <w:tcBorders/>
            <w:vAlign w:val="bottom"/>
          </w:tcPr>
          <w:p>
            <w:pPr>
              <w:pStyle w:val="TableContents"/>
              <w:bidi w:val="0"/>
              <w:spacing w:before="0" w:after="283"/>
              <w:jc w:val="left"/>
              <w:rPr/>
            </w:pPr>
            <w:r>
              <w:rPr/>
              <w:t>) </w:t>
            </w:r>
          </w:p>
        </w:tc>
      </w:tr>
      <w:tr>
        <w:trPr/>
        <w:tc>
          <w:tcPr>
            <w:tcW w:w="6325"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3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4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28,037</w:t>
            </w:r>
          </w:p>
        </w:tc>
        <w:tc>
          <w:tcPr>
            <w:tcW w:w="155"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15,270</w:t>
            </w:r>
          </w:p>
        </w:tc>
        <w:tc>
          <w:tcPr>
            <w:tcW w:w="160" w:type="dxa"/>
            <w:tcBorders/>
            <w:shd w:fill="CCEEFF" w:val="clear"/>
            <w:vAlign w:val="bottom"/>
          </w:tcPr>
          <w:p>
            <w:pPr>
              <w:pStyle w:val="TableContents"/>
              <w:bidi w:val="0"/>
              <w:spacing w:before="0" w:after="283"/>
              <w:jc w:val="left"/>
              <w:rPr/>
            </w:pPr>
            <w:r>
              <w:rPr/>
              <w:t> </w:t>
            </w:r>
          </w:p>
        </w:tc>
      </w:tr>
      <w:tr>
        <w:trPr/>
        <w:tc>
          <w:tcPr>
            <w:tcW w:w="6325"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325" w:type="dxa"/>
            <w:tcBorders/>
          </w:tcPr>
          <w:p>
            <w:pPr>
              <w:pStyle w:val="TableContents"/>
              <w:bidi w:val="0"/>
              <w:spacing w:before="0" w:after="0"/>
              <w:jc w:val="left"/>
              <w:rPr>
                <w:rFonts w:ascii="Times New Roman" w:hAnsi="Times New Roman"/>
                <w:sz w:val="20"/>
              </w:rPr>
            </w:pPr>
            <w:r>
              <w:rPr>
                <w:rFonts w:ascii="Times New Roman" w:hAnsi="Times New Roman"/>
                <w:sz w:val="20"/>
              </w:rPr>
              <w:t>Non-operating income (expenses):</w:t>
            </w:r>
          </w:p>
        </w:tc>
        <w:tc>
          <w:tcPr>
            <w:tcW w:w="4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8"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63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4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166</w:t>
            </w:r>
          </w:p>
        </w:tc>
        <w:tc>
          <w:tcPr>
            <w:tcW w:w="155"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274</w:t>
            </w:r>
          </w:p>
        </w:tc>
        <w:tc>
          <w:tcPr>
            <w:tcW w:w="160" w:type="dxa"/>
            <w:tcBorders/>
            <w:shd w:fill="CCEEFF" w:val="clear"/>
            <w:vAlign w:val="bottom"/>
          </w:tcPr>
          <w:p>
            <w:pPr>
              <w:pStyle w:val="TableContents"/>
              <w:bidi w:val="0"/>
              <w:spacing w:before="0" w:after="283"/>
              <w:jc w:val="left"/>
              <w:rPr/>
            </w:pPr>
            <w:r>
              <w:rPr/>
              <w:t> </w:t>
            </w:r>
          </w:p>
        </w:tc>
      </w:tr>
      <w:tr>
        <w:trPr/>
        <w:tc>
          <w:tcPr>
            <w:tcW w:w="6325"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4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(30,049</w:t>
            </w:r>
          </w:p>
        </w:tc>
        <w:tc>
          <w:tcPr>
            <w:tcW w:w="155"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(32,478</w:t>
            </w:r>
          </w:p>
        </w:tc>
        <w:tc>
          <w:tcPr>
            <w:tcW w:w="160" w:type="dxa"/>
            <w:tcBorders/>
            <w:vAlign w:val="bottom"/>
          </w:tcPr>
          <w:p>
            <w:pPr>
              <w:pStyle w:val="TableContents"/>
              <w:bidi w:val="0"/>
              <w:spacing w:before="0" w:after="283"/>
              <w:jc w:val="left"/>
              <w:rPr/>
            </w:pPr>
            <w:r>
              <w:rPr/>
              <w:t>) </w:t>
            </w:r>
          </w:p>
        </w:tc>
      </w:tr>
      <w:tr>
        <w:trPr/>
        <w:tc>
          <w:tcPr>
            <w:tcW w:w="63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financing costs</w:t>
            </w:r>
          </w:p>
        </w:tc>
        <w:tc>
          <w:tcPr>
            <w:tcW w:w="4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(416</w:t>
            </w:r>
          </w:p>
        </w:tc>
        <w:tc>
          <w:tcPr>
            <w:tcW w:w="155"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(573</w:t>
            </w:r>
          </w:p>
        </w:tc>
        <w:tc>
          <w:tcPr>
            <w:tcW w:w="160" w:type="dxa"/>
            <w:tcBorders/>
            <w:shd w:fill="CCEEFF" w:val="clear"/>
            <w:vAlign w:val="bottom"/>
          </w:tcPr>
          <w:p>
            <w:pPr>
              <w:pStyle w:val="TableContents"/>
              <w:bidi w:val="0"/>
              <w:spacing w:before="0" w:after="283"/>
              <w:jc w:val="left"/>
              <w:rPr/>
            </w:pPr>
            <w:r>
              <w:rPr/>
              <w:t>) </w:t>
            </w:r>
          </w:p>
        </w:tc>
      </w:tr>
      <w:tr>
        <w:trPr/>
        <w:tc>
          <w:tcPr>
            <w:tcW w:w="6325" w:type="dxa"/>
            <w:tcBorders/>
          </w:tcPr>
          <w:p>
            <w:pPr>
              <w:pStyle w:val="TableContents"/>
              <w:bidi w:val="0"/>
              <w:spacing w:before="0" w:after="0"/>
              <w:jc w:val="left"/>
              <w:rPr>
                <w:rFonts w:ascii="Times New Roman" w:hAnsi="Times New Roman"/>
                <w:sz w:val="20"/>
              </w:rPr>
            </w:pPr>
            <w:r>
              <w:rPr>
                <w:rFonts w:ascii="Times New Roman" w:hAnsi="Times New Roman"/>
                <w:sz w:val="20"/>
              </w:rPr>
              <w:t>Foreign exchange gains, net</w:t>
            </w:r>
          </w:p>
        </w:tc>
        <w:tc>
          <w:tcPr>
            <w:tcW w:w="4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8,442</w:t>
            </w:r>
          </w:p>
        </w:tc>
        <w:tc>
          <w:tcPr>
            <w:tcW w:w="155"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1,971</w:t>
            </w:r>
          </w:p>
        </w:tc>
        <w:tc>
          <w:tcPr>
            <w:tcW w:w="160" w:type="dxa"/>
            <w:tcBorders/>
            <w:vAlign w:val="bottom"/>
          </w:tcPr>
          <w:p>
            <w:pPr>
              <w:pStyle w:val="TableContents"/>
              <w:bidi w:val="0"/>
              <w:spacing w:before="0" w:after="283"/>
              <w:jc w:val="left"/>
              <w:rPr/>
            </w:pPr>
            <w:r>
              <w:rPr/>
              <w:t> </w:t>
            </w:r>
          </w:p>
        </w:tc>
      </w:tr>
      <w:tr>
        <w:trPr/>
        <w:tc>
          <w:tcPr>
            <w:tcW w:w="6325"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3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non-operating expenses, net</w:t>
            </w:r>
          </w:p>
        </w:tc>
        <w:tc>
          <w:tcPr>
            <w:tcW w:w="4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(21,857</w:t>
            </w:r>
          </w:p>
        </w:tc>
        <w:tc>
          <w:tcPr>
            <w:tcW w:w="155"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(30,806</w:t>
            </w:r>
          </w:p>
        </w:tc>
        <w:tc>
          <w:tcPr>
            <w:tcW w:w="160" w:type="dxa"/>
            <w:tcBorders/>
            <w:shd w:fill="CCEEFF" w:val="clear"/>
            <w:vAlign w:val="bottom"/>
          </w:tcPr>
          <w:p>
            <w:pPr>
              <w:pStyle w:val="TableContents"/>
              <w:bidi w:val="0"/>
              <w:spacing w:before="0" w:after="283"/>
              <w:jc w:val="left"/>
              <w:rPr/>
            </w:pPr>
            <w:r>
              <w:rPr/>
              <w:t>) </w:t>
            </w:r>
          </w:p>
        </w:tc>
      </w:tr>
      <w:tr>
        <w:trPr/>
        <w:tc>
          <w:tcPr>
            <w:tcW w:w="6325"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325" w:type="dxa"/>
            <w:tcBorders/>
          </w:tcPr>
          <w:p>
            <w:pPr>
              <w:pStyle w:val="TableContents"/>
              <w:bidi w:val="0"/>
              <w:spacing w:before="0" w:after="0"/>
              <w:jc w:val="left"/>
              <w:rPr>
                <w:rFonts w:ascii="Times New Roman" w:hAnsi="Times New Roman"/>
                <w:sz w:val="20"/>
              </w:rPr>
            </w:pPr>
            <w:r>
              <w:rPr>
                <w:rFonts w:ascii="Times New Roman" w:hAnsi="Times New Roman"/>
                <w:sz w:val="20"/>
              </w:rPr>
              <w:t>Income (loss) before income tax</w:t>
            </w:r>
          </w:p>
        </w:tc>
        <w:tc>
          <w:tcPr>
            <w:tcW w:w="4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6,180</w:t>
            </w:r>
          </w:p>
        </w:tc>
        <w:tc>
          <w:tcPr>
            <w:tcW w:w="155"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(15,536</w:t>
            </w:r>
          </w:p>
        </w:tc>
        <w:tc>
          <w:tcPr>
            <w:tcW w:w="160" w:type="dxa"/>
            <w:tcBorders/>
            <w:vAlign w:val="bottom"/>
          </w:tcPr>
          <w:p>
            <w:pPr>
              <w:pStyle w:val="TableContents"/>
              <w:bidi w:val="0"/>
              <w:spacing w:before="0" w:after="283"/>
              <w:jc w:val="left"/>
              <w:rPr/>
            </w:pPr>
            <w:r>
              <w:rPr/>
              <w:t>) </w:t>
            </w:r>
          </w:p>
        </w:tc>
      </w:tr>
      <w:tr>
        <w:trPr/>
        <w:tc>
          <w:tcPr>
            <w:tcW w:w="63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4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(3,053</w:t>
            </w:r>
          </w:p>
        </w:tc>
        <w:tc>
          <w:tcPr>
            <w:tcW w:w="155"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(1,940</w:t>
            </w:r>
          </w:p>
        </w:tc>
        <w:tc>
          <w:tcPr>
            <w:tcW w:w="160" w:type="dxa"/>
            <w:tcBorders/>
            <w:shd w:fill="CCEEFF" w:val="clear"/>
            <w:vAlign w:val="bottom"/>
          </w:tcPr>
          <w:p>
            <w:pPr>
              <w:pStyle w:val="TableContents"/>
              <w:bidi w:val="0"/>
              <w:spacing w:before="0" w:after="283"/>
              <w:jc w:val="left"/>
              <w:rPr/>
            </w:pPr>
            <w:r>
              <w:rPr/>
              <w:t>) </w:t>
            </w:r>
          </w:p>
        </w:tc>
      </w:tr>
      <w:tr>
        <w:trPr/>
        <w:tc>
          <w:tcPr>
            <w:tcW w:w="6325"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325" w:type="dxa"/>
            <w:tcBorders/>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4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3,127</w:t>
            </w:r>
          </w:p>
        </w:tc>
        <w:tc>
          <w:tcPr>
            <w:tcW w:w="155"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(17,476</w:t>
            </w:r>
          </w:p>
        </w:tc>
        <w:tc>
          <w:tcPr>
            <w:tcW w:w="160" w:type="dxa"/>
            <w:tcBorders/>
            <w:vAlign w:val="bottom"/>
          </w:tcPr>
          <w:p>
            <w:pPr>
              <w:pStyle w:val="TableContents"/>
              <w:bidi w:val="0"/>
              <w:spacing w:before="0" w:after="283"/>
              <w:jc w:val="left"/>
              <w:rPr/>
            </w:pPr>
            <w:r>
              <w:rPr/>
              <w:t>) </w:t>
            </w:r>
          </w:p>
        </w:tc>
      </w:tr>
      <w:tr>
        <w:trPr/>
        <w:tc>
          <w:tcPr>
            <w:tcW w:w="63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loss attributable to participation interest</w:t>
            </w:r>
          </w:p>
        </w:tc>
        <w:tc>
          <w:tcPr>
            <w:tcW w:w="4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(270</w:t>
            </w:r>
          </w:p>
        </w:tc>
        <w:tc>
          <w:tcPr>
            <w:tcW w:w="155"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1,503</w:t>
            </w:r>
          </w:p>
        </w:tc>
        <w:tc>
          <w:tcPr>
            <w:tcW w:w="160" w:type="dxa"/>
            <w:tcBorders/>
            <w:shd w:fill="CCEEFF" w:val="clear"/>
            <w:vAlign w:val="bottom"/>
          </w:tcPr>
          <w:p>
            <w:pPr>
              <w:pStyle w:val="TableContents"/>
              <w:bidi w:val="0"/>
              <w:spacing w:before="0" w:after="283"/>
              <w:jc w:val="left"/>
              <w:rPr/>
            </w:pPr>
            <w:r>
              <w:rPr/>
              <w:t> </w:t>
            </w:r>
          </w:p>
        </w:tc>
      </w:tr>
      <w:tr>
        <w:trPr/>
        <w:tc>
          <w:tcPr>
            <w:tcW w:w="6325"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325" w:type="dxa"/>
            <w:tcBorders/>
          </w:tcPr>
          <w:p>
            <w:pPr>
              <w:pStyle w:val="TableContents"/>
              <w:bidi w:val="0"/>
              <w:spacing w:before="0" w:after="0"/>
              <w:jc w:val="left"/>
              <w:rPr>
                <w:rFonts w:ascii="Times New Roman" w:hAnsi="Times New Roman"/>
                <w:sz w:val="20"/>
              </w:rPr>
            </w:pPr>
            <w:r>
              <w:rPr>
                <w:rFonts w:ascii="Times New Roman" w:hAnsi="Times New Roman"/>
                <w:sz w:val="20"/>
              </w:rPr>
              <w:t>Net income (loss) attributable to Studio City International Holdings Limited</w:t>
            </w:r>
          </w:p>
        </w:tc>
        <w:tc>
          <w:tcPr>
            <w:tcW w:w="4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8" w:type="dxa"/>
            <w:tcBorders/>
            <w:vAlign w:val="bottom"/>
          </w:tcPr>
          <w:p>
            <w:pPr>
              <w:pStyle w:val="TableContents"/>
              <w:bidi w:val="0"/>
              <w:spacing w:before="0" w:after="283"/>
              <w:jc w:val="right"/>
              <w:rPr/>
            </w:pPr>
            <w:r>
              <w:rPr/>
              <w:t>2,857</w:t>
            </w:r>
          </w:p>
        </w:tc>
        <w:tc>
          <w:tcPr>
            <w:tcW w:w="155"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8" w:type="dxa"/>
            <w:tcBorders/>
            <w:vAlign w:val="bottom"/>
          </w:tcPr>
          <w:p>
            <w:pPr>
              <w:pStyle w:val="TableContents"/>
              <w:bidi w:val="0"/>
              <w:spacing w:before="0" w:after="283"/>
              <w:jc w:val="right"/>
              <w:rPr/>
            </w:pPr>
            <w:r>
              <w:rPr/>
              <w:t>(15,973</w:t>
            </w:r>
          </w:p>
        </w:tc>
        <w:tc>
          <w:tcPr>
            <w:tcW w:w="160" w:type="dxa"/>
            <w:tcBorders/>
            <w:vAlign w:val="bottom"/>
          </w:tcPr>
          <w:p>
            <w:pPr>
              <w:pStyle w:val="TableContents"/>
              <w:bidi w:val="0"/>
              <w:spacing w:before="0" w:after="283"/>
              <w:jc w:val="left"/>
              <w:rPr/>
            </w:pPr>
            <w:r>
              <w:rPr/>
              <w:t>) </w:t>
            </w:r>
          </w:p>
        </w:tc>
      </w:tr>
      <w:tr>
        <w:trPr/>
        <w:tc>
          <w:tcPr>
            <w:tcW w:w="6325"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8"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3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(loss) attributable to Studio City International Holdings Limited per Class A ordinary share:</w:t>
            </w:r>
          </w:p>
        </w:tc>
        <w:tc>
          <w:tcPr>
            <w:tcW w:w="4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8"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6325" w:type="dxa"/>
            <w:tcBorders/>
          </w:tcPr>
          <w:p>
            <w:pPr>
              <w:pStyle w:val="TableContents"/>
              <w:bidi w:val="0"/>
              <w:spacing w:before="0" w:after="0"/>
              <w:jc w:val="left"/>
              <w:rPr>
                <w:rFonts w:ascii="Times New Roman" w:hAnsi="Times New Roman"/>
                <w:sz w:val="20"/>
              </w:rPr>
            </w:pPr>
            <w:r>
              <w:rPr>
                <w:rFonts w:ascii="Times New Roman" w:hAnsi="Times New Roman"/>
                <w:sz w:val="20"/>
              </w:rPr>
              <w:t>Basic and diluted</w:t>
            </w:r>
          </w:p>
        </w:tc>
        <w:tc>
          <w:tcPr>
            <w:tcW w:w="4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8" w:type="dxa"/>
            <w:tcBorders/>
            <w:vAlign w:val="bottom"/>
          </w:tcPr>
          <w:p>
            <w:pPr>
              <w:pStyle w:val="TableContents"/>
              <w:bidi w:val="0"/>
              <w:spacing w:before="0" w:after="283"/>
              <w:jc w:val="right"/>
              <w:rPr/>
            </w:pPr>
            <w:r>
              <w:rPr/>
              <w:t>0.004</w:t>
            </w:r>
          </w:p>
        </w:tc>
        <w:tc>
          <w:tcPr>
            <w:tcW w:w="155"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8" w:type="dxa"/>
            <w:tcBorders/>
            <w:vAlign w:val="bottom"/>
          </w:tcPr>
          <w:p>
            <w:pPr>
              <w:pStyle w:val="TableContents"/>
              <w:bidi w:val="0"/>
              <w:spacing w:before="0" w:after="283"/>
              <w:jc w:val="right"/>
              <w:rPr/>
            </w:pPr>
            <w:r>
              <w:rPr/>
              <w:t>(0.021</w:t>
            </w:r>
          </w:p>
        </w:tc>
        <w:tc>
          <w:tcPr>
            <w:tcW w:w="160" w:type="dxa"/>
            <w:tcBorders/>
            <w:vAlign w:val="bottom"/>
          </w:tcPr>
          <w:p>
            <w:pPr>
              <w:pStyle w:val="TableContents"/>
              <w:bidi w:val="0"/>
              <w:spacing w:before="0" w:after="283"/>
              <w:jc w:val="left"/>
              <w:rPr/>
            </w:pPr>
            <w:r>
              <w:rPr/>
              <w:t>) </w:t>
            </w:r>
          </w:p>
        </w:tc>
      </w:tr>
      <w:tr>
        <w:trPr/>
        <w:tc>
          <w:tcPr>
            <w:tcW w:w="6325"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8"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3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(loss) attributable to Studio City International Holdings Limited per ADS:</w:t>
            </w:r>
          </w:p>
        </w:tc>
        <w:tc>
          <w:tcPr>
            <w:tcW w:w="4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8"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6325" w:type="dxa"/>
            <w:tcBorders/>
          </w:tcPr>
          <w:p>
            <w:pPr>
              <w:pStyle w:val="TableContents"/>
              <w:bidi w:val="0"/>
              <w:spacing w:before="0" w:after="0"/>
              <w:jc w:val="left"/>
              <w:rPr>
                <w:rFonts w:ascii="Times New Roman" w:hAnsi="Times New Roman"/>
                <w:sz w:val="20"/>
              </w:rPr>
            </w:pPr>
            <w:r>
              <w:rPr>
                <w:rFonts w:ascii="Times New Roman" w:hAnsi="Times New Roman"/>
                <w:sz w:val="20"/>
              </w:rPr>
              <w:t>Basic and diluted</w:t>
            </w:r>
          </w:p>
        </w:tc>
        <w:tc>
          <w:tcPr>
            <w:tcW w:w="4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8" w:type="dxa"/>
            <w:tcBorders/>
            <w:vAlign w:val="bottom"/>
          </w:tcPr>
          <w:p>
            <w:pPr>
              <w:pStyle w:val="TableContents"/>
              <w:bidi w:val="0"/>
              <w:spacing w:before="0" w:after="283"/>
              <w:jc w:val="right"/>
              <w:rPr/>
            </w:pPr>
            <w:r>
              <w:rPr/>
              <w:t>0.015</w:t>
            </w:r>
          </w:p>
        </w:tc>
        <w:tc>
          <w:tcPr>
            <w:tcW w:w="155"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8" w:type="dxa"/>
            <w:tcBorders/>
            <w:vAlign w:val="bottom"/>
          </w:tcPr>
          <w:p>
            <w:pPr>
              <w:pStyle w:val="TableContents"/>
              <w:bidi w:val="0"/>
              <w:spacing w:before="0" w:after="283"/>
              <w:jc w:val="right"/>
              <w:rPr/>
            </w:pPr>
            <w:r>
              <w:rPr/>
              <w:t>(0.083</w:t>
            </w:r>
          </w:p>
        </w:tc>
        <w:tc>
          <w:tcPr>
            <w:tcW w:w="160" w:type="dxa"/>
            <w:tcBorders/>
            <w:vAlign w:val="bottom"/>
          </w:tcPr>
          <w:p>
            <w:pPr>
              <w:pStyle w:val="TableContents"/>
              <w:bidi w:val="0"/>
              <w:spacing w:before="0" w:after="283"/>
              <w:jc w:val="left"/>
              <w:rPr/>
            </w:pPr>
            <w:r>
              <w:rPr/>
              <w:t>) </w:t>
            </w:r>
          </w:p>
        </w:tc>
      </w:tr>
      <w:tr>
        <w:trPr/>
        <w:tc>
          <w:tcPr>
            <w:tcW w:w="6325"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8"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3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Class A ordinary shares outstanding used in net income (loss) attributable to Studio City International Holdings Limited per Class A ordinary share calculation:</w:t>
            </w:r>
          </w:p>
        </w:tc>
        <w:tc>
          <w:tcPr>
            <w:tcW w:w="4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8"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6325" w:type="dxa"/>
            <w:tcBorders/>
          </w:tcPr>
          <w:p>
            <w:pPr>
              <w:pStyle w:val="TableContents"/>
              <w:bidi w:val="0"/>
              <w:spacing w:before="0" w:after="0"/>
              <w:jc w:val="left"/>
              <w:rPr>
                <w:rFonts w:ascii="Times New Roman" w:hAnsi="Times New Roman"/>
                <w:sz w:val="20"/>
              </w:rPr>
            </w:pPr>
            <w:r>
              <w:rPr>
                <w:rFonts w:ascii="Times New Roman" w:hAnsi="Times New Roman"/>
                <w:sz w:val="20"/>
              </w:rPr>
              <w:t>Basic and diluted</w:t>
            </w:r>
          </w:p>
        </w:tc>
        <w:tc>
          <w:tcPr>
            <w:tcW w:w="4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770,352,700</w:t>
            </w:r>
          </w:p>
        </w:tc>
        <w:tc>
          <w:tcPr>
            <w:tcW w:w="155"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770,352,700</w:t>
            </w:r>
          </w:p>
        </w:tc>
        <w:tc>
          <w:tcPr>
            <w:tcW w:w="160" w:type="dxa"/>
            <w:tcBorders/>
            <w:vAlign w:val="bottom"/>
          </w:tcPr>
          <w:p>
            <w:pPr>
              <w:pStyle w:val="TableContents"/>
              <w:bidi w:val="0"/>
              <w:spacing w:before="0" w:after="283"/>
              <w:jc w:val="left"/>
              <w:rPr/>
            </w:pPr>
            <w:r>
              <w:rPr/>
              <w:t> </w:t>
            </w:r>
          </w:p>
        </w:tc>
      </w:tr>
      <w:tr>
        <w:trPr/>
        <w:tc>
          <w:tcPr>
            <w:tcW w:w="6325"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8"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Studio City International Holdings Limited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Balance Sheets (Unaudited)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share and per share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623"/>
        <w:gridCol w:w="228"/>
        <w:gridCol w:w="140"/>
        <w:gridCol w:w="1174"/>
        <w:gridCol w:w="322"/>
        <w:gridCol w:w="180"/>
        <w:gridCol w:w="140"/>
        <w:gridCol w:w="1240"/>
        <w:gridCol w:w="158"/>
      </w:tblGrid>
      <w:tr>
        <w:trPr/>
        <w:tc>
          <w:tcPr>
            <w:tcW w:w="6623" w:type="dxa"/>
            <w:tcBorders/>
            <w:vAlign w:val="center"/>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23"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314" w:type="dxa"/>
            <w:gridSpan w:val="2"/>
            <w:tcBorders/>
            <w:vAlign w:val="bottom"/>
          </w:tcPr>
          <w:p>
            <w:pPr>
              <w:pStyle w:val="TableContents"/>
              <w:bidi w:val="0"/>
              <w:spacing w:before="0" w:after="283"/>
              <w:jc w:val="center"/>
              <w:rPr>
                <w:b/>
              </w:rPr>
            </w:pPr>
            <w:r>
              <w:rPr>
                <w:b/>
              </w:rPr>
              <w:t>March 31,</w:t>
            </w:r>
          </w:p>
        </w:tc>
        <w:tc>
          <w:tcPr>
            <w:tcW w:w="322"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380" w:type="dxa"/>
            <w:gridSpan w:val="2"/>
            <w:tcBorders/>
            <w:vAlign w:val="bottom"/>
          </w:tcPr>
          <w:p>
            <w:pPr>
              <w:pStyle w:val="TableContents"/>
              <w:bidi w:val="0"/>
              <w:spacing w:before="0" w:after="283"/>
              <w:jc w:val="center"/>
              <w:rPr>
                <w:b/>
              </w:rPr>
            </w:pPr>
            <w:r>
              <w:rPr>
                <w:b/>
              </w:rPr>
              <w:t>December 31,</w:t>
            </w:r>
          </w:p>
        </w:tc>
        <w:tc>
          <w:tcPr>
            <w:tcW w:w="158" w:type="dxa"/>
            <w:tcBorders/>
            <w:vAlign w:val="bottom"/>
          </w:tcPr>
          <w:p>
            <w:pPr>
              <w:pStyle w:val="TableContents"/>
              <w:bidi w:val="0"/>
              <w:spacing w:before="0" w:after="283"/>
              <w:jc w:val="left"/>
              <w:rPr/>
            </w:pPr>
            <w:r>
              <w:rPr/>
              <w:t> </w:t>
            </w:r>
          </w:p>
        </w:tc>
      </w:tr>
      <w:tr>
        <w:trPr/>
        <w:tc>
          <w:tcPr>
            <w:tcW w:w="6623"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31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322"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3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8" w:type="dxa"/>
            <w:tcBorders/>
            <w:vAlign w:val="bottom"/>
          </w:tcPr>
          <w:p>
            <w:pPr>
              <w:pStyle w:val="TableContents"/>
              <w:bidi w:val="0"/>
              <w:spacing w:before="0" w:after="283"/>
              <w:jc w:val="left"/>
              <w:rPr/>
            </w:pPr>
            <w:r>
              <w:rPr/>
              <w:t> </w:t>
            </w:r>
          </w:p>
        </w:tc>
      </w:tr>
      <w:tr>
        <w:trPr/>
        <w:tc>
          <w:tcPr>
            <w:tcW w:w="662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74" w:type="dxa"/>
            <w:tcBorders/>
            <w:shd w:fill="CCEEFF" w:val="clear"/>
            <w:vAlign w:val="bottom"/>
          </w:tcPr>
          <w:p>
            <w:pPr>
              <w:pStyle w:val="TableContents"/>
              <w:bidi w:val="0"/>
              <w:spacing w:before="0" w:after="283"/>
              <w:jc w:val="left"/>
              <w:rPr>
                <w:sz w:val="4"/>
                <w:szCs w:val="4"/>
              </w:rPr>
            </w:pPr>
            <w:r>
              <w:rPr>
                <w:sz w:val="4"/>
                <w:szCs w:val="4"/>
              </w:rPr>
            </w:r>
          </w:p>
        </w:tc>
        <w:tc>
          <w:tcPr>
            <w:tcW w:w="322" w:type="dxa"/>
            <w:tcBorders/>
            <w:shd w:fill="CCEEFF" w:val="clear"/>
            <w:vAlign w:val="bottom"/>
          </w:tcPr>
          <w:p>
            <w:pPr>
              <w:pStyle w:val="TableContents"/>
              <w:bidi w:val="0"/>
              <w:spacing w:before="0" w:after="283"/>
              <w:jc w:val="left"/>
              <w:rPr>
                <w:sz w:val="4"/>
                <w:szCs w:val="4"/>
              </w:rPr>
            </w:pPr>
            <w:r>
              <w:rPr>
                <w:sz w:val="4"/>
                <w:szCs w:val="4"/>
              </w:rPr>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40"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623"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74" w:type="dxa"/>
            <w:tcBorders/>
            <w:vAlign w:val="bottom"/>
          </w:tcPr>
          <w:p>
            <w:pPr>
              <w:pStyle w:val="TableContents"/>
              <w:bidi w:val="0"/>
              <w:spacing w:before="0" w:after="283"/>
              <w:jc w:val="left"/>
              <w:rPr>
                <w:sz w:val="4"/>
                <w:szCs w:val="4"/>
              </w:rPr>
            </w:pPr>
            <w:r>
              <w:rPr>
                <w:sz w:val="4"/>
                <w:szCs w:val="4"/>
              </w:rPr>
            </w:r>
          </w:p>
        </w:tc>
        <w:tc>
          <w:tcPr>
            <w:tcW w:w="322"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40"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6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74" w:type="dxa"/>
            <w:tcBorders/>
            <w:shd w:fill="CCEEFF" w:val="clear"/>
            <w:vAlign w:val="bottom"/>
          </w:tcPr>
          <w:p>
            <w:pPr>
              <w:pStyle w:val="TableContents"/>
              <w:bidi w:val="0"/>
              <w:spacing w:before="0" w:after="283"/>
              <w:jc w:val="right"/>
              <w:rPr/>
            </w:pPr>
            <w:r>
              <w:rPr/>
              <w:t>86,844</w:t>
            </w:r>
          </w:p>
        </w:tc>
        <w:tc>
          <w:tcPr>
            <w:tcW w:w="322"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40" w:type="dxa"/>
            <w:tcBorders/>
            <w:shd w:fill="CCEEFF" w:val="clear"/>
            <w:vAlign w:val="bottom"/>
          </w:tcPr>
          <w:p>
            <w:pPr>
              <w:pStyle w:val="TableContents"/>
              <w:bidi w:val="0"/>
              <w:spacing w:before="0" w:after="283"/>
              <w:jc w:val="right"/>
              <w:rPr/>
            </w:pPr>
            <w:r>
              <w:rPr/>
              <w:t>109,401</w:t>
            </w:r>
          </w:p>
        </w:tc>
        <w:tc>
          <w:tcPr>
            <w:tcW w:w="158" w:type="dxa"/>
            <w:tcBorders/>
            <w:shd w:fill="CCEEFF" w:val="clear"/>
            <w:vAlign w:val="bottom"/>
          </w:tcPr>
          <w:p>
            <w:pPr>
              <w:pStyle w:val="TableContents"/>
              <w:bidi w:val="0"/>
              <w:spacing w:before="0" w:after="283"/>
              <w:jc w:val="left"/>
              <w:rPr/>
            </w:pPr>
            <w:r>
              <w:rPr/>
              <w:t> </w:t>
            </w:r>
          </w:p>
        </w:tc>
      </w:tr>
      <w:tr>
        <w:trPr/>
        <w:tc>
          <w:tcPr>
            <w:tcW w:w="6623"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 net</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1,518</w:t>
            </w:r>
          </w:p>
        </w:tc>
        <w:tc>
          <w:tcPr>
            <w:tcW w:w="322"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1,887</w:t>
            </w:r>
          </w:p>
        </w:tc>
        <w:tc>
          <w:tcPr>
            <w:tcW w:w="158" w:type="dxa"/>
            <w:tcBorders/>
            <w:vAlign w:val="bottom"/>
          </w:tcPr>
          <w:p>
            <w:pPr>
              <w:pStyle w:val="TableContents"/>
              <w:bidi w:val="0"/>
              <w:spacing w:before="0" w:after="283"/>
              <w:jc w:val="left"/>
              <w:rPr/>
            </w:pPr>
            <w:r>
              <w:rPr/>
              <w:t> </w:t>
            </w:r>
          </w:p>
        </w:tc>
      </w:tr>
      <w:tr>
        <w:trPr/>
        <w:tc>
          <w:tcPr>
            <w:tcW w:w="66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Receivables from affiliated companies</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858</w:t>
            </w:r>
          </w:p>
        </w:tc>
        <w:tc>
          <w:tcPr>
            <w:tcW w:w="322"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735</w:t>
            </w:r>
          </w:p>
        </w:tc>
        <w:tc>
          <w:tcPr>
            <w:tcW w:w="158" w:type="dxa"/>
            <w:tcBorders/>
            <w:shd w:fill="CCEEFF" w:val="clear"/>
            <w:vAlign w:val="bottom"/>
          </w:tcPr>
          <w:p>
            <w:pPr>
              <w:pStyle w:val="TableContents"/>
              <w:bidi w:val="0"/>
              <w:spacing w:before="0" w:after="283"/>
              <w:jc w:val="left"/>
              <w:rPr/>
            </w:pPr>
            <w:r>
              <w:rPr/>
              <w:t> </w:t>
            </w:r>
          </w:p>
        </w:tc>
      </w:tr>
      <w:tr>
        <w:trPr/>
        <w:tc>
          <w:tcPr>
            <w:tcW w:w="6623" w:type="dxa"/>
            <w:tcBorders/>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8,362</w:t>
            </w:r>
          </w:p>
        </w:tc>
        <w:tc>
          <w:tcPr>
            <w:tcW w:w="322"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8,727</w:t>
            </w:r>
          </w:p>
        </w:tc>
        <w:tc>
          <w:tcPr>
            <w:tcW w:w="158" w:type="dxa"/>
            <w:tcBorders/>
            <w:vAlign w:val="bottom"/>
          </w:tcPr>
          <w:p>
            <w:pPr>
              <w:pStyle w:val="TableContents"/>
              <w:bidi w:val="0"/>
              <w:spacing w:before="0" w:after="283"/>
              <w:jc w:val="left"/>
              <w:rPr/>
            </w:pPr>
            <w:r>
              <w:rPr/>
              <w:t> </w:t>
            </w:r>
          </w:p>
        </w:tc>
      </w:tr>
      <w:tr>
        <w:trPr/>
        <w:tc>
          <w:tcPr>
            <w:tcW w:w="66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11,720</w:t>
            </w:r>
          </w:p>
        </w:tc>
        <w:tc>
          <w:tcPr>
            <w:tcW w:w="322"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10,740</w:t>
            </w:r>
          </w:p>
        </w:tc>
        <w:tc>
          <w:tcPr>
            <w:tcW w:w="158" w:type="dxa"/>
            <w:tcBorders/>
            <w:shd w:fill="CCEEFF" w:val="clear"/>
            <w:vAlign w:val="bottom"/>
          </w:tcPr>
          <w:p>
            <w:pPr>
              <w:pStyle w:val="TableContents"/>
              <w:bidi w:val="0"/>
              <w:spacing w:before="0" w:after="283"/>
              <w:jc w:val="left"/>
              <w:rPr/>
            </w:pPr>
            <w:r>
              <w:rPr/>
              <w:t> </w:t>
            </w:r>
          </w:p>
        </w:tc>
      </w:tr>
      <w:tr>
        <w:trPr/>
        <w:tc>
          <w:tcPr>
            <w:tcW w:w="6623"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74" w:type="dxa"/>
            <w:tcBorders/>
            <w:vAlign w:val="bottom"/>
          </w:tcPr>
          <w:p>
            <w:pPr>
              <w:pStyle w:val="TableContents"/>
              <w:pBdr>
                <w:top w:val="single" w:sz="2" w:space="1" w:color="000000"/>
              </w:pBdr>
              <w:bidi w:val="0"/>
              <w:spacing w:before="0" w:after="0"/>
              <w:jc w:val="left"/>
              <w:rPr/>
            </w:pPr>
            <w:r>
              <w:rPr/>
              <w:t> </w:t>
            </w:r>
          </w:p>
        </w:tc>
        <w:tc>
          <w:tcPr>
            <w:tcW w:w="322"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40"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623"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109,302</w:t>
            </w:r>
          </w:p>
        </w:tc>
        <w:tc>
          <w:tcPr>
            <w:tcW w:w="322"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131,490</w:t>
            </w:r>
          </w:p>
        </w:tc>
        <w:tc>
          <w:tcPr>
            <w:tcW w:w="158" w:type="dxa"/>
            <w:tcBorders/>
            <w:vAlign w:val="bottom"/>
          </w:tcPr>
          <w:p>
            <w:pPr>
              <w:pStyle w:val="TableContents"/>
              <w:bidi w:val="0"/>
              <w:spacing w:before="0" w:after="283"/>
              <w:jc w:val="left"/>
              <w:rPr/>
            </w:pPr>
            <w:r>
              <w:rPr/>
              <w:t> </w:t>
            </w:r>
          </w:p>
        </w:tc>
      </w:tr>
      <w:tr>
        <w:trPr/>
        <w:tc>
          <w:tcPr>
            <w:tcW w:w="6623"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74" w:type="dxa"/>
            <w:tcBorders/>
            <w:vAlign w:val="bottom"/>
          </w:tcPr>
          <w:p>
            <w:pPr>
              <w:pStyle w:val="TableContents"/>
              <w:pBdr>
                <w:top w:val="single" w:sz="2" w:space="1" w:color="000000"/>
              </w:pBdr>
              <w:bidi w:val="0"/>
              <w:spacing w:before="0" w:after="0"/>
              <w:jc w:val="left"/>
              <w:rPr/>
            </w:pPr>
            <w:r>
              <w:rPr/>
              <w:t> </w:t>
            </w:r>
          </w:p>
        </w:tc>
        <w:tc>
          <w:tcPr>
            <w:tcW w:w="322"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40"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6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2,425,238</w:t>
            </w:r>
          </w:p>
        </w:tc>
        <w:tc>
          <w:tcPr>
            <w:tcW w:w="322"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2,485,029</w:t>
            </w:r>
          </w:p>
        </w:tc>
        <w:tc>
          <w:tcPr>
            <w:tcW w:w="158" w:type="dxa"/>
            <w:tcBorders/>
            <w:shd w:fill="CCEEFF" w:val="clear"/>
            <w:vAlign w:val="bottom"/>
          </w:tcPr>
          <w:p>
            <w:pPr>
              <w:pStyle w:val="TableContents"/>
              <w:bidi w:val="0"/>
              <w:spacing w:before="0" w:after="283"/>
              <w:jc w:val="left"/>
              <w:rPr/>
            </w:pPr>
            <w:r>
              <w:rPr/>
              <w:t> </w:t>
            </w:r>
          </w:p>
        </w:tc>
      </w:tr>
      <w:tr>
        <w:trPr/>
        <w:tc>
          <w:tcPr>
            <w:tcW w:w="6623" w:type="dxa"/>
            <w:tcBorders/>
          </w:tcPr>
          <w:p>
            <w:pPr>
              <w:pStyle w:val="TableContents"/>
              <w:bidi w:val="0"/>
              <w:spacing w:before="0" w:after="0"/>
              <w:jc w:val="left"/>
              <w:rPr>
                <w:rFonts w:ascii="Times New Roman" w:hAnsi="Times New Roman"/>
                <w:sz w:val="20"/>
              </w:rPr>
            </w:pPr>
            <w:r>
              <w:rPr>
                <w:rFonts w:ascii="Times New Roman" w:hAnsi="Times New Roman"/>
                <w:sz w:val="20"/>
              </w:rPr>
              <w:t>Long-term prepayments, deposits and other assets</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65,763</w:t>
            </w:r>
          </w:p>
        </w:tc>
        <w:tc>
          <w:tcPr>
            <w:tcW w:w="322"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69,141</w:t>
            </w:r>
          </w:p>
        </w:tc>
        <w:tc>
          <w:tcPr>
            <w:tcW w:w="158" w:type="dxa"/>
            <w:tcBorders/>
            <w:vAlign w:val="bottom"/>
          </w:tcPr>
          <w:p>
            <w:pPr>
              <w:pStyle w:val="TableContents"/>
              <w:bidi w:val="0"/>
              <w:spacing w:before="0" w:after="283"/>
              <w:jc w:val="left"/>
              <w:rPr/>
            </w:pPr>
            <w:r>
              <w:rPr/>
              <w:t> </w:t>
            </w:r>
          </w:p>
        </w:tc>
      </w:tr>
      <w:tr>
        <w:trPr/>
        <w:tc>
          <w:tcPr>
            <w:tcW w:w="66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129</w:t>
            </w:r>
          </w:p>
        </w:tc>
        <w:tc>
          <w:tcPr>
            <w:tcW w:w="322"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130</w:t>
            </w:r>
          </w:p>
        </w:tc>
        <w:tc>
          <w:tcPr>
            <w:tcW w:w="158" w:type="dxa"/>
            <w:tcBorders/>
            <w:shd w:fill="CCEEFF" w:val="clear"/>
            <w:vAlign w:val="bottom"/>
          </w:tcPr>
          <w:p>
            <w:pPr>
              <w:pStyle w:val="TableContents"/>
              <w:bidi w:val="0"/>
              <w:spacing w:before="0" w:after="283"/>
              <w:jc w:val="left"/>
              <w:rPr/>
            </w:pPr>
            <w:r>
              <w:rPr/>
              <w:t> </w:t>
            </w:r>
          </w:p>
        </w:tc>
      </w:tr>
      <w:tr>
        <w:trPr/>
        <w:tc>
          <w:tcPr>
            <w:tcW w:w="6623"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11,479</w:t>
            </w:r>
          </w:p>
        </w:tc>
        <w:tc>
          <w:tcPr>
            <w:tcW w:w="322"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11,571</w:t>
            </w:r>
          </w:p>
        </w:tc>
        <w:tc>
          <w:tcPr>
            <w:tcW w:w="158" w:type="dxa"/>
            <w:tcBorders/>
            <w:vAlign w:val="bottom"/>
          </w:tcPr>
          <w:p>
            <w:pPr>
              <w:pStyle w:val="TableContents"/>
              <w:bidi w:val="0"/>
              <w:spacing w:before="0" w:after="283"/>
              <w:jc w:val="left"/>
              <w:rPr/>
            </w:pPr>
            <w:r>
              <w:rPr/>
              <w:t> </w:t>
            </w:r>
          </w:p>
        </w:tc>
      </w:tr>
      <w:tr>
        <w:trPr/>
        <w:tc>
          <w:tcPr>
            <w:tcW w:w="66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Land use right, net</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97,549</w:t>
            </w:r>
          </w:p>
        </w:tc>
        <w:tc>
          <w:tcPr>
            <w:tcW w:w="322"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99,073</w:t>
            </w:r>
          </w:p>
        </w:tc>
        <w:tc>
          <w:tcPr>
            <w:tcW w:w="158" w:type="dxa"/>
            <w:tcBorders/>
            <w:shd w:fill="CCEEFF" w:val="clear"/>
            <w:vAlign w:val="bottom"/>
          </w:tcPr>
          <w:p>
            <w:pPr>
              <w:pStyle w:val="TableContents"/>
              <w:bidi w:val="0"/>
              <w:spacing w:before="0" w:after="283"/>
              <w:jc w:val="left"/>
              <w:rPr/>
            </w:pPr>
            <w:r>
              <w:rPr/>
              <w:t> </w:t>
            </w:r>
          </w:p>
        </w:tc>
      </w:tr>
      <w:tr>
        <w:trPr/>
        <w:tc>
          <w:tcPr>
            <w:tcW w:w="6623"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74" w:type="dxa"/>
            <w:tcBorders/>
            <w:vAlign w:val="bottom"/>
          </w:tcPr>
          <w:p>
            <w:pPr>
              <w:pStyle w:val="TableContents"/>
              <w:pBdr>
                <w:top w:val="single" w:sz="2" w:space="1" w:color="000000"/>
              </w:pBdr>
              <w:bidi w:val="0"/>
              <w:spacing w:before="0" w:after="0"/>
              <w:jc w:val="left"/>
              <w:rPr/>
            </w:pPr>
            <w:r>
              <w:rPr/>
              <w:t> </w:t>
            </w:r>
          </w:p>
        </w:tc>
        <w:tc>
          <w:tcPr>
            <w:tcW w:w="322"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40"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623" w:type="dxa"/>
            <w:tcBorders/>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74" w:type="dxa"/>
            <w:tcBorders/>
            <w:vAlign w:val="bottom"/>
          </w:tcPr>
          <w:p>
            <w:pPr>
              <w:pStyle w:val="TableContents"/>
              <w:bidi w:val="0"/>
              <w:spacing w:before="0" w:after="283"/>
              <w:jc w:val="right"/>
              <w:rPr/>
            </w:pPr>
            <w:r>
              <w:rPr/>
              <w:t>2,709,460</w:t>
            </w:r>
          </w:p>
        </w:tc>
        <w:tc>
          <w:tcPr>
            <w:tcW w:w="322"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40" w:type="dxa"/>
            <w:tcBorders/>
            <w:vAlign w:val="bottom"/>
          </w:tcPr>
          <w:p>
            <w:pPr>
              <w:pStyle w:val="TableContents"/>
              <w:bidi w:val="0"/>
              <w:spacing w:before="0" w:after="283"/>
              <w:jc w:val="right"/>
              <w:rPr/>
            </w:pPr>
            <w:r>
              <w:rPr/>
              <w:t>2,796,434</w:t>
            </w:r>
          </w:p>
        </w:tc>
        <w:tc>
          <w:tcPr>
            <w:tcW w:w="158" w:type="dxa"/>
            <w:tcBorders/>
            <w:vAlign w:val="bottom"/>
          </w:tcPr>
          <w:p>
            <w:pPr>
              <w:pStyle w:val="TableContents"/>
              <w:bidi w:val="0"/>
              <w:spacing w:before="0" w:after="283"/>
              <w:jc w:val="left"/>
              <w:rPr/>
            </w:pPr>
            <w:r>
              <w:rPr/>
              <w:t> </w:t>
            </w:r>
          </w:p>
        </w:tc>
      </w:tr>
      <w:tr>
        <w:trPr/>
        <w:tc>
          <w:tcPr>
            <w:tcW w:w="6623"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74" w:type="dxa"/>
            <w:tcBorders/>
            <w:vAlign w:val="bottom"/>
          </w:tcPr>
          <w:p>
            <w:pPr>
              <w:pStyle w:val="TableContents"/>
              <w:pBdr>
                <w:top w:val="double" w:sz="6" w:space="1" w:color="000000"/>
              </w:pBdr>
              <w:bidi w:val="0"/>
              <w:spacing w:before="0" w:after="0"/>
              <w:jc w:val="left"/>
              <w:rPr/>
            </w:pPr>
            <w:r>
              <w:rPr/>
              <w:t> </w:t>
            </w:r>
          </w:p>
        </w:tc>
        <w:tc>
          <w:tcPr>
            <w:tcW w:w="322"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40"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62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LIABILITIES, SHAREHOLDERS’ EQUITY AND PARTICIPATION INTEREST</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74" w:type="dxa"/>
            <w:tcBorders/>
            <w:shd w:fill="CCEEFF" w:val="clear"/>
            <w:vAlign w:val="bottom"/>
          </w:tcPr>
          <w:p>
            <w:pPr>
              <w:pStyle w:val="TableContents"/>
              <w:bidi w:val="0"/>
              <w:spacing w:before="0" w:after="283"/>
              <w:jc w:val="left"/>
              <w:rPr>
                <w:sz w:val="4"/>
                <w:szCs w:val="4"/>
              </w:rPr>
            </w:pPr>
            <w:r>
              <w:rPr>
                <w:sz w:val="4"/>
                <w:szCs w:val="4"/>
              </w:rPr>
            </w:r>
          </w:p>
        </w:tc>
        <w:tc>
          <w:tcPr>
            <w:tcW w:w="322" w:type="dxa"/>
            <w:tcBorders/>
            <w:shd w:fill="CCEEFF" w:val="clear"/>
            <w:vAlign w:val="bottom"/>
          </w:tcPr>
          <w:p>
            <w:pPr>
              <w:pStyle w:val="TableContents"/>
              <w:bidi w:val="0"/>
              <w:spacing w:before="0" w:after="283"/>
              <w:jc w:val="left"/>
              <w:rPr>
                <w:sz w:val="4"/>
                <w:szCs w:val="4"/>
              </w:rPr>
            </w:pPr>
            <w:r>
              <w:rPr>
                <w:sz w:val="4"/>
                <w:szCs w:val="4"/>
              </w:rPr>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40"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623" w:type="dxa"/>
            <w:tcBorders/>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74" w:type="dxa"/>
            <w:tcBorders/>
            <w:vAlign w:val="bottom"/>
          </w:tcPr>
          <w:p>
            <w:pPr>
              <w:pStyle w:val="TableContents"/>
              <w:bidi w:val="0"/>
              <w:spacing w:before="0" w:after="283"/>
              <w:jc w:val="left"/>
              <w:rPr>
                <w:sz w:val="4"/>
                <w:szCs w:val="4"/>
              </w:rPr>
            </w:pPr>
            <w:r>
              <w:rPr>
                <w:sz w:val="4"/>
                <w:szCs w:val="4"/>
              </w:rPr>
            </w:r>
          </w:p>
        </w:tc>
        <w:tc>
          <w:tcPr>
            <w:tcW w:w="322"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40"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6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74" w:type="dxa"/>
            <w:tcBorders/>
            <w:shd w:fill="CCEEFF" w:val="clear"/>
            <w:vAlign w:val="bottom"/>
          </w:tcPr>
          <w:p>
            <w:pPr>
              <w:pStyle w:val="TableContents"/>
              <w:bidi w:val="0"/>
              <w:spacing w:before="0" w:after="283"/>
              <w:jc w:val="right"/>
              <w:rPr/>
            </w:pPr>
            <w:r>
              <w:rPr/>
              <w:t>3,623</w:t>
            </w:r>
          </w:p>
        </w:tc>
        <w:tc>
          <w:tcPr>
            <w:tcW w:w="322"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40" w:type="dxa"/>
            <w:tcBorders/>
            <w:shd w:fill="CCEEFF" w:val="clear"/>
            <w:vAlign w:val="bottom"/>
          </w:tcPr>
          <w:p>
            <w:pPr>
              <w:pStyle w:val="TableContents"/>
              <w:bidi w:val="0"/>
              <w:spacing w:before="0" w:after="283"/>
              <w:jc w:val="right"/>
              <w:rPr/>
            </w:pPr>
            <w:r>
              <w:rPr/>
              <w:t>6,401</w:t>
            </w:r>
          </w:p>
        </w:tc>
        <w:tc>
          <w:tcPr>
            <w:tcW w:w="158" w:type="dxa"/>
            <w:tcBorders/>
            <w:shd w:fill="CCEEFF" w:val="clear"/>
            <w:vAlign w:val="bottom"/>
          </w:tcPr>
          <w:p>
            <w:pPr>
              <w:pStyle w:val="TableContents"/>
              <w:bidi w:val="0"/>
              <w:spacing w:before="0" w:after="283"/>
              <w:jc w:val="left"/>
              <w:rPr/>
            </w:pPr>
            <w:r>
              <w:rPr/>
              <w:t> </w:t>
            </w:r>
          </w:p>
        </w:tc>
      </w:tr>
      <w:tr>
        <w:trPr/>
        <w:tc>
          <w:tcPr>
            <w:tcW w:w="6623"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 and other current liabilities</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56,399</w:t>
            </w:r>
          </w:p>
        </w:tc>
        <w:tc>
          <w:tcPr>
            <w:tcW w:w="322"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91,438</w:t>
            </w:r>
          </w:p>
        </w:tc>
        <w:tc>
          <w:tcPr>
            <w:tcW w:w="158" w:type="dxa"/>
            <w:tcBorders/>
            <w:vAlign w:val="bottom"/>
          </w:tcPr>
          <w:p>
            <w:pPr>
              <w:pStyle w:val="TableContents"/>
              <w:bidi w:val="0"/>
              <w:spacing w:before="0" w:after="283"/>
              <w:jc w:val="left"/>
              <w:rPr/>
            </w:pPr>
            <w:r>
              <w:rPr/>
              <w:t> </w:t>
            </w:r>
          </w:p>
        </w:tc>
      </w:tr>
      <w:tr>
        <w:trPr/>
        <w:tc>
          <w:tcPr>
            <w:tcW w:w="66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payable</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18,205</w:t>
            </w:r>
          </w:p>
        </w:tc>
        <w:tc>
          <w:tcPr>
            <w:tcW w:w="322"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15,257</w:t>
            </w:r>
          </w:p>
        </w:tc>
        <w:tc>
          <w:tcPr>
            <w:tcW w:w="158" w:type="dxa"/>
            <w:tcBorders/>
            <w:shd w:fill="CCEEFF" w:val="clear"/>
            <w:vAlign w:val="bottom"/>
          </w:tcPr>
          <w:p>
            <w:pPr>
              <w:pStyle w:val="TableContents"/>
              <w:bidi w:val="0"/>
              <w:spacing w:before="0" w:after="283"/>
              <w:jc w:val="left"/>
              <w:rPr/>
            </w:pPr>
            <w:r>
              <w:rPr/>
              <w:t> </w:t>
            </w:r>
          </w:p>
        </w:tc>
      </w:tr>
      <w:tr>
        <w:trPr/>
        <w:tc>
          <w:tcPr>
            <w:tcW w:w="662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Current portion of long-term debt, net</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348,735</w:t>
            </w:r>
          </w:p>
        </w:tc>
        <w:tc>
          <w:tcPr>
            <w:tcW w:w="322"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66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Payables to affiliated companies</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45,568</w:t>
            </w:r>
          </w:p>
        </w:tc>
        <w:tc>
          <w:tcPr>
            <w:tcW w:w="322"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66,946</w:t>
            </w:r>
          </w:p>
        </w:tc>
        <w:tc>
          <w:tcPr>
            <w:tcW w:w="158" w:type="dxa"/>
            <w:tcBorders/>
            <w:shd w:fill="CCEEFF" w:val="clear"/>
            <w:vAlign w:val="bottom"/>
          </w:tcPr>
          <w:p>
            <w:pPr>
              <w:pStyle w:val="TableContents"/>
              <w:bidi w:val="0"/>
              <w:spacing w:before="0" w:after="283"/>
              <w:jc w:val="left"/>
              <w:rPr/>
            </w:pPr>
            <w:r>
              <w:rPr/>
              <w:t> </w:t>
            </w:r>
          </w:p>
        </w:tc>
      </w:tr>
      <w:tr>
        <w:trPr/>
        <w:tc>
          <w:tcPr>
            <w:tcW w:w="6623"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74" w:type="dxa"/>
            <w:tcBorders/>
            <w:vAlign w:val="bottom"/>
          </w:tcPr>
          <w:p>
            <w:pPr>
              <w:pStyle w:val="TableContents"/>
              <w:pBdr>
                <w:top w:val="single" w:sz="2" w:space="1" w:color="000000"/>
              </w:pBdr>
              <w:bidi w:val="0"/>
              <w:spacing w:before="0" w:after="0"/>
              <w:jc w:val="left"/>
              <w:rPr/>
            </w:pPr>
            <w:r>
              <w:rPr/>
              <w:t> </w:t>
            </w:r>
          </w:p>
        </w:tc>
        <w:tc>
          <w:tcPr>
            <w:tcW w:w="322"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40"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623"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472,530</w:t>
            </w:r>
          </w:p>
        </w:tc>
        <w:tc>
          <w:tcPr>
            <w:tcW w:w="322"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180,042</w:t>
            </w:r>
          </w:p>
        </w:tc>
        <w:tc>
          <w:tcPr>
            <w:tcW w:w="158" w:type="dxa"/>
            <w:tcBorders/>
            <w:vAlign w:val="bottom"/>
          </w:tcPr>
          <w:p>
            <w:pPr>
              <w:pStyle w:val="TableContents"/>
              <w:bidi w:val="0"/>
              <w:spacing w:before="0" w:after="283"/>
              <w:jc w:val="left"/>
              <w:rPr/>
            </w:pPr>
            <w:r>
              <w:rPr/>
              <w:t> </w:t>
            </w:r>
          </w:p>
        </w:tc>
      </w:tr>
      <w:tr>
        <w:trPr/>
        <w:tc>
          <w:tcPr>
            <w:tcW w:w="6623"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74" w:type="dxa"/>
            <w:tcBorders/>
            <w:vAlign w:val="bottom"/>
          </w:tcPr>
          <w:p>
            <w:pPr>
              <w:pStyle w:val="TableContents"/>
              <w:pBdr>
                <w:top w:val="single" w:sz="2" w:space="1" w:color="000000"/>
              </w:pBdr>
              <w:bidi w:val="0"/>
              <w:spacing w:before="0" w:after="0"/>
              <w:jc w:val="left"/>
              <w:rPr/>
            </w:pPr>
            <w:r>
              <w:rPr/>
              <w:t> </w:t>
            </w:r>
          </w:p>
        </w:tc>
        <w:tc>
          <w:tcPr>
            <w:tcW w:w="322"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40"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6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debt, net</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1,666,008</w:t>
            </w:r>
          </w:p>
        </w:tc>
        <w:tc>
          <w:tcPr>
            <w:tcW w:w="322"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2,024,569</w:t>
            </w:r>
          </w:p>
        </w:tc>
        <w:tc>
          <w:tcPr>
            <w:tcW w:w="158" w:type="dxa"/>
            <w:tcBorders/>
            <w:shd w:fill="CCEEFF" w:val="clear"/>
            <w:vAlign w:val="bottom"/>
          </w:tcPr>
          <w:p>
            <w:pPr>
              <w:pStyle w:val="TableContents"/>
              <w:bidi w:val="0"/>
              <w:spacing w:before="0" w:after="283"/>
              <w:jc w:val="left"/>
              <w:rPr/>
            </w:pPr>
            <w:r>
              <w:rPr/>
              <w:t> </w:t>
            </w:r>
          </w:p>
        </w:tc>
      </w:tr>
      <w:tr>
        <w:trPr/>
        <w:tc>
          <w:tcPr>
            <w:tcW w:w="6623" w:type="dxa"/>
            <w:tcBorders/>
          </w:tcPr>
          <w:p>
            <w:pPr>
              <w:pStyle w:val="TableContents"/>
              <w:bidi w:val="0"/>
              <w:spacing w:before="0" w:after="0"/>
              <w:jc w:val="left"/>
              <w:rPr>
                <w:rFonts w:ascii="Times New Roman" w:hAnsi="Times New Roman"/>
                <w:sz w:val="20"/>
              </w:rPr>
            </w:pPr>
            <w:r>
              <w:rPr>
                <w:rFonts w:ascii="Times New Roman" w:hAnsi="Times New Roman"/>
                <w:sz w:val="20"/>
              </w:rPr>
              <w:t>Other long-term liabilities</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8,238</w:t>
            </w:r>
          </w:p>
        </w:tc>
        <w:tc>
          <w:tcPr>
            <w:tcW w:w="322"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6,290</w:t>
            </w:r>
          </w:p>
        </w:tc>
        <w:tc>
          <w:tcPr>
            <w:tcW w:w="158" w:type="dxa"/>
            <w:tcBorders/>
            <w:vAlign w:val="bottom"/>
          </w:tcPr>
          <w:p>
            <w:pPr>
              <w:pStyle w:val="TableContents"/>
              <w:bidi w:val="0"/>
              <w:spacing w:before="0" w:after="283"/>
              <w:jc w:val="left"/>
              <w:rPr/>
            </w:pPr>
            <w:r>
              <w:rPr/>
              <w:t> </w:t>
            </w:r>
          </w:p>
        </w:tc>
      </w:tr>
      <w:tr>
        <w:trPr/>
        <w:tc>
          <w:tcPr>
            <w:tcW w:w="662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Deferred tax liabilities, net</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56</w:t>
            </w:r>
          </w:p>
        </w:tc>
        <w:tc>
          <w:tcPr>
            <w:tcW w:w="322"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60</w:t>
            </w:r>
          </w:p>
        </w:tc>
        <w:tc>
          <w:tcPr>
            <w:tcW w:w="158" w:type="dxa"/>
            <w:tcBorders/>
            <w:shd w:fill="CCEEFF" w:val="clear"/>
            <w:vAlign w:val="bottom"/>
          </w:tcPr>
          <w:p>
            <w:pPr>
              <w:pStyle w:val="TableContents"/>
              <w:bidi w:val="0"/>
              <w:spacing w:before="0" w:after="283"/>
              <w:jc w:val="left"/>
              <w:rPr/>
            </w:pPr>
            <w:r>
              <w:rPr/>
              <w:t> </w:t>
            </w:r>
          </w:p>
        </w:tc>
      </w:tr>
      <w:tr>
        <w:trPr/>
        <w:tc>
          <w:tcPr>
            <w:tcW w:w="6623"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liabilities, non-current</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12,245</w:t>
            </w:r>
          </w:p>
        </w:tc>
        <w:tc>
          <w:tcPr>
            <w:tcW w:w="322"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12,095</w:t>
            </w:r>
          </w:p>
        </w:tc>
        <w:tc>
          <w:tcPr>
            <w:tcW w:w="158" w:type="dxa"/>
            <w:tcBorders/>
            <w:vAlign w:val="bottom"/>
          </w:tcPr>
          <w:p>
            <w:pPr>
              <w:pStyle w:val="TableContents"/>
              <w:bidi w:val="0"/>
              <w:spacing w:before="0" w:after="283"/>
              <w:jc w:val="left"/>
              <w:rPr/>
            </w:pPr>
            <w:r>
              <w:rPr/>
              <w:t> </w:t>
            </w:r>
          </w:p>
        </w:tc>
      </w:tr>
      <w:tr>
        <w:trPr/>
        <w:tc>
          <w:tcPr>
            <w:tcW w:w="6623"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74" w:type="dxa"/>
            <w:tcBorders/>
            <w:vAlign w:val="bottom"/>
          </w:tcPr>
          <w:p>
            <w:pPr>
              <w:pStyle w:val="TableContents"/>
              <w:pBdr>
                <w:top w:val="single" w:sz="2" w:space="1" w:color="000000"/>
              </w:pBdr>
              <w:bidi w:val="0"/>
              <w:spacing w:before="0" w:after="0"/>
              <w:jc w:val="left"/>
              <w:rPr/>
            </w:pPr>
            <w:r>
              <w:rPr/>
              <w:t> </w:t>
            </w:r>
          </w:p>
        </w:tc>
        <w:tc>
          <w:tcPr>
            <w:tcW w:w="322"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40"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6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2,159,077</w:t>
            </w:r>
          </w:p>
        </w:tc>
        <w:tc>
          <w:tcPr>
            <w:tcW w:w="322"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2,223,056</w:t>
            </w:r>
          </w:p>
        </w:tc>
        <w:tc>
          <w:tcPr>
            <w:tcW w:w="158" w:type="dxa"/>
            <w:tcBorders/>
            <w:shd w:fill="CCEEFF" w:val="clear"/>
            <w:vAlign w:val="bottom"/>
          </w:tcPr>
          <w:p>
            <w:pPr>
              <w:pStyle w:val="TableContents"/>
              <w:bidi w:val="0"/>
              <w:spacing w:before="0" w:after="283"/>
              <w:jc w:val="left"/>
              <w:rPr/>
            </w:pPr>
            <w:r>
              <w:rPr/>
              <w:t> </w:t>
            </w:r>
          </w:p>
        </w:tc>
      </w:tr>
      <w:tr>
        <w:trPr/>
        <w:tc>
          <w:tcPr>
            <w:tcW w:w="6623"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74" w:type="dxa"/>
            <w:tcBorders/>
            <w:vAlign w:val="bottom"/>
          </w:tcPr>
          <w:p>
            <w:pPr>
              <w:pStyle w:val="TableContents"/>
              <w:pBdr>
                <w:top w:val="single" w:sz="2" w:space="1" w:color="000000"/>
              </w:pBdr>
              <w:bidi w:val="0"/>
              <w:spacing w:before="0" w:after="0"/>
              <w:jc w:val="left"/>
              <w:rPr/>
            </w:pPr>
            <w:r>
              <w:rPr/>
              <w:t> </w:t>
            </w:r>
          </w:p>
        </w:tc>
        <w:tc>
          <w:tcPr>
            <w:tcW w:w="322"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40"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623" w:type="dxa"/>
            <w:tcBorders/>
          </w:tcPr>
          <w:p>
            <w:pPr>
              <w:pStyle w:val="TableContents"/>
              <w:bidi w:val="0"/>
              <w:spacing w:before="0" w:after="0"/>
              <w:jc w:val="left"/>
              <w:rPr>
                <w:rFonts w:ascii="Times New Roman" w:hAnsi="Times New Roman"/>
                <w:sz w:val="20"/>
              </w:rPr>
            </w:pPr>
            <w:r>
              <w:rPr>
                <w:rFonts w:ascii="Times New Roman" w:hAnsi="Times New Roman"/>
                <w:sz w:val="20"/>
              </w:rPr>
              <w:t>Shareholders’ equity and participation interest:</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74" w:type="dxa"/>
            <w:tcBorders/>
            <w:vAlign w:val="bottom"/>
          </w:tcPr>
          <w:p>
            <w:pPr>
              <w:pStyle w:val="TableContents"/>
              <w:bidi w:val="0"/>
              <w:spacing w:before="0" w:after="283"/>
              <w:jc w:val="left"/>
              <w:rPr>
                <w:sz w:val="4"/>
                <w:szCs w:val="4"/>
              </w:rPr>
            </w:pPr>
            <w:r>
              <w:rPr>
                <w:sz w:val="4"/>
                <w:szCs w:val="4"/>
              </w:rPr>
            </w:r>
          </w:p>
        </w:tc>
        <w:tc>
          <w:tcPr>
            <w:tcW w:w="322"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40"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6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Class A ordinary shares, par value $0.0001; 1,927,488,240 shares authorized; 770,352,700 shares issued and outstanding</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77</w:t>
            </w:r>
          </w:p>
        </w:tc>
        <w:tc>
          <w:tcPr>
            <w:tcW w:w="322"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77</w:t>
            </w:r>
          </w:p>
        </w:tc>
        <w:tc>
          <w:tcPr>
            <w:tcW w:w="158" w:type="dxa"/>
            <w:tcBorders/>
            <w:shd w:fill="CCEEFF" w:val="clear"/>
            <w:vAlign w:val="bottom"/>
          </w:tcPr>
          <w:p>
            <w:pPr>
              <w:pStyle w:val="TableContents"/>
              <w:bidi w:val="0"/>
              <w:spacing w:before="0" w:after="283"/>
              <w:jc w:val="left"/>
              <w:rPr/>
            </w:pPr>
            <w:r>
              <w:rPr/>
              <w:t> </w:t>
            </w:r>
          </w:p>
        </w:tc>
      </w:tr>
      <w:tr>
        <w:trPr/>
        <w:tc>
          <w:tcPr>
            <w:tcW w:w="6623" w:type="dxa"/>
            <w:tcBorders/>
          </w:tcPr>
          <w:p>
            <w:pPr>
              <w:pStyle w:val="TableContents"/>
              <w:bidi w:val="0"/>
              <w:spacing w:before="0" w:after="0"/>
              <w:jc w:val="left"/>
              <w:rPr>
                <w:rFonts w:ascii="Times New Roman" w:hAnsi="Times New Roman"/>
                <w:sz w:val="20"/>
              </w:rPr>
            </w:pPr>
            <w:r>
              <w:rPr>
                <w:rFonts w:ascii="Times New Roman" w:hAnsi="Times New Roman"/>
                <w:sz w:val="20"/>
              </w:rPr>
              <w:t>Class B ordinary shares, par value $0.0001; 72,511,760 shares authorized; 72,511,760 shares issued and outstanding</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7</w:t>
            </w:r>
          </w:p>
        </w:tc>
        <w:tc>
          <w:tcPr>
            <w:tcW w:w="322"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7</w:t>
            </w:r>
          </w:p>
        </w:tc>
        <w:tc>
          <w:tcPr>
            <w:tcW w:w="158" w:type="dxa"/>
            <w:tcBorders/>
            <w:vAlign w:val="bottom"/>
          </w:tcPr>
          <w:p>
            <w:pPr>
              <w:pStyle w:val="TableContents"/>
              <w:bidi w:val="0"/>
              <w:spacing w:before="0" w:after="283"/>
              <w:jc w:val="left"/>
              <w:rPr/>
            </w:pPr>
            <w:r>
              <w:rPr/>
              <w:t> </w:t>
            </w:r>
          </w:p>
        </w:tc>
      </w:tr>
      <w:tr>
        <w:trPr/>
        <w:tc>
          <w:tcPr>
            <w:tcW w:w="66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2,477,359</w:t>
            </w:r>
          </w:p>
        </w:tc>
        <w:tc>
          <w:tcPr>
            <w:tcW w:w="322"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2,477,359</w:t>
            </w:r>
          </w:p>
        </w:tc>
        <w:tc>
          <w:tcPr>
            <w:tcW w:w="158" w:type="dxa"/>
            <w:tcBorders/>
            <w:shd w:fill="CCEEFF" w:val="clear"/>
            <w:vAlign w:val="bottom"/>
          </w:tcPr>
          <w:p>
            <w:pPr>
              <w:pStyle w:val="TableContents"/>
              <w:bidi w:val="0"/>
              <w:spacing w:before="0" w:after="283"/>
              <w:jc w:val="left"/>
              <w:rPr/>
            </w:pPr>
            <w:r>
              <w:rPr/>
              <w:t> </w:t>
            </w:r>
          </w:p>
        </w:tc>
      </w:tr>
      <w:tr>
        <w:trPr/>
        <w:tc>
          <w:tcPr>
            <w:tcW w:w="6623"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(losses) income</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(23,257</w:t>
            </w:r>
          </w:p>
        </w:tc>
        <w:tc>
          <w:tcPr>
            <w:tcW w:w="322"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618</w:t>
            </w:r>
          </w:p>
        </w:tc>
        <w:tc>
          <w:tcPr>
            <w:tcW w:w="158" w:type="dxa"/>
            <w:tcBorders/>
            <w:vAlign w:val="bottom"/>
          </w:tcPr>
          <w:p>
            <w:pPr>
              <w:pStyle w:val="TableContents"/>
              <w:bidi w:val="0"/>
              <w:spacing w:before="0" w:after="283"/>
              <w:jc w:val="left"/>
              <w:rPr/>
            </w:pPr>
            <w:r>
              <w:rPr/>
              <w:t> </w:t>
            </w:r>
          </w:p>
        </w:tc>
      </w:tr>
      <w:tr>
        <w:trPr/>
        <w:tc>
          <w:tcPr>
            <w:tcW w:w="66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losses</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(1,951,317</w:t>
            </w:r>
          </w:p>
        </w:tc>
        <w:tc>
          <w:tcPr>
            <w:tcW w:w="322"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(1,954,174</w:t>
            </w:r>
          </w:p>
        </w:tc>
        <w:tc>
          <w:tcPr>
            <w:tcW w:w="158" w:type="dxa"/>
            <w:tcBorders/>
            <w:shd w:fill="CCEEFF" w:val="clear"/>
            <w:vAlign w:val="bottom"/>
          </w:tcPr>
          <w:p>
            <w:pPr>
              <w:pStyle w:val="TableContents"/>
              <w:bidi w:val="0"/>
              <w:spacing w:before="0" w:after="283"/>
              <w:jc w:val="left"/>
              <w:rPr/>
            </w:pPr>
            <w:r>
              <w:rPr/>
              <w:t>) </w:t>
            </w:r>
          </w:p>
        </w:tc>
      </w:tr>
      <w:tr>
        <w:trPr/>
        <w:tc>
          <w:tcPr>
            <w:tcW w:w="6623"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74" w:type="dxa"/>
            <w:tcBorders/>
            <w:vAlign w:val="bottom"/>
          </w:tcPr>
          <w:p>
            <w:pPr>
              <w:pStyle w:val="TableContents"/>
              <w:pBdr>
                <w:top w:val="single" w:sz="2" w:space="1" w:color="000000"/>
              </w:pBdr>
              <w:bidi w:val="0"/>
              <w:spacing w:before="0" w:after="0"/>
              <w:jc w:val="left"/>
              <w:rPr/>
            </w:pPr>
            <w:r>
              <w:rPr/>
              <w:t> </w:t>
            </w:r>
          </w:p>
        </w:tc>
        <w:tc>
          <w:tcPr>
            <w:tcW w:w="322"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40"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623" w:type="dxa"/>
            <w:tcBorders/>
          </w:tcPr>
          <w:p>
            <w:pPr>
              <w:pStyle w:val="TableContents"/>
              <w:bidi w:val="0"/>
              <w:spacing w:before="0" w:after="0"/>
              <w:jc w:val="left"/>
              <w:rPr>
                <w:rFonts w:ascii="Times New Roman" w:hAnsi="Times New Roman"/>
                <w:sz w:val="20"/>
              </w:rPr>
            </w:pPr>
            <w:r>
              <w:rPr>
                <w:rFonts w:ascii="Times New Roman" w:hAnsi="Times New Roman"/>
                <w:sz w:val="20"/>
              </w:rPr>
              <w:t>Total shareholders’ equity</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502,869</w:t>
            </w:r>
          </w:p>
        </w:tc>
        <w:tc>
          <w:tcPr>
            <w:tcW w:w="322"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523,887</w:t>
            </w:r>
          </w:p>
        </w:tc>
        <w:tc>
          <w:tcPr>
            <w:tcW w:w="158" w:type="dxa"/>
            <w:tcBorders/>
            <w:vAlign w:val="bottom"/>
          </w:tcPr>
          <w:p>
            <w:pPr>
              <w:pStyle w:val="TableContents"/>
              <w:bidi w:val="0"/>
              <w:spacing w:before="0" w:after="283"/>
              <w:jc w:val="left"/>
              <w:rPr/>
            </w:pPr>
            <w:r>
              <w:rPr/>
              <w:t> </w:t>
            </w:r>
          </w:p>
        </w:tc>
      </w:tr>
      <w:tr>
        <w:trPr/>
        <w:tc>
          <w:tcPr>
            <w:tcW w:w="6623"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74" w:type="dxa"/>
            <w:tcBorders/>
            <w:vAlign w:val="bottom"/>
          </w:tcPr>
          <w:p>
            <w:pPr>
              <w:pStyle w:val="TableContents"/>
              <w:pBdr>
                <w:top w:val="single" w:sz="2" w:space="1" w:color="000000"/>
              </w:pBdr>
              <w:bidi w:val="0"/>
              <w:spacing w:before="0" w:after="0"/>
              <w:jc w:val="left"/>
              <w:rPr/>
            </w:pPr>
            <w:r>
              <w:rPr/>
              <w:t> </w:t>
            </w:r>
          </w:p>
        </w:tc>
        <w:tc>
          <w:tcPr>
            <w:tcW w:w="322"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40"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6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Participation interest</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47,514</w:t>
            </w:r>
          </w:p>
        </w:tc>
        <w:tc>
          <w:tcPr>
            <w:tcW w:w="322"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49,491</w:t>
            </w:r>
          </w:p>
        </w:tc>
        <w:tc>
          <w:tcPr>
            <w:tcW w:w="158" w:type="dxa"/>
            <w:tcBorders/>
            <w:shd w:fill="CCEEFF" w:val="clear"/>
            <w:vAlign w:val="bottom"/>
          </w:tcPr>
          <w:p>
            <w:pPr>
              <w:pStyle w:val="TableContents"/>
              <w:bidi w:val="0"/>
              <w:spacing w:before="0" w:after="283"/>
              <w:jc w:val="left"/>
              <w:rPr/>
            </w:pPr>
            <w:r>
              <w:rPr/>
              <w:t> </w:t>
            </w:r>
          </w:p>
        </w:tc>
      </w:tr>
      <w:tr>
        <w:trPr/>
        <w:tc>
          <w:tcPr>
            <w:tcW w:w="6623"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74" w:type="dxa"/>
            <w:tcBorders/>
            <w:vAlign w:val="bottom"/>
          </w:tcPr>
          <w:p>
            <w:pPr>
              <w:pStyle w:val="TableContents"/>
              <w:pBdr>
                <w:top w:val="single" w:sz="2" w:space="1" w:color="000000"/>
              </w:pBdr>
              <w:bidi w:val="0"/>
              <w:spacing w:before="0" w:after="0"/>
              <w:jc w:val="left"/>
              <w:rPr/>
            </w:pPr>
            <w:r>
              <w:rPr/>
              <w:t> </w:t>
            </w:r>
          </w:p>
        </w:tc>
        <w:tc>
          <w:tcPr>
            <w:tcW w:w="322"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40"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623" w:type="dxa"/>
            <w:tcBorders/>
          </w:tcPr>
          <w:p>
            <w:pPr>
              <w:pStyle w:val="TableContents"/>
              <w:bidi w:val="0"/>
              <w:spacing w:before="0" w:after="0"/>
              <w:jc w:val="left"/>
              <w:rPr>
                <w:rFonts w:ascii="Times New Roman" w:hAnsi="Times New Roman"/>
                <w:sz w:val="20"/>
              </w:rPr>
            </w:pPr>
            <w:r>
              <w:rPr>
                <w:rFonts w:ascii="Times New Roman" w:hAnsi="Times New Roman"/>
                <w:sz w:val="20"/>
              </w:rPr>
              <w:t>Total shareholders’ equity and participation interest</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550,383</w:t>
            </w:r>
          </w:p>
        </w:tc>
        <w:tc>
          <w:tcPr>
            <w:tcW w:w="322"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573,378</w:t>
            </w:r>
          </w:p>
        </w:tc>
        <w:tc>
          <w:tcPr>
            <w:tcW w:w="158" w:type="dxa"/>
            <w:tcBorders/>
            <w:vAlign w:val="bottom"/>
          </w:tcPr>
          <w:p>
            <w:pPr>
              <w:pStyle w:val="TableContents"/>
              <w:bidi w:val="0"/>
              <w:spacing w:before="0" w:after="283"/>
              <w:jc w:val="left"/>
              <w:rPr/>
            </w:pPr>
            <w:r>
              <w:rPr/>
              <w:t> </w:t>
            </w:r>
          </w:p>
        </w:tc>
      </w:tr>
      <w:tr>
        <w:trPr/>
        <w:tc>
          <w:tcPr>
            <w:tcW w:w="6623"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74" w:type="dxa"/>
            <w:tcBorders/>
            <w:vAlign w:val="bottom"/>
          </w:tcPr>
          <w:p>
            <w:pPr>
              <w:pStyle w:val="TableContents"/>
              <w:pBdr>
                <w:top w:val="single" w:sz="2" w:space="1" w:color="000000"/>
              </w:pBdr>
              <w:bidi w:val="0"/>
              <w:spacing w:before="0" w:after="0"/>
              <w:jc w:val="left"/>
              <w:rPr/>
            </w:pPr>
            <w:r>
              <w:rPr/>
              <w:t> </w:t>
            </w:r>
          </w:p>
        </w:tc>
        <w:tc>
          <w:tcPr>
            <w:tcW w:w="322"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40"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6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 shareholders’ equity and participation interest</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74" w:type="dxa"/>
            <w:tcBorders/>
            <w:shd w:fill="CCEEFF" w:val="clear"/>
            <w:vAlign w:val="bottom"/>
          </w:tcPr>
          <w:p>
            <w:pPr>
              <w:pStyle w:val="TableContents"/>
              <w:bidi w:val="0"/>
              <w:spacing w:before="0" w:after="283"/>
              <w:jc w:val="right"/>
              <w:rPr/>
            </w:pPr>
            <w:r>
              <w:rPr/>
              <w:t>2,709,460</w:t>
            </w:r>
          </w:p>
        </w:tc>
        <w:tc>
          <w:tcPr>
            <w:tcW w:w="322"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40" w:type="dxa"/>
            <w:tcBorders/>
            <w:shd w:fill="CCEEFF" w:val="clear"/>
            <w:vAlign w:val="bottom"/>
          </w:tcPr>
          <w:p>
            <w:pPr>
              <w:pStyle w:val="TableContents"/>
              <w:bidi w:val="0"/>
              <w:spacing w:before="0" w:after="283"/>
              <w:jc w:val="right"/>
              <w:rPr/>
            </w:pPr>
            <w:r>
              <w:rPr/>
              <w:t>2,796,434</w:t>
            </w:r>
          </w:p>
        </w:tc>
        <w:tc>
          <w:tcPr>
            <w:tcW w:w="158" w:type="dxa"/>
            <w:tcBorders/>
            <w:shd w:fill="CCEEFF" w:val="clear"/>
            <w:vAlign w:val="bottom"/>
          </w:tcPr>
          <w:p>
            <w:pPr>
              <w:pStyle w:val="TableContents"/>
              <w:bidi w:val="0"/>
              <w:spacing w:before="0" w:after="283"/>
              <w:jc w:val="left"/>
              <w:rPr/>
            </w:pPr>
            <w:r>
              <w:rPr/>
              <w:t> </w:t>
            </w:r>
          </w:p>
        </w:tc>
      </w:tr>
      <w:tr>
        <w:trPr/>
        <w:tc>
          <w:tcPr>
            <w:tcW w:w="6623"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74" w:type="dxa"/>
            <w:tcBorders/>
            <w:vAlign w:val="bottom"/>
          </w:tcPr>
          <w:p>
            <w:pPr>
              <w:pStyle w:val="TableContents"/>
              <w:pBdr>
                <w:top w:val="double" w:sz="6" w:space="1" w:color="000000"/>
              </w:pBdr>
              <w:bidi w:val="0"/>
              <w:spacing w:before="0" w:after="0"/>
              <w:jc w:val="left"/>
              <w:rPr/>
            </w:pPr>
            <w:r>
              <w:rPr/>
              <w:t> </w:t>
            </w:r>
          </w:p>
        </w:tc>
        <w:tc>
          <w:tcPr>
            <w:tcW w:w="322"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40"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Studio City International Holdings Limited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Reconciliation of Net Income (Loss) Attributable to Studio City International Holdings Limited to </w:t>
      </w:r>
    </w:p>
    <w:p>
      <w:pPr>
        <w:pStyle w:val="TextBody"/>
        <w:bidi w:val="0"/>
        <w:spacing w:before="0" w:after="0"/>
        <w:jc w:val="center"/>
        <w:rPr>
          <w:rFonts w:ascii="Times New Roman" w:hAnsi="Times New Roman"/>
          <w:b/>
          <w:sz w:val="20"/>
        </w:rPr>
      </w:pPr>
      <w:r>
        <w:rPr>
          <w:rFonts w:ascii="Times New Roman" w:hAnsi="Times New Roman"/>
          <w:b/>
          <w:sz w:val="20"/>
        </w:rPr>
        <w:t xml:space="preserve">Adjusted Net Income (Loss) Attributable to Studio City International Holdings Limited (Unaudited)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share and per share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361"/>
        <w:gridCol w:w="432"/>
        <w:gridCol w:w="140"/>
        <w:gridCol w:w="1220"/>
        <w:gridCol w:w="155"/>
        <w:gridCol w:w="379"/>
        <w:gridCol w:w="140"/>
        <w:gridCol w:w="1220"/>
        <w:gridCol w:w="158"/>
      </w:tblGrid>
      <w:tr>
        <w:trPr/>
        <w:tc>
          <w:tcPr>
            <w:tcW w:w="6361" w:type="dxa"/>
            <w:tcBorders/>
            <w:vAlign w:val="center"/>
          </w:tcPr>
          <w:p>
            <w:pPr>
              <w:pStyle w:val="TableContents"/>
              <w:bidi w:val="0"/>
              <w:spacing w:before="0" w:after="283"/>
              <w:jc w:val="left"/>
              <w:rPr>
                <w:sz w:val="4"/>
                <w:szCs w:val="4"/>
              </w:rPr>
            </w:pPr>
            <w:r>
              <w:rPr>
                <w:sz w:val="4"/>
                <w:szCs w:val="4"/>
              </w:rPr>
            </w:r>
          </w:p>
        </w:tc>
        <w:tc>
          <w:tcPr>
            <w:tcW w:w="43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7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61"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3254" w:type="dxa"/>
            <w:gridSpan w:val="6"/>
            <w:tcBorders/>
            <w:vAlign w:val="bottom"/>
          </w:tcPr>
          <w:p>
            <w:pPr>
              <w:pStyle w:val="TableContents"/>
              <w:bidi w:val="0"/>
              <w:spacing w:before="0" w:after="283"/>
              <w:jc w:val="center"/>
              <w:rPr>
                <w:b/>
              </w:rPr>
            </w:pPr>
            <w:r>
              <w:rPr>
                <w:b/>
              </w:rPr>
              <w:t>Three Months Ended</w:t>
            </w:r>
          </w:p>
        </w:tc>
        <w:tc>
          <w:tcPr>
            <w:tcW w:w="158" w:type="dxa"/>
            <w:tcBorders/>
            <w:vAlign w:val="bottom"/>
          </w:tcPr>
          <w:p>
            <w:pPr>
              <w:pStyle w:val="TableContents"/>
              <w:bidi w:val="0"/>
              <w:spacing w:before="0" w:after="283"/>
              <w:jc w:val="left"/>
              <w:rPr/>
            </w:pPr>
            <w:r>
              <w:rPr/>
              <w:t> </w:t>
            </w:r>
          </w:p>
        </w:tc>
      </w:tr>
      <w:tr>
        <w:trPr/>
        <w:tc>
          <w:tcPr>
            <w:tcW w:w="6361"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3254" w:type="dxa"/>
            <w:gridSpan w:val="6"/>
            <w:tcBorders/>
            <w:vAlign w:val="bottom"/>
          </w:tcPr>
          <w:p>
            <w:pPr>
              <w:pStyle w:val="TableContents"/>
              <w:bidi w:val="0"/>
              <w:spacing w:before="0" w:after="283"/>
              <w:jc w:val="center"/>
              <w:rPr>
                <w:b/>
              </w:rPr>
            </w:pPr>
            <w:r>
              <w:rPr>
                <w:b/>
              </w:rPr>
              <w:t>March 31,</w:t>
            </w:r>
          </w:p>
        </w:tc>
        <w:tc>
          <w:tcPr>
            <w:tcW w:w="158" w:type="dxa"/>
            <w:tcBorders/>
            <w:vAlign w:val="bottom"/>
          </w:tcPr>
          <w:p>
            <w:pPr>
              <w:pStyle w:val="TableContents"/>
              <w:bidi w:val="0"/>
              <w:spacing w:before="0" w:after="283"/>
              <w:jc w:val="left"/>
              <w:rPr/>
            </w:pPr>
            <w:r>
              <w:rPr/>
              <w:t> </w:t>
            </w:r>
          </w:p>
        </w:tc>
      </w:tr>
      <w:tr>
        <w:trPr/>
        <w:tc>
          <w:tcPr>
            <w:tcW w:w="6361"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8" w:type="dxa"/>
            <w:tcBorders/>
            <w:vAlign w:val="bottom"/>
          </w:tcPr>
          <w:p>
            <w:pPr>
              <w:pStyle w:val="TableContents"/>
              <w:bidi w:val="0"/>
              <w:spacing w:before="0" w:after="283"/>
              <w:jc w:val="left"/>
              <w:rPr/>
            </w:pPr>
            <w:r>
              <w:rPr/>
              <w:t> </w:t>
            </w:r>
          </w:p>
        </w:tc>
      </w:tr>
      <w:tr>
        <w:trPr/>
        <w:tc>
          <w:tcPr>
            <w:tcW w:w="63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(loss) attributable to Studio City International Holdings Limited</w:t>
            </w:r>
          </w:p>
        </w:tc>
        <w:tc>
          <w:tcPr>
            <w:tcW w:w="4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2,857</w:t>
            </w:r>
          </w:p>
        </w:tc>
        <w:tc>
          <w:tcPr>
            <w:tcW w:w="155"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(15,973</w:t>
            </w:r>
          </w:p>
        </w:tc>
        <w:tc>
          <w:tcPr>
            <w:tcW w:w="158" w:type="dxa"/>
            <w:tcBorders/>
            <w:shd w:fill="CCEEFF" w:val="clear"/>
            <w:vAlign w:val="bottom"/>
          </w:tcPr>
          <w:p>
            <w:pPr>
              <w:pStyle w:val="TableContents"/>
              <w:bidi w:val="0"/>
              <w:spacing w:before="0" w:after="283"/>
              <w:jc w:val="left"/>
              <w:rPr/>
            </w:pPr>
            <w:r>
              <w:rPr/>
              <w:t>) </w:t>
            </w:r>
          </w:p>
        </w:tc>
      </w:tr>
      <w:tr>
        <w:trPr/>
        <w:tc>
          <w:tcPr>
            <w:tcW w:w="6361" w:type="dxa"/>
            <w:tcBorders/>
          </w:tcPr>
          <w:p>
            <w:pPr>
              <w:pStyle w:val="TableContents"/>
              <w:bidi w:val="0"/>
              <w:spacing w:before="0" w:after="0"/>
              <w:jc w:val="left"/>
              <w:rPr>
                <w:rFonts w:ascii="Times New Roman" w:hAnsi="Times New Roman"/>
                <w:sz w:val="20"/>
              </w:rPr>
            </w:pPr>
            <w:r>
              <w:rPr>
                <w:rFonts w:ascii="Times New Roman" w:hAnsi="Times New Roman"/>
                <w:sz w:val="20"/>
              </w:rPr>
              <w:t>Pre-opening costs</w:t>
            </w:r>
          </w:p>
        </w:tc>
        <w:tc>
          <w:tcPr>
            <w:tcW w:w="4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155</w:t>
            </w:r>
          </w:p>
        </w:tc>
        <w:tc>
          <w:tcPr>
            <w:tcW w:w="158" w:type="dxa"/>
            <w:tcBorders/>
            <w:vAlign w:val="bottom"/>
          </w:tcPr>
          <w:p>
            <w:pPr>
              <w:pStyle w:val="TableContents"/>
              <w:bidi w:val="0"/>
              <w:spacing w:before="0" w:after="283"/>
              <w:jc w:val="left"/>
              <w:rPr/>
            </w:pPr>
            <w:r>
              <w:rPr/>
              <w:t> </w:t>
            </w:r>
          </w:p>
        </w:tc>
      </w:tr>
      <w:tr>
        <w:trPr/>
        <w:tc>
          <w:tcPr>
            <w:tcW w:w="63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charges and other</w:t>
            </w:r>
          </w:p>
        </w:tc>
        <w:tc>
          <w:tcPr>
            <w:tcW w:w="4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202</w:t>
            </w:r>
          </w:p>
        </w:tc>
        <w:tc>
          <w:tcPr>
            <w:tcW w:w="155"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2,006</w:t>
            </w:r>
          </w:p>
        </w:tc>
        <w:tc>
          <w:tcPr>
            <w:tcW w:w="158" w:type="dxa"/>
            <w:tcBorders/>
            <w:shd w:fill="CCEEFF" w:val="clear"/>
            <w:vAlign w:val="bottom"/>
          </w:tcPr>
          <w:p>
            <w:pPr>
              <w:pStyle w:val="TableContents"/>
              <w:bidi w:val="0"/>
              <w:spacing w:before="0" w:after="283"/>
              <w:jc w:val="left"/>
              <w:rPr/>
            </w:pPr>
            <w:r>
              <w:rPr/>
              <w:t> </w:t>
            </w:r>
          </w:p>
        </w:tc>
      </w:tr>
      <w:tr>
        <w:trPr/>
        <w:tc>
          <w:tcPr>
            <w:tcW w:w="6361" w:type="dxa"/>
            <w:tcBorders/>
          </w:tcPr>
          <w:p>
            <w:pPr>
              <w:pStyle w:val="TableContents"/>
              <w:bidi w:val="0"/>
              <w:spacing w:before="0" w:after="0"/>
              <w:jc w:val="left"/>
              <w:rPr>
                <w:rFonts w:ascii="Times New Roman" w:hAnsi="Times New Roman"/>
                <w:sz w:val="20"/>
              </w:rPr>
            </w:pPr>
            <w:r>
              <w:rPr>
                <w:rFonts w:ascii="Times New Roman" w:hAnsi="Times New Roman"/>
                <w:sz w:val="20"/>
              </w:rPr>
              <w:t>Income tax impact on adjustments</w:t>
            </w:r>
          </w:p>
        </w:tc>
        <w:tc>
          <w:tcPr>
            <w:tcW w:w="4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(4</w:t>
            </w:r>
          </w:p>
        </w:tc>
        <w:tc>
          <w:tcPr>
            <w:tcW w:w="155"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(239</w:t>
            </w:r>
          </w:p>
        </w:tc>
        <w:tc>
          <w:tcPr>
            <w:tcW w:w="158" w:type="dxa"/>
            <w:tcBorders/>
            <w:vAlign w:val="bottom"/>
          </w:tcPr>
          <w:p>
            <w:pPr>
              <w:pStyle w:val="TableContents"/>
              <w:bidi w:val="0"/>
              <w:spacing w:before="0" w:after="283"/>
              <w:jc w:val="left"/>
              <w:rPr/>
            </w:pPr>
            <w:r>
              <w:rPr/>
              <w:t>) </w:t>
            </w:r>
          </w:p>
        </w:tc>
      </w:tr>
      <w:tr>
        <w:trPr/>
        <w:tc>
          <w:tcPr>
            <w:tcW w:w="63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Participation interest impact on adjustments</w:t>
            </w:r>
          </w:p>
        </w:tc>
        <w:tc>
          <w:tcPr>
            <w:tcW w:w="4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(17</w:t>
            </w:r>
          </w:p>
        </w:tc>
        <w:tc>
          <w:tcPr>
            <w:tcW w:w="155"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(165</w:t>
            </w:r>
          </w:p>
        </w:tc>
        <w:tc>
          <w:tcPr>
            <w:tcW w:w="158" w:type="dxa"/>
            <w:tcBorders/>
            <w:shd w:fill="CCEEFF" w:val="clear"/>
            <w:vAlign w:val="bottom"/>
          </w:tcPr>
          <w:p>
            <w:pPr>
              <w:pStyle w:val="TableContents"/>
              <w:bidi w:val="0"/>
              <w:spacing w:before="0" w:after="283"/>
              <w:jc w:val="left"/>
              <w:rPr/>
            </w:pPr>
            <w:r>
              <w:rPr/>
              <w:t>) </w:t>
            </w:r>
          </w:p>
        </w:tc>
      </w:tr>
      <w:tr>
        <w:trPr/>
        <w:tc>
          <w:tcPr>
            <w:tcW w:w="6361" w:type="dxa"/>
            <w:tcBorders/>
            <w:vAlign w:val="bottom"/>
          </w:tcPr>
          <w:p>
            <w:pPr>
              <w:pStyle w:val="TableContents"/>
              <w:bidi w:val="0"/>
              <w:spacing w:before="0" w:after="283"/>
              <w:jc w:val="left"/>
              <w:rPr>
                <w:sz w:val="4"/>
                <w:szCs w:val="4"/>
              </w:rPr>
            </w:pPr>
            <w:r>
              <w:rPr>
                <w:sz w:val="4"/>
                <w:szCs w:val="4"/>
              </w:rPr>
            </w:r>
          </w:p>
        </w:tc>
        <w:tc>
          <w:tcPr>
            <w:tcW w:w="43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361" w:type="dxa"/>
            <w:tcBorders/>
          </w:tcPr>
          <w:p>
            <w:pPr>
              <w:pStyle w:val="TableContents"/>
              <w:bidi w:val="0"/>
              <w:spacing w:before="0" w:after="0"/>
              <w:jc w:val="left"/>
              <w:rPr>
                <w:rFonts w:ascii="Times New Roman" w:hAnsi="Times New Roman"/>
                <w:sz w:val="20"/>
              </w:rPr>
            </w:pPr>
            <w:r>
              <w:rPr>
                <w:rFonts w:ascii="Times New Roman" w:hAnsi="Times New Roman"/>
                <w:sz w:val="20"/>
              </w:rPr>
              <w:t>Adjusted net income (loss) attributable to Studio City International Holdings Limited</w:t>
            </w:r>
          </w:p>
        </w:tc>
        <w:tc>
          <w:tcPr>
            <w:tcW w:w="4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3,039</w:t>
            </w:r>
          </w:p>
        </w:tc>
        <w:tc>
          <w:tcPr>
            <w:tcW w:w="155"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(14,216</w:t>
            </w:r>
          </w:p>
        </w:tc>
        <w:tc>
          <w:tcPr>
            <w:tcW w:w="158" w:type="dxa"/>
            <w:tcBorders/>
            <w:vAlign w:val="bottom"/>
          </w:tcPr>
          <w:p>
            <w:pPr>
              <w:pStyle w:val="TableContents"/>
              <w:bidi w:val="0"/>
              <w:spacing w:before="0" w:after="283"/>
              <w:jc w:val="left"/>
              <w:rPr/>
            </w:pPr>
            <w:r>
              <w:rPr/>
              <w:t>) </w:t>
            </w:r>
          </w:p>
        </w:tc>
      </w:tr>
      <w:tr>
        <w:trPr/>
        <w:tc>
          <w:tcPr>
            <w:tcW w:w="6361" w:type="dxa"/>
            <w:tcBorders/>
            <w:vAlign w:val="bottom"/>
          </w:tcPr>
          <w:p>
            <w:pPr>
              <w:pStyle w:val="TableContents"/>
              <w:bidi w:val="0"/>
              <w:spacing w:before="0" w:after="283"/>
              <w:jc w:val="left"/>
              <w:rPr>
                <w:sz w:val="4"/>
                <w:szCs w:val="4"/>
              </w:rPr>
            </w:pPr>
            <w:r>
              <w:rPr>
                <w:sz w:val="4"/>
                <w:szCs w:val="4"/>
              </w:rPr>
            </w:r>
          </w:p>
        </w:tc>
        <w:tc>
          <w:tcPr>
            <w:tcW w:w="43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3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net income (loss) attributable to Studio City International Holdings Limited per Class A ordinary share:</w:t>
            </w:r>
          </w:p>
        </w:tc>
        <w:tc>
          <w:tcPr>
            <w:tcW w:w="4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361" w:type="dxa"/>
            <w:tcBorders/>
          </w:tcPr>
          <w:p>
            <w:pPr>
              <w:pStyle w:val="TableContents"/>
              <w:bidi w:val="0"/>
              <w:spacing w:before="0" w:after="0"/>
              <w:jc w:val="left"/>
              <w:rPr>
                <w:rFonts w:ascii="Times New Roman" w:hAnsi="Times New Roman"/>
                <w:sz w:val="20"/>
              </w:rPr>
            </w:pPr>
            <w:r>
              <w:rPr>
                <w:rFonts w:ascii="Times New Roman" w:hAnsi="Times New Roman"/>
                <w:sz w:val="20"/>
              </w:rPr>
              <w:t>Basic and diluted</w:t>
            </w:r>
          </w:p>
        </w:tc>
        <w:tc>
          <w:tcPr>
            <w:tcW w:w="4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0.004</w:t>
            </w:r>
          </w:p>
        </w:tc>
        <w:tc>
          <w:tcPr>
            <w:tcW w:w="155"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(0.018</w:t>
            </w:r>
          </w:p>
        </w:tc>
        <w:tc>
          <w:tcPr>
            <w:tcW w:w="158" w:type="dxa"/>
            <w:tcBorders/>
            <w:vAlign w:val="bottom"/>
          </w:tcPr>
          <w:p>
            <w:pPr>
              <w:pStyle w:val="TableContents"/>
              <w:bidi w:val="0"/>
              <w:spacing w:before="0" w:after="283"/>
              <w:jc w:val="left"/>
              <w:rPr/>
            </w:pPr>
            <w:r>
              <w:rPr/>
              <w:t>) </w:t>
            </w:r>
          </w:p>
        </w:tc>
      </w:tr>
      <w:tr>
        <w:trPr/>
        <w:tc>
          <w:tcPr>
            <w:tcW w:w="6361" w:type="dxa"/>
            <w:tcBorders/>
            <w:vAlign w:val="bottom"/>
          </w:tcPr>
          <w:p>
            <w:pPr>
              <w:pStyle w:val="TableContents"/>
              <w:bidi w:val="0"/>
              <w:spacing w:before="0" w:after="283"/>
              <w:jc w:val="left"/>
              <w:rPr>
                <w:sz w:val="4"/>
                <w:szCs w:val="4"/>
              </w:rPr>
            </w:pPr>
            <w:r>
              <w:rPr>
                <w:sz w:val="4"/>
                <w:szCs w:val="4"/>
              </w:rPr>
            </w:r>
          </w:p>
        </w:tc>
        <w:tc>
          <w:tcPr>
            <w:tcW w:w="43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3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net income (loss) attributable to Studio City International Holdings Limited per ADS:</w:t>
            </w:r>
          </w:p>
        </w:tc>
        <w:tc>
          <w:tcPr>
            <w:tcW w:w="4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361" w:type="dxa"/>
            <w:tcBorders/>
          </w:tcPr>
          <w:p>
            <w:pPr>
              <w:pStyle w:val="TableContents"/>
              <w:bidi w:val="0"/>
              <w:spacing w:before="0" w:after="0"/>
              <w:jc w:val="left"/>
              <w:rPr>
                <w:rFonts w:ascii="Times New Roman" w:hAnsi="Times New Roman"/>
                <w:sz w:val="20"/>
              </w:rPr>
            </w:pPr>
            <w:r>
              <w:rPr>
                <w:rFonts w:ascii="Times New Roman" w:hAnsi="Times New Roman"/>
                <w:sz w:val="20"/>
              </w:rPr>
              <w:t>Basic and diluted</w:t>
            </w:r>
          </w:p>
        </w:tc>
        <w:tc>
          <w:tcPr>
            <w:tcW w:w="4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0.016</w:t>
            </w:r>
          </w:p>
        </w:tc>
        <w:tc>
          <w:tcPr>
            <w:tcW w:w="155"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(0.074</w:t>
            </w:r>
          </w:p>
        </w:tc>
        <w:tc>
          <w:tcPr>
            <w:tcW w:w="158" w:type="dxa"/>
            <w:tcBorders/>
            <w:vAlign w:val="bottom"/>
          </w:tcPr>
          <w:p>
            <w:pPr>
              <w:pStyle w:val="TableContents"/>
              <w:bidi w:val="0"/>
              <w:spacing w:before="0" w:after="283"/>
              <w:jc w:val="left"/>
              <w:rPr/>
            </w:pPr>
            <w:r>
              <w:rPr/>
              <w:t>) </w:t>
            </w:r>
          </w:p>
        </w:tc>
      </w:tr>
      <w:tr>
        <w:trPr/>
        <w:tc>
          <w:tcPr>
            <w:tcW w:w="6361" w:type="dxa"/>
            <w:tcBorders/>
            <w:vAlign w:val="bottom"/>
          </w:tcPr>
          <w:p>
            <w:pPr>
              <w:pStyle w:val="TableContents"/>
              <w:bidi w:val="0"/>
              <w:spacing w:before="0" w:after="283"/>
              <w:jc w:val="left"/>
              <w:rPr>
                <w:sz w:val="4"/>
                <w:szCs w:val="4"/>
              </w:rPr>
            </w:pPr>
            <w:r>
              <w:rPr>
                <w:sz w:val="4"/>
                <w:szCs w:val="4"/>
              </w:rPr>
            </w:r>
          </w:p>
        </w:tc>
        <w:tc>
          <w:tcPr>
            <w:tcW w:w="43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3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Class A ordinary shares outstanding used in adjusted net income (loss) attributable to Studio City International Holdings Limited per Class A ordinary share calculation:</w:t>
            </w:r>
          </w:p>
        </w:tc>
        <w:tc>
          <w:tcPr>
            <w:tcW w:w="4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361" w:type="dxa"/>
            <w:tcBorders/>
          </w:tcPr>
          <w:p>
            <w:pPr>
              <w:pStyle w:val="TableContents"/>
              <w:bidi w:val="0"/>
              <w:spacing w:before="0" w:after="0"/>
              <w:jc w:val="left"/>
              <w:rPr>
                <w:rFonts w:ascii="Times New Roman" w:hAnsi="Times New Roman"/>
                <w:sz w:val="20"/>
              </w:rPr>
            </w:pPr>
            <w:r>
              <w:rPr>
                <w:rFonts w:ascii="Times New Roman" w:hAnsi="Times New Roman"/>
                <w:sz w:val="20"/>
              </w:rPr>
              <w:t>Basic and diluted</w:t>
            </w:r>
          </w:p>
        </w:tc>
        <w:tc>
          <w:tcPr>
            <w:tcW w:w="4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770,352,700</w:t>
            </w:r>
          </w:p>
        </w:tc>
        <w:tc>
          <w:tcPr>
            <w:tcW w:w="155"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770,352,700</w:t>
            </w:r>
          </w:p>
        </w:tc>
        <w:tc>
          <w:tcPr>
            <w:tcW w:w="158" w:type="dxa"/>
            <w:tcBorders/>
            <w:vAlign w:val="bottom"/>
          </w:tcPr>
          <w:p>
            <w:pPr>
              <w:pStyle w:val="TableContents"/>
              <w:bidi w:val="0"/>
              <w:spacing w:before="0" w:after="283"/>
              <w:jc w:val="left"/>
              <w:rPr/>
            </w:pPr>
            <w:r>
              <w:rPr/>
              <w:t> </w:t>
            </w:r>
          </w:p>
        </w:tc>
      </w:tr>
      <w:tr>
        <w:trPr/>
        <w:tc>
          <w:tcPr>
            <w:tcW w:w="6361" w:type="dxa"/>
            <w:tcBorders/>
            <w:vAlign w:val="bottom"/>
          </w:tcPr>
          <w:p>
            <w:pPr>
              <w:pStyle w:val="TableContents"/>
              <w:bidi w:val="0"/>
              <w:spacing w:before="0" w:after="283"/>
              <w:jc w:val="left"/>
              <w:rPr>
                <w:sz w:val="4"/>
                <w:szCs w:val="4"/>
              </w:rPr>
            </w:pPr>
            <w:r>
              <w:rPr>
                <w:sz w:val="4"/>
                <w:szCs w:val="4"/>
              </w:rPr>
            </w:r>
          </w:p>
        </w:tc>
        <w:tc>
          <w:tcPr>
            <w:tcW w:w="43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Studio City International Holdings Limited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Reconciliation of Operating Income to Adjusted EBITDA (Unaudited)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115"/>
        <w:gridCol w:w="232"/>
        <w:gridCol w:w="140"/>
        <w:gridCol w:w="1503"/>
        <w:gridCol w:w="324"/>
        <w:gridCol w:w="184"/>
        <w:gridCol w:w="140"/>
        <w:gridCol w:w="1503"/>
        <w:gridCol w:w="64"/>
      </w:tblGrid>
      <w:tr>
        <w:trPr/>
        <w:tc>
          <w:tcPr>
            <w:tcW w:w="6115" w:type="dxa"/>
            <w:tcBorders/>
            <w:vAlign w:val="center"/>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6115"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3794" w:type="dxa"/>
            <w:gridSpan w:val="6"/>
            <w:tcBorders/>
            <w:vAlign w:val="bottom"/>
          </w:tcPr>
          <w:p>
            <w:pPr>
              <w:pStyle w:val="TableContents"/>
              <w:bidi w:val="0"/>
              <w:spacing w:before="0" w:after="283"/>
              <w:jc w:val="center"/>
              <w:rPr>
                <w:b/>
              </w:rPr>
            </w:pPr>
            <w:r>
              <w:rPr>
                <w:b/>
              </w:rPr>
              <w:t>Three Months Ended</w:t>
            </w:r>
          </w:p>
        </w:tc>
        <w:tc>
          <w:tcPr>
            <w:tcW w:w="64" w:type="dxa"/>
            <w:tcBorders/>
            <w:vAlign w:val="bottom"/>
          </w:tcPr>
          <w:p>
            <w:pPr>
              <w:pStyle w:val="TableContents"/>
              <w:bidi w:val="0"/>
              <w:spacing w:before="0" w:after="283"/>
              <w:jc w:val="left"/>
              <w:rPr/>
            </w:pPr>
            <w:r>
              <w:rPr/>
              <w:t> </w:t>
            </w:r>
          </w:p>
        </w:tc>
      </w:tr>
      <w:tr>
        <w:trPr/>
        <w:tc>
          <w:tcPr>
            <w:tcW w:w="6115"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3794" w:type="dxa"/>
            <w:gridSpan w:val="6"/>
            <w:tcBorders/>
            <w:vAlign w:val="bottom"/>
          </w:tcPr>
          <w:p>
            <w:pPr>
              <w:pStyle w:val="TableContents"/>
              <w:bidi w:val="0"/>
              <w:spacing w:before="0" w:after="283"/>
              <w:jc w:val="center"/>
              <w:rPr>
                <w:b/>
              </w:rPr>
            </w:pPr>
            <w:r>
              <w:rPr>
                <w:b/>
              </w:rPr>
              <w:t>March 31,</w:t>
            </w:r>
          </w:p>
        </w:tc>
        <w:tc>
          <w:tcPr>
            <w:tcW w:w="64" w:type="dxa"/>
            <w:tcBorders/>
            <w:vAlign w:val="bottom"/>
          </w:tcPr>
          <w:p>
            <w:pPr>
              <w:pStyle w:val="TableContents"/>
              <w:bidi w:val="0"/>
              <w:spacing w:before="0" w:after="283"/>
              <w:jc w:val="left"/>
              <w:rPr/>
            </w:pPr>
            <w:r>
              <w:rPr/>
              <w:t> </w:t>
            </w:r>
          </w:p>
        </w:tc>
      </w:tr>
      <w:tr>
        <w:trPr/>
        <w:tc>
          <w:tcPr>
            <w:tcW w:w="6115"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6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32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6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4" w:type="dxa"/>
            <w:tcBorders/>
            <w:vAlign w:val="bottom"/>
          </w:tcPr>
          <w:p>
            <w:pPr>
              <w:pStyle w:val="TableContents"/>
              <w:bidi w:val="0"/>
              <w:spacing w:before="0" w:after="283"/>
              <w:jc w:val="left"/>
              <w:rPr/>
            </w:pPr>
            <w:r>
              <w:rPr/>
              <w:t> </w:t>
            </w:r>
          </w:p>
        </w:tc>
      </w:tr>
      <w:tr>
        <w:trPr/>
        <w:tc>
          <w:tcPr>
            <w:tcW w:w="61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2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503" w:type="dxa"/>
            <w:tcBorders/>
            <w:shd w:fill="CCEEFF" w:val="clear"/>
            <w:vAlign w:val="bottom"/>
          </w:tcPr>
          <w:p>
            <w:pPr>
              <w:pStyle w:val="TableContents"/>
              <w:bidi w:val="0"/>
              <w:spacing w:before="0" w:after="283"/>
              <w:jc w:val="right"/>
              <w:rPr/>
            </w:pPr>
            <w:r>
              <w:rPr/>
              <w:t>28,037</w:t>
            </w:r>
          </w:p>
        </w:tc>
        <w:tc>
          <w:tcPr>
            <w:tcW w:w="32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503" w:type="dxa"/>
            <w:tcBorders/>
            <w:shd w:fill="CCEEFF" w:val="clear"/>
            <w:vAlign w:val="bottom"/>
          </w:tcPr>
          <w:p>
            <w:pPr>
              <w:pStyle w:val="TableContents"/>
              <w:bidi w:val="0"/>
              <w:spacing w:before="0" w:after="283"/>
              <w:jc w:val="right"/>
              <w:rPr/>
            </w:pPr>
            <w:r>
              <w:rPr/>
              <w:t>15,270</w:t>
            </w:r>
          </w:p>
        </w:tc>
        <w:tc>
          <w:tcPr>
            <w:tcW w:w="64" w:type="dxa"/>
            <w:tcBorders/>
            <w:shd w:fill="CCEEFF" w:val="clear"/>
            <w:vAlign w:val="bottom"/>
          </w:tcPr>
          <w:p>
            <w:pPr>
              <w:pStyle w:val="TableContents"/>
              <w:bidi w:val="0"/>
              <w:spacing w:before="0" w:after="283"/>
              <w:jc w:val="left"/>
              <w:rPr/>
            </w:pPr>
            <w:r>
              <w:rPr/>
              <w:t> </w:t>
            </w:r>
          </w:p>
        </w:tc>
      </w:tr>
      <w:tr>
        <w:trPr/>
        <w:tc>
          <w:tcPr>
            <w:tcW w:w="6115" w:type="dxa"/>
            <w:tcBorders/>
          </w:tcPr>
          <w:p>
            <w:pPr>
              <w:pStyle w:val="TableContents"/>
              <w:bidi w:val="0"/>
              <w:spacing w:before="0" w:after="0"/>
              <w:jc w:val="left"/>
              <w:rPr>
                <w:rFonts w:ascii="Times New Roman" w:hAnsi="Times New Roman"/>
                <w:sz w:val="20"/>
              </w:rPr>
            </w:pPr>
            <w:r>
              <w:rPr>
                <w:rFonts w:ascii="Times New Roman" w:hAnsi="Times New Roman"/>
                <w:sz w:val="20"/>
              </w:rPr>
              <w:t>Pre-opening costs</w:t>
            </w:r>
          </w:p>
        </w:tc>
        <w:tc>
          <w:tcPr>
            <w:tcW w:w="2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503" w:type="dxa"/>
            <w:tcBorders/>
            <w:vAlign w:val="bottom"/>
          </w:tcPr>
          <w:p>
            <w:pPr>
              <w:pStyle w:val="TableContents"/>
              <w:bidi w:val="0"/>
              <w:spacing w:before="0" w:after="283"/>
              <w:jc w:val="right"/>
              <w:rPr/>
            </w:pPr>
            <w:r>
              <w:rPr/>
              <w:t>1</w:t>
            </w:r>
          </w:p>
        </w:tc>
        <w:tc>
          <w:tcPr>
            <w:tcW w:w="32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503" w:type="dxa"/>
            <w:tcBorders/>
            <w:vAlign w:val="bottom"/>
          </w:tcPr>
          <w:p>
            <w:pPr>
              <w:pStyle w:val="TableContents"/>
              <w:bidi w:val="0"/>
              <w:spacing w:before="0" w:after="283"/>
              <w:jc w:val="right"/>
              <w:rPr/>
            </w:pPr>
            <w:r>
              <w:rPr/>
              <w:t>155</w:t>
            </w:r>
          </w:p>
        </w:tc>
        <w:tc>
          <w:tcPr>
            <w:tcW w:w="64" w:type="dxa"/>
            <w:tcBorders/>
            <w:vAlign w:val="bottom"/>
          </w:tcPr>
          <w:p>
            <w:pPr>
              <w:pStyle w:val="TableContents"/>
              <w:bidi w:val="0"/>
              <w:spacing w:before="0" w:after="283"/>
              <w:jc w:val="left"/>
              <w:rPr/>
            </w:pPr>
            <w:r>
              <w:rPr/>
              <w:t> </w:t>
            </w:r>
          </w:p>
        </w:tc>
      </w:tr>
      <w:tr>
        <w:trPr/>
        <w:tc>
          <w:tcPr>
            <w:tcW w:w="61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2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503" w:type="dxa"/>
            <w:tcBorders/>
            <w:shd w:fill="CCEEFF" w:val="clear"/>
            <w:vAlign w:val="bottom"/>
          </w:tcPr>
          <w:p>
            <w:pPr>
              <w:pStyle w:val="TableContents"/>
              <w:bidi w:val="0"/>
              <w:spacing w:before="0" w:after="283"/>
              <w:jc w:val="right"/>
              <w:rPr/>
            </w:pPr>
            <w:r>
              <w:rPr/>
              <w:t>51,798</w:t>
            </w:r>
          </w:p>
        </w:tc>
        <w:tc>
          <w:tcPr>
            <w:tcW w:w="32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503" w:type="dxa"/>
            <w:tcBorders/>
            <w:shd w:fill="CCEEFF" w:val="clear"/>
            <w:vAlign w:val="bottom"/>
          </w:tcPr>
          <w:p>
            <w:pPr>
              <w:pStyle w:val="TableContents"/>
              <w:bidi w:val="0"/>
              <w:spacing w:before="0" w:after="283"/>
              <w:jc w:val="right"/>
              <w:rPr/>
            </w:pPr>
            <w:r>
              <w:rPr/>
              <w:t>52,480</w:t>
            </w:r>
          </w:p>
        </w:tc>
        <w:tc>
          <w:tcPr>
            <w:tcW w:w="64" w:type="dxa"/>
            <w:tcBorders/>
            <w:shd w:fill="CCEEFF" w:val="clear"/>
            <w:vAlign w:val="bottom"/>
          </w:tcPr>
          <w:p>
            <w:pPr>
              <w:pStyle w:val="TableContents"/>
              <w:bidi w:val="0"/>
              <w:spacing w:before="0" w:after="283"/>
              <w:jc w:val="left"/>
              <w:rPr/>
            </w:pPr>
            <w:r>
              <w:rPr/>
              <w:t> </w:t>
            </w:r>
          </w:p>
        </w:tc>
      </w:tr>
      <w:tr>
        <w:trPr/>
        <w:tc>
          <w:tcPr>
            <w:tcW w:w="6115" w:type="dxa"/>
            <w:tcBorders/>
          </w:tcPr>
          <w:p>
            <w:pPr>
              <w:pStyle w:val="TableContents"/>
              <w:bidi w:val="0"/>
              <w:spacing w:before="0" w:after="0"/>
              <w:jc w:val="left"/>
              <w:rPr>
                <w:rFonts w:ascii="Times New Roman" w:hAnsi="Times New Roman"/>
                <w:sz w:val="20"/>
              </w:rPr>
            </w:pPr>
            <w:r>
              <w:rPr>
                <w:rFonts w:ascii="Times New Roman" w:hAnsi="Times New Roman"/>
                <w:sz w:val="20"/>
              </w:rPr>
              <w:t>Property charges and other</w:t>
            </w:r>
          </w:p>
        </w:tc>
        <w:tc>
          <w:tcPr>
            <w:tcW w:w="2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503" w:type="dxa"/>
            <w:tcBorders/>
            <w:vAlign w:val="bottom"/>
          </w:tcPr>
          <w:p>
            <w:pPr>
              <w:pStyle w:val="TableContents"/>
              <w:bidi w:val="0"/>
              <w:spacing w:before="0" w:after="283"/>
              <w:jc w:val="right"/>
              <w:rPr/>
            </w:pPr>
            <w:r>
              <w:rPr/>
              <w:t>202</w:t>
            </w:r>
          </w:p>
        </w:tc>
        <w:tc>
          <w:tcPr>
            <w:tcW w:w="32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503" w:type="dxa"/>
            <w:tcBorders/>
            <w:vAlign w:val="bottom"/>
          </w:tcPr>
          <w:p>
            <w:pPr>
              <w:pStyle w:val="TableContents"/>
              <w:bidi w:val="0"/>
              <w:spacing w:before="0" w:after="283"/>
              <w:jc w:val="right"/>
              <w:rPr/>
            </w:pPr>
            <w:r>
              <w:rPr/>
              <w:t>2,006</w:t>
            </w:r>
          </w:p>
        </w:tc>
        <w:tc>
          <w:tcPr>
            <w:tcW w:w="64" w:type="dxa"/>
            <w:tcBorders/>
            <w:vAlign w:val="bottom"/>
          </w:tcPr>
          <w:p>
            <w:pPr>
              <w:pStyle w:val="TableContents"/>
              <w:bidi w:val="0"/>
              <w:spacing w:before="0" w:after="283"/>
              <w:jc w:val="left"/>
              <w:rPr/>
            </w:pPr>
            <w:r>
              <w:rPr/>
              <w:t> </w:t>
            </w:r>
          </w:p>
        </w:tc>
      </w:tr>
      <w:tr>
        <w:trPr/>
        <w:tc>
          <w:tcPr>
            <w:tcW w:w="6115" w:type="dxa"/>
            <w:tcBorders/>
            <w:vAlign w:val="bottom"/>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503" w:type="dxa"/>
            <w:tcBorders/>
            <w:vAlign w:val="bottom"/>
          </w:tcPr>
          <w:p>
            <w:pPr>
              <w:pStyle w:val="TableContents"/>
              <w:pBdr>
                <w:top w:val="single" w:sz="2" w:space="1" w:color="000000"/>
              </w:pBdr>
              <w:bidi w:val="0"/>
              <w:spacing w:before="0" w:after="0"/>
              <w:jc w:val="left"/>
              <w:rPr/>
            </w:pPr>
            <w:r>
              <w:rPr/>
              <w:t> </w:t>
            </w:r>
          </w:p>
        </w:tc>
        <w:tc>
          <w:tcPr>
            <w:tcW w:w="324"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503"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61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EBITDA</w:t>
            </w:r>
          </w:p>
        </w:tc>
        <w:tc>
          <w:tcPr>
            <w:tcW w:w="2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503" w:type="dxa"/>
            <w:tcBorders/>
            <w:shd w:fill="CCEEFF" w:val="clear"/>
            <w:vAlign w:val="bottom"/>
          </w:tcPr>
          <w:p>
            <w:pPr>
              <w:pStyle w:val="TableContents"/>
              <w:bidi w:val="0"/>
              <w:spacing w:before="0" w:after="283"/>
              <w:jc w:val="right"/>
              <w:rPr/>
            </w:pPr>
            <w:r>
              <w:rPr/>
              <w:t>   </w:t>
            </w:r>
            <w:r>
              <w:rPr/>
              <w:t>80,038</w:t>
            </w:r>
          </w:p>
        </w:tc>
        <w:tc>
          <w:tcPr>
            <w:tcW w:w="32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503" w:type="dxa"/>
            <w:tcBorders/>
            <w:shd w:fill="CCEEFF" w:val="clear"/>
            <w:vAlign w:val="bottom"/>
          </w:tcPr>
          <w:p>
            <w:pPr>
              <w:pStyle w:val="TableContents"/>
              <w:bidi w:val="0"/>
              <w:spacing w:before="0" w:after="283"/>
              <w:jc w:val="right"/>
              <w:rPr/>
            </w:pPr>
            <w:r>
              <w:rPr/>
              <w:t>   </w:t>
            </w:r>
            <w:r>
              <w:rPr/>
              <w:t>69,911</w:t>
            </w:r>
          </w:p>
        </w:tc>
        <w:tc>
          <w:tcPr>
            <w:tcW w:w="64" w:type="dxa"/>
            <w:tcBorders/>
            <w:shd w:fill="CCEEFF" w:val="clear"/>
            <w:vAlign w:val="bottom"/>
          </w:tcPr>
          <w:p>
            <w:pPr>
              <w:pStyle w:val="TableContents"/>
              <w:bidi w:val="0"/>
              <w:spacing w:before="0" w:after="283"/>
              <w:jc w:val="left"/>
              <w:rPr/>
            </w:pPr>
            <w:r>
              <w:rPr/>
              <w:t> </w:t>
            </w:r>
          </w:p>
        </w:tc>
      </w:tr>
      <w:tr>
        <w:trPr/>
        <w:tc>
          <w:tcPr>
            <w:tcW w:w="6115" w:type="dxa"/>
            <w:tcBorders/>
            <w:vAlign w:val="bottom"/>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503" w:type="dxa"/>
            <w:tcBorders/>
            <w:vAlign w:val="bottom"/>
          </w:tcPr>
          <w:p>
            <w:pPr>
              <w:pStyle w:val="TableContents"/>
              <w:pBdr>
                <w:top w:val="double" w:sz="6" w:space="1" w:color="000000"/>
              </w:pBdr>
              <w:bidi w:val="0"/>
              <w:spacing w:before="0" w:after="0"/>
              <w:jc w:val="left"/>
              <w:rPr/>
            </w:pPr>
            <w:r>
              <w:rPr/>
              <w:t> </w:t>
            </w:r>
          </w:p>
        </w:tc>
        <w:tc>
          <w:tcPr>
            <w:tcW w:w="324"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503"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Studio City International Holdings Limited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Reconciliation of Net Income (Loss) Attributable to Studio City International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to Adjusted EBITDA (Unaudited)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056"/>
        <w:gridCol w:w="228"/>
        <w:gridCol w:w="140"/>
        <w:gridCol w:w="1490"/>
        <w:gridCol w:w="322"/>
        <w:gridCol w:w="180"/>
        <w:gridCol w:w="140"/>
        <w:gridCol w:w="1490"/>
        <w:gridCol w:w="159"/>
      </w:tblGrid>
      <w:tr>
        <w:trPr/>
        <w:tc>
          <w:tcPr>
            <w:tcW w:w="6056" w:type="dxa"/>
            <w:tcBorders/>
            <w:vAlign w:val="center"/>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56"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3762" w:type="dxa"/>
            <w:gridSpan w:val="6"/>
            <w:tcBorders/>
            <w:vAlign w:val="bottom"/>
          </w:tcPr>
          <w:p>
            <w:pPr>
              <w:pStyle w:val="TableContents"/>
              <w:bidi w:val="0"/>
              <w:spacing w:before="0" w:after="283"/>
              <w:jc w:val="center"/>
              <w:rPr>
                <w:b/>
              </w:rPr>
            </w:pPr>
            <w:r>
              <w:rPr>
                <w:b/>
              </w:rPr>
              <w:t>Three Months Ended</w:t>
            </w:r>
          </w:p>
        </w:tc>
        <w:tc>
          <w:tcPr>
            <w:tcW w:w="159" w:type="dxa"/>
            <w:tcBorders/>
            <w:vAlign w:val="bottom"/>
          </w:tcPr>
          <w:p>
            <w:pPr>
              <w:pStyle w:val="TableContents"/>
              <w:bidi w:val="0"/>
              <w:spacing w:before="0" w:after="283"/>
              <w:jc w:val="left"/>
              <w:rPr/>
            </w:pPr>
            <w:r>
              <w:rPr/>
              <w:t> </w:t>
            </w:r>
          </w:p>
        </w:tc>
      </w:tr>
      <w:tr>
        <w:trPr/>
        <w:tc>
          <w:tcPr>
            <w:tcW w:w="6056"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3762" w:type="dxa"/>
            <w:gridSpan w:val="6"/>
            <w:tcBorders/>
            <w:vAlign w:val="bottom"/>
          </w:tcPr>
          <w:p>
            <w:pPr>
              <w:pStyle w:val="TableContents"/>
              <w:bidi w:val="0"/>
              <w:spacing w:before="0" w:after="283"/>
              <w:jc w:val="center"/>
              <w:rPr>
                <w:b/>
              </w:rPr>
            </w:pPr>
            <w:r>
              <w:rPr>
                <w:b/>
              </w:rPr>
              <w:t>March 31,</w:t>
            </w:r>
          </w:p>
        </w:tc>
        <w:tc>
          <w:tcPr>
            <w:tcW w:w="159" w:type="dxa"/>
            <w:tcBorders/>
            <w:vAlign w:val="bottom"/>
          </w:tcPr>
          <w:p>
            <w:pPr>
              <w:pStyle w:val="TableContents"/>
              <w:bidi w:val="0"/>
              <w:spacing w:before="0" w:after="283"/>
              <w:jc w:val="left"/>
              <w:rPr/>
            </w:pPr>
            <w:r>
              <w:rPr/>
              <w:t> </w:t>
            </w:r>
          </w:p>
        </w:tc>
      </w:tr>
      <w:tr>
        <w:trPr/>
        <w:tc>
          <w:tcPr>
            <w:tcW w:w="6056"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6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322"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6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9" w:type="dxa"/>
            <w:tcBorders/>
            <w:vAlign w:val="bottom"/>
          </w:tcPr>
          <w:p>
            <w:pPr>
              <w:pStyle w:val="TableContents"/>
              <w:bidi w:val="0"/>
              <w:spacing w:before="0" w:after="283"/>
              <w:jc w:val="left"/>
              <w:rPr/>
            </w:pPr>
            <w:r>
              <w:rPr/>
              <w:t> </w:t>
            </w:r>
          </w:p>
        </w:tc>
      </w:tr>
      <w:tr>
        <w:trPr/>
        <w:tc>
          <w:tcPr>
            <w:tcW w:w="60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(loss) attributable to Studio City International Holdings Limited</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90" w:type="dxa"/>
            <w:tcBorders/>
            <w:shd w:fill="CCEEFF" w:val="clear"/>
            <w:vAlign w:val="bottom"/>
          </w:tcPr>
          <w:p>
            <w:pPr>
              <w:pStyle w:val="TableContents"/>
              <w:bidi w:val="0"/>
              <w:spacing w:before="0" w:after="283"/>
              <w:jc w:val="right"/>
              <w:rPr/>
            </w:pPr>
            <w:r>
              <w:rPr/>
              <w:t>2,857</w:t>
            </w:r>
          </w:p>
        </w:tc>
        <w:tc>
          <w:tcPr>
            <w:tcW w:w="322"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90" w:type="dxa"/>
            <w:tcBorders/>
            <w:shd w:fill="CCEEFF" w:val="clear"/>
            <w:vAlign w:val="bottom"/>
          </w:tcPr>
          <w:p>
            <w:pPr>
              <w:pStyle w:val="TableContents"/>
              <w:bidi w:val="0"/>
              <w:spacing w:before="0" w:after="283"/>
              <w:jc w:val="right"/>
              <w:rPr/>
            </w:pPr>
            <w:r>
              <w:rPr/>
              <w:t>(15,973</w:t>
            </w:r>
          </w:p>
        </w:tc>
        <w:tc>
          <w:tcPr>
            <w:tcW w:w="159" w:type="dxa"/>
            <w:tcBorders/>
            <w:shd w:fill="CCEEFF" w:val="clear"/>
            <w:vAlign w:val="bottom"/>
          </w:tcPr>
          <w:p>
            <w:pPr>
              <w:pStyle w:val="TableContents"/>
              <w:bidi w:val="0"/>
              <w:spacing w:before="0" w:after="283"/>
              <w:jc w:val="left"/>
              <w:rPr/>
            </w:pPr>
            <w:r>
              <w:rPr/>
              <w:t>) </w:t>
            </w:r>
          </w:p>
        </w:tc>
      </w:tr>
      <w:tr>
        <w:trPr/>
        <w:tc>
          <w:tcPr>
            <w:tcW w:w="6056" w:type="dxa"/>
            <w:tcBorders/>
          </w:tcPr>
          <w:p>
            <w:pPr>
              <w:pStyle w:val="TableContents"/>
              <w:bidi w:val="0"/>
              <w:spacing w:before="0" w:after="0"/>
              <w:jc w:val="left"/>
              <w:rPr>
                <w:rFonts w:ascii="Times New Roman" w:hAnsi="Times New Roman"/>
                <w:sz w:val="20"/>
              </w:rPr>
            </w:pPr>
            <w:r>
              <w:rPr>
                <w:rFonts w:ascii="Times New Roman" w:hAnsi="Times New Roman"/>
                <w:sz w:val="20"/>
              </w:rPr>
              <w:t>Net income (loss) attributable to participation interest</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90" w:type="dxa"/>
            <w:tcBorders/>
            <w:vAlign w:val="bottom"/>
          </w:tcPr>
          <w:p>
            <w:pPr>
              <w:pStyle w:val="TableContents"/>
              <w:bidi w:val="0"/>
              <w:spacing w:before="0" w:after="283"/>
              <w:jc w:val="right"/>
              <w:rPr/>
            </w:pPr>
            <w:r>
              <w:rPr/>
              <w:t>270</w:t>
            </w:r>
          </w:p>
        </w:tc>
        <w:tc>
          <w:tcPr>
            <w:tcW w:w="322"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90" w:type="dxa"/>
            <w:tcBorders/>
            <w:vAlign w:val="bottom"/>
          </w:tcPr>
          <w:p>
            <w:pPr>
              <w:pStyle w:val="TableContents"/>
              <w:bidi w:val="0"/>
              <w:spacing w:before="0" w:after="283"/>
              <w:jc w:val="right"/>
              <w:rPr/>
            </w:pPr>
            <w:r>
              <w:rPr/>
              <w:t>(1,503</w:t>
            </w:r>
          </w:p>
        </w:tc>
        <w:tc>
          <w:tcPr>
            <w:tcW w:w="159" w:type="dxa"/>
            <w:tcBorders/>
            <w:vAlign w:val="bottom"/>
          </w:tcPr>
          <w:p>
            <w:pPr>
              <w:pStyle w:val="TableContents"/>
              <w:bidi w:val="0"/>
              <w:spacing w:before="0" w:after="283"/>
              <w:jc w:val="left"/>
              <w:rPr/>
            </w:pPr>
            <w:r>
              <w:rPr/>
              <w:t>) </w:t>
            </w:r>
          </w:p>
        </w:tc>
      </w:tr>
      <w:tr>
        <w:trPr/>
        <w:tc>
          <w:tcPr>
            <w:tcW w:w="6056"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90" w:type="dxa"/>
            <w:tcBorders/>
            <w:vAlign w:val="bottom"/>
          </w:tcPr>
          <w:p>
            <w:pPr>
              <w:pStyle w:val="TableContents"/>
              <w:pBdr>
                <w:top w:val="single" w:sz="2" w:space="1" w:color="000000"/>
              </w:pBdr>
              <w:bidi w:val="0"/>
              <w:spacing w:before="0" w:after="0"/>
              <w:jc w:val="left"/>
              <w:rPr/>
            </w:pPr>
            <w:r>
              <w:rPr/>
              <w:t> </w:t>
            </w:r>
          </w:p>
        </w:tc>
        <w:tc>
          <w:tcPr>
            <w:tcW w:w="322"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9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0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90" w:type="dxa"/>
            <w:tcBorders/>
            <w:shd w:fill="CCEEFF" w:val="clear"/>
            <w:vAlign w:val="bottom"/>
          </w:tcPr>
          <w:p>
            <w:pPr>
              <w:pStyle w:val="TableContents"/>
              <w:bidi w:val="0"/>
              <w:spacing w:before="0" w:after="283"/>
              <w:jc w:val="right"/>
              <w:rPr/>
            </w:pPr>
            <w:r>
              <w:rPr/>
              <w:t>3,127</w:t>
            </w:r>
          </w:p>
        </w:tc>
        <w:tc>
          <w:tcPr>
            <w:tcW w:w="322"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90" w:type="dxa"/>
            <w:tcBorders/>
            <w:shd w:fill="CCEEFF" w:val="clear"/>
            <w:vAlign w:val="bottom"/>
          </w:tcPr>
          <w:p>
            <w:pPr>
              <w:pStyle w:val="TableContents"/>
              <w:bidi w:val="0"/>
              <w:spacing w:before="0" w:after="283"/>
              <w:jc w:val="right"/>
              <w:rPr/>
            </w:pPr>
            <w:r>
              <w:rPr/>
              <w:t>(17,476</w:t>
            </w:r>
          </w:p>
        </w:tc>
        <w:tc>
          <w:tcPr>
            <w:tcW w:w="159" w:type="dxa"/>
            <w:tcBorders/>
            <w:shd w:fill="CCEEFF" w:val="clear"/>
            <w:vAlign w:val="bottom"/>
          </w:tcPr>
          <w:p>
            <w:pPr>
              <w:pStyle w:val="TableContents"/>
              <w:bidi w:val="0"/>
              <w:spacing w:before="0" w:after="283"/>
              <w:jc w:val="left"/>
              <w:rPr/>
            </w:pPr>
            <w:r>
              <w:rPr/>
              <w:t>) </w:t>
            </w:r>
          </w:p>
        </w:tc>
      </w:tr>
      <w:tr>
        <w:trPr/>
        <w:tc>
          <w:tcPr>
            <w:tcW w:w="6056" w:type="dxa"/>
            <w:tcBorders/>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90" w:type="dxa"/>
            <w:tcBorders/>
            <w:vAlign w:val="bottom"/>
          </w:tcPr>
          <w:p>
            <w:pPr>
              <w:pStyle w:val="TableContents"/>
              <w:bidi w:val="0"/>
              <w:spacing w:before="0" w:after="283"/>
              <w:jc w:val="right"/>
              <w:rPr/>
            </w:pPr>
            <w:r>
              <w:rPr/>
              <w:t>3,053</w:t>
            </w:r>
          </w:p>
        </w:tc>
        <w:tc>
          <w:tcPr>
            <w:tcW w:w="322"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90" w:type="dxa"/>
            <w:tcBorders/>
            <w:vAlign w:val="bottom"/>
          </w:tcPr>
          <w:p>
            <w:pPr>
              <w:pStyle w:val="TableContents"/>
              <w:bidi w:val="0"/>
              <w:spacing w:before="0" w:after="283"/>
              <w:jc w:val="right"/>
              <w:rPr/>
            </w:pPr>
            <w:r>
              <w:rPr/>
              <w:t>1,940</w:t>
            </w:r>
          </w:p>
        </w:tc>
        <w:tc>
          <w:tcPr>
            <w:tcW w:w="159" w:type="dxa"/>
            <w:tcBorders/>
            <w:vAlign w:val="bottom"/>
          </w:tcPr>
          <w:p>
            <w:pPr>
              <w:pStyle w:val="TableContents"/>
              <w:bidi w:val="0"/>
              <w:spacing w:before="0" w:after="283"/>
              <w:jc w:val="left"/>
              <w:rPr/>
            </w:pPr>
            <w:r>
              <w:rPr/>
              <w:t> </w:t>
            </w:r>
          </w:p>
        </w:tc>
      </w:tr>
      <w:tr>
        <w:trPr/>
        <w:tc>
          <w:tcPr>
            <w:tcW w:w="60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and other non-operating expenses, net</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90" w:type="dxa"/>
            <w:tcBorders/>
            <w:shd w:fill="CCEEFF" w:val="clear"/>
            <w:vAlign w:val="bottom"/>
          </w:tcPr>
          <w:p>
            <w:pPr>
              <w:pStyle w:val="TableContents"/>
              <w:bidi w:val="0"/>
              <w:spacing w:before="0" w:after="283"/>
              <w:jc w:val="right"/>
              <w:rPr/>
            </w:pPr>
            <w:r>
              <w:rPr/>
              <w:t>21,857</w:t>
            </w:r>
          </w:p>
        </w:tc>
        <w:tc>
          <w:tcPr>
            <w:tcW w:w="322"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90" w:type="dxa"/>
            <w:tcBorders/>
            <w:shd w:fill="CCEEFF" w:val="clear"/>
            <w:vAlign w:val="bottom"/>
          </w:tcPr>
          <w:p>
            <w:pPr>
              <w:pStyle w:val="TableContents"/>
              <w:bidi w:val="0"/>
              <w:spacing w:before="0" w:after="283"/>
              <w:jc w:val="right"/>
              <w:rPr/>
            </w:pPr>
            <w:r>
              <w:rPr/>
              <w:t>30,806</w:t>
            </w:r>
          </w:p>
        </w:tc>
        <w:tc>
          <w:tcPr>
            <w:tcW w:w="159" w:type="dxa"/>
            <w:tcBorders/>
            <w:shd w:fill="CCEEFF" w:val="clear"/>
            <w:vAlign w:val="bottom"/>
          </w:tcPr>
          <w:p>
            <w:pPr>
              <w:pStyle w:val="TableContents"/>
              <w:bidi w:val="0"/>
              <w:spacing w:before="0" w:after="283"/>
              <w:jc w:val="left"/>
              <w:rPr/>
            </w:pPr>
            <w:r>
              <w:rPr/>
              <w:t> </w:t>
            </w:r>
          </w:p>
        </w:tc>
      </w:tr>
      <w:tr>
        <w:trPr/>
        <w:tc>
          <w:tcPr>
            <w:tcW w:w="6056"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90" w:type="dxa"/>
            <w:tcBorders/>
            <w:vAlign w:val="bottom"/>
          </w:tcPr>
          <w:p>
            <w:pPr>
              <w:pStyle w:val="TableContents"/>
              <w:bidi w:val="0"/>
              <w:spacing w:before="0" w:after="283"/>
              <w:jc w:val="right"/>
              <w:rPr/>
            </w:pPr>
            <w:r>
              <w:rPr/>
              <w:t>51,798</w:t>
            </w:r>
          </w:p>
        </w:tc>
        <w:tc>
          <w:tcPr>
            <w:tcW w:w="322"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90" w:type="dxa"/>
            <w:tcBorders/>
            <w:vAlign w:val="bottom"/>
          </w:tcPr>
          <w:p>
            <w:pPr>
              <w:pStyle w:val="TableContents"/>
              <w:bidi w:val="0"/>
              <w:spacing w:before="0" w:after="283"/>
              <w:jc w:val="right"/>
              <w:rPr/>
            </w:pPr>
            <w:r>
              <w:rPr/>
              <w:t>52,480</w:t>
            </w:r>
          </w:p>
        </w:tc>
        <w:tc>
          <w:tcPr>
            <w:tcW w:w="159" w:type="dxa"/>
            <w:tcBorders/>
            <w:vAlign w:val="bottom"/>
          </w:tcPr>
          <w:p>
            <w:pPr>
              <w:pStyle w:val="TableContents"/>
              <w:bidi w:val="0"/>
              <w:spacing w:before="0" w:after="283"/>
              <w:jc w:val="left"/>
              <w:rPr/>
            </w:pPr>
            <w:r>
              <w:rPr/>
              <w:t> </w:t>
            </w:r>
          </w:p>
        </w:tc>
      </w:tr>
      <w:tr>
        <w:trPr/>
        <w:tc>
          <w:tcPr>
            <w:tcW w:w="60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charges and other</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90" w:type="dxa"/>
            <w:tcBorders/>
            <w:shd w:fill="CCEEFF" w:val="clear"/>
            <w:vAlign w:val="bottom"/>
          </w:tcPr>
          <w:p>
            <w:pPr>
              <w:pStyle w:val="TableContents"/>
              <w:bidi w:val="0"/>
              <w:spacing w:before="0" w:after="283"/>
              <w:jc w:val="right"/>
              <w:rPr/>
            </w:pPr>
            <w:r>
              <w:rPr/>
              <w:t>202</w:t>
            </w:r>
          </w:p>
        </w:tc>
        <w:tc>
          <w:tcPr>
            <w:tcW w:w="322"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90" w:type="dxa"/>
            <w:tcBorders/>
            <w:shd w:fill="CCEEFF" w:val="clear"/>
            <w:vAlign w:val="bottom"/>
          </w:tcPr>
          <w:p>
            <w:pPr>
              <w:pStyle w:val="TableContents"/>
              <w:bidi w:val="0"/>
              <w:spacing w:before="0" w:after="283"/>
              <w:jc w:val="right"/>
              <w:rPr/>
            </w:pPr>
            <w:r>
              <w:rPr/>
              <w:t>2,006</w:t>
            </w:r>
          </w:p>
        </w:tc>
        <w:tc>
          <w:tcPr>
            <w:tcW w:w="159" w:type="dxa"/>
            <w:tcBorders/>
            <w:shd w:fill="CCEEFF" w:val="clear"/>
            <w:vAlign w:val="bottom"/>
          </w:tcPr>
          <w:p>
            <w:pPr>
              <w:pStyle w:val="TableContents"/>
              <w:bidi w:val="0"/>
              <w:spacing w:before="0" w:after="283"/>
              <w:jc w:val="left"/>
              <w:rPr/>
            </w:pPr>
            <w:r>
              <w:rPr/>
              <w:t> </w:t>
            </w:r>
          </w:p>
        </w:tc>
      </w:tr>
      <w:tr>
        <w:trPr/>
        <w:tc>
          <w:tcPr>
            <w:tcW w:w="6056" w:type="dxa"/>
            <w:tcBorders/>
          </w:tcPr>
          <w:p>
            <w:pPr>
              <w:pStyle w:val="TableContents"/>
              <w:bidi w:val="0"/>
              <w:spacing w:before="0" w:after="0"/>
              <w:jc w:val="left"/>
              <w:rPr>
                <w:rFonts w:ascii="Times New Roman" w:hAnsi="Times New Roman"/>
                <w:sz w:val="20"/>
              </w:rPr>
            </w:pPr>
            <w:r>
              <w:rPr>
                <w:rFonts w:ascii="Times New Roman" w:hAnsi="Times New Roman"/>
                <w:sz w:val="20"/>
              </w:rPr>
              <w:t>Pre-opening costs</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90" w:type="dxa"/>
            <w:tcBorders/>
            <w:vAlign w:val="bottom"/>
          </w:tcPr>
          <w:p>
            <w:pPr>
              <w:pStyle w:val="TableContents"/>
              <w:bidi w:val="0"/>
              <w:spacing w:before="0" w:after="283"/>
              <w:jc w:val="right"/>
              <w:rPr/>
            </w:pPr>
            <w:r>
              <w:rPr/>
              <w:t>1</w:t>
            </w:r>
          </w:p>
        </w:tc>
        <w:tc>
          <w:tcPr>
            <w:tcW w:w="322"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90" w:type="dxa"/>
            <w:tcBorders/>
            <w:vAlign w:val="bottom"/>
          </w:tcPr>
          <w:p>
            <w:pPr>
              <w:pStyle w:val="TableContents"/>
              <w:bidi w:val="0"/>
              <w:spacing w:before="0" w:after="283"/>
              <w:jc w:val="right"/>
              <w:rPr/>
            </w:pPr>
            <w:r>
              <w:rPr/>
              <w:t>155</w:t>
            </w:r>
          </w:p>
        </w:tc>
        <w:tc>
          <w:tcPr>
            <w:tcW w:w="159" w:type="dxa"/>
            <w:tcBorders/>
            <w:vAlign w:val="bottom"/>
          </w:tcPr>
          <w:p>
            <w:pPr>
              <w:pStyle w:val="TableContents"/>
              <w:bidi w:val="0"/>
              <w:spacing w:before="0" w:after="283"/>
              <w:jc w:val="left"/>
              <w:rPr/>
            </w:pPr>
            <w:r>
              <w:rPr/>
              <w:t> </w:t>
            </w:r>
          </w:p>
        </w:tc>
      </w:tr>
      <w:tr>
        <w:trPr/>
        <w:tc>
          <w:tcPr>
            <w:tcW w:w="6056"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90" w:type="dxa"/>
            <w:tcBorders/>
            <w:vAlign w:val="bottom"/>
          </w:tcPr>
          <w:p>
            <w:pPr>
              <w:pStyle w:val="TableContents"/>
              <w:pBdr>
                <w:top w:val="single" w:sz="2" w:space="1" w:color="000000"/>
              </w:pBdr>
              <w:bidi w:val="0"/>
              <w:spacing w:before="0" w:after="0"/>
              <w:jc w:val="left"/>
              <w:rPr/>
            </w:pPr>
            <w:r>
              <w:rPr/>
              <w:t> </w:t>
            </w:r>
          </w:p>
        </w:tc>
        <w:tc>
          <w:tcPr>
            <w:tcW w:w="322"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9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0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EBITDA</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90" w:type="dxa"/>
            <w:tcBorders/>
            <w:shd w:fill="CCEEFF" w:val="clear"/>
            <w:vAlign w:val="bottom"/>
          </w:tcPr>
          <w:p>
            <w:pPr>
              <w:pStyle w:val="TableContents"/>
              <w:bidi w:val="0"/>
              <w:spacing w:before="0" w:after="283"/>
              <w:jc w:val="right"/>
              <w:rPr/>
            </w:pPr>
            <w:r>
              <w:rPr/>
              <w:t>   </w:t>
            </w:r>
            <w:r>
              <w:rPr/>
              <w:t>80,038</w:t>
            </w:r>
          </w:p>
        </w:tc>
        <w:tc>
          <w:tcPr>
            <w:tcW w:w="322"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90" w:type="dxa"/>
            <w:tcBorders/>
            <w:shd w:fill="CCEEFF" w:val="clear"/>
            <w:vAlign w:val="bottom"/>
          </w:tcPr>
          <w:p>
            <w:pPr>
              <w:pStyle w:val="TableContents"/>
              <w:bidi w:val="0"/>
              <w:spacing w:before="0" w:after="283"/>
              <w:jc w:val="right"/>
              <w:rPr/>
            </w:pPr>
            <w:r>
              <w:rPr/>
              <w:t>   </w:t>
            </w:r>
            <w:r>
              <w:rPr/>
              <w:t>69,911</w:t>
            </w:r>
          </w:p>
        </w:tc>
        <w:tc>
          <w:tcPr>
            <w:tcW w:w="159" w:type="dxa"/>
            <w:tcBorders/>
            <w:shd w:fill="CCEEFF" w:val="clear"/>
            <w:vAlign w:val="bottom"/>
          </w:tcPr>
          <w:p>
            <w:pPr>
              <w:pStyle w:val="TableContents"/>
              <w:bidi w:val="0"/>
              <w:spacing w:before="0" w:after="283"/>
              <w:jc w:val="left"/>
              <w:rPr/>
            </w:pPr>
            <w:r>
              <w:rPr/>
              <w:t> </w:t>
            </w:r>
          </w:p>
        </w:tc>
      </w:tr>
      <w:tr>
        <w:trPr/>
        <w:tc>
          <w:tcPr>
            <w:tcW w:w="6056"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90" w:type="dxa"/>
            <w:tcBorders/>
            <w:vAlign w:val="bottom"/>
          </w:tcPr>
          <w:p>
            <w:pPr>
              <w:pStyle w:val="TableContents"/>
              <w:pBdr>
                <w:top w:val="double" w:sz="6" w:space="1" w:color="000000"/>
              </w:pBdr>
              <w:bidi w:val="0"/>
              <w:spacing w:before="0" w:after="0"/>
              <w:jc w:val="left"/>
              <w:rPr/>
            </w:pPr>
            <w:r>
              <w:rPr/>
              <w:t> </w:t>
            </w:r>
          </w:p>
        </w:tc>
        <w:tc>
          <w:tcPr>
            <w:tcW w:w="322"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90"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Studio City International Holdings Limited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Supplemental Data Schedule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470"/>
        <w:gridCol w:w="242"/>
        <w:gridCol w:w="140"/>
        <w:gridCol w:w="728"/>
        <w:gridCol w:w="277"/>
        <w:gridCol w:w="199"/>
        <w:gridCol w:w="140"/>
        <w:gridCol w:w="728"/>
        <w:gridCol w:w="281"/>
      </w:tblGrid>
      <w:tr>
        <w:trPr/>
        <w:tc>
          <w:tcPr>
            <w:tcW w:w="7470" w:type="dxa"/>
            <w:tcBorders/>
            <w:vAlign w:val="center"/>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747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2212" w:type="dxa"/>
            <w:gridSpan w:val="6"/>
            <w:tcBorders/>
            <w:vAlign w:val="bottom"/>
          </w:tcPr>
          <w:p>
            <w:pPr>
              <w:pStyle w:val="TableContents"/>
              <w:bidi w:val="0"/>
              <w:spacing w:before="0" w:after="283"/>
              <w:jc w:val="center"/>
              <w:rPr>
                <w:b/>
              </w:rPr>
            </w:pPr>
            <w:r>
              <w:rPr>
                <w:b/>
              </w:rPr>
              <w:t>Three Months Ended</w:t>
            </w:r>
          </w:p>
        </w:tc>
        <w:tc>
          <w:tcPr>
            <w:tcW w:w="281" w:type="dxa"/>
            <w:tcBorders/>
            <w:vAlign w:val="bottom"/>
          </w:tcPr>
          <w:p>
            <w:pPr>
              <w:pStyle w:val="TableContents"/>
              <w:bidi w:val="0"/>
              <w:spacing w:before="0" w:after="283"/>
              <w:jc w:val="left"/>
              <w:rPr/>
            </w:pPr>
            <w:r>
              <w:rPr/>
              <w:t> </w:t>
            </w:r>
          </w:p>
        </w:tc>
      </w:tr>
      <w:tr>
        <w:trPr/>
        <w:tc>
          <w:tcPr>
            <w:tcW w:w="747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2212" w:type="dxa"/>
            <w:gridSpan w:val="6"/>
            <w:tcBorders/>
            <w:vAlign w:val="bottom"/>
          </w:tcPr>
          <w:p>
            <w:pPr>
              <w:pStyle w:val="TableContents"/>
              <w:bidi w:val="0"/>
              <w:spacing w:before="0" w:after="283"/>
              <w:jc w:val="center"/>
              <w:rPr>
                <w:b/>
              </w:rPr>
            </w:pPr>
            <w:r>
              <w:rPr>
                <w:b/>
              </w:rPr>
              <w:t>March 31,</w:t>
            </w:r>
          </w:p>
        </w:tc>
        <w:tc>
          <w:tcPr>
            <w:tcW w:w="281" w:type="dxa"/>
            <w:tcBorders/>
            <w:vAlign w:val="bottom"/>
          </w:tcPr>
          <w:p>
            <w:pPr>
              <w:pStyle w:val="TableContents"/>
              <w:bidi w:val="0"/>
              <w:spacing w:before="0" w:after="283"/>
              <w:jc w:val="left"/>
              <w:rPr/>
            </w:pPr>
            <w:r>
              <w:rPr/>
              <w:t> </w:t>
            </w:r>
          </w:p>
        </w:tc>
      </w:tr>
      <w:tr>
        <w:trPr/>
        <w:tc>
          <w:tcPr>
            <w:tcW w:w="747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8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77"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8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81" w:type="dxa"/>
            <w:tcBorders/>
            <w:vAlign w:val="bottom"/>
          </w:tcPr>
          <w:p>
            <w:pPr>
              <w:pStyle w:val="TableContents"/>
              <w:bidi w:val="0"/>
              <w:spacing w:before="0" w:after="283"/>
              <w:jc w:val="left"/>
              <w:rPr/>
            </w:pPr>
            <w:r>
              <w:rPr/>
              <w:t> </w:t>
            </w:r>
          </w:p>
        </w:tc>
      </w:tr>
      <w:tr>
        <w:trPr/>
        <w:tc>
          <w:tcPr>
            <w:tcW w:w="747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Room Statistics:</w:t>
            </w:r>
          </w:p>
        </w:tc>
        <w:tc>
          <w:tcPr>
            <w:tcW w:w="2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28" w:type="dxa"/>
            <w:tcBorders/>
            <w:shd w:fill="CCEEFF" w:val="clear"/>
            <w:vAlign w:val="bottom"/>
          </w:tcPr>
          <w:p>
            <w:pPr>
              <w:pStyle w:val="TableContents"/>
              <w:bidi w:val="0"/>
              <w:spacing w:before="0" w:after="283"/>
              <w:jc w:val="left"/>
              <w:rPr>
                <w:sz w:val="4"/>
                <w:szCs w:val="4"/>
              </w:rPr>
            </w:pPr>
            <w:r>
              <w:rPr>
                <w:sz w:val="4"/>
                <w:szCs w:val="4"/>
              </w:rPr>
            </w:r>
          </w:p>
        </w:tc>
        <w:tc>
          <w:tcPr>
            <w:tcW w:w="277" w:type="dxa"/>
            <w:tcBorders/>
            <w:shd w:fill="CCEEFF" w:val="clear"/>
            <w:vAlign w:val="bottom"/>
          </w:tcPr>
          <w:p>
            <w:pPr>
              <w:pStyle w:val="TableContents"/>
              <w:bidi w:val="0"/>
              <w:spacing w:before="0" w:after="283"/>
              <w:jc w:val="left"/>
              <w:rPr>
                <w:sz w:val="4"/>
                <w:szCs w:val="4"/>
              </w:rPr>
            </w:pPr>
            <w:r>
              <w:rPr>
                <w:sz w:val="4"/>
                <w:szCs w:val="4"/>
              </w:rPr>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28" w:type="dxa"/>
            <w:tcBorders/>
            <w:shd w:fill="CCEEFF" w:val="clear"/>
            <w:vAlign w:val="bottom"/>
          </w:tcPr>
          <w:p>
            <w:pPr>
              <w:pStyle w:val="TableContents"/>
              <w:bidi w:val="0"/>
              <w:spacing w:before="0" w:after="283"/>
              <w:jc w:val="left"/>
              <w:rPr>
                <w:sz w:val="4"/>
                <w:szCs w:val="4"/>
              </w:rPr>
            </w:pPr>
            <w:r>
              <w:rPr>
                <w:sz w:val="4"/>
                <w:szCs w:val="4"/>
              </w:rPr>
            </w:r>
          </w:p>
        </w:tc>
        <w:tc>
          <w:tcPr>
            <w:tcW w:w="281" w:type="dxa"/>
            <w:tcBorders/>
            <w:shd w:fill="CCEEFF" w:val="clear"/>
            <w:vAlign w:val="bottom"/>
          </w:tcPr>
          <w:p>
            <w:pPr>
              <w:pStyle w:val="TableContents"/>
              <w:bidi w:val="0"/>
              <w:spacing w:before="0" w:after="283"/>
              <w:jc w:val="left"/>
              <w:rPr>
                <w:sz w:val="4"/>
                <w:szCs w:val="4"/>
              </w:rPr>
            </w:pPr>
            <w:r>
              <w:rPr>
                <w:sz w:val="4"/>
                <w:szCs w:val="4"/>
              </w:rPr>
            </w:r>
          </w:p>
        </w:tc>
      </w:tr>
      <w:tr>
        <w:trPr/>
        <w:tc>
          <w:tcPr>
            <w:tcW w:w="7470" w:type="dxa"/>
            <w:tcBorders/>
          </w:tcPr>
          <w:p>
            <w:pPr>
              <w:pStyle w:val="TableContents"/>
              <w:bidi w:val="0"/>
              <w:spacing w:before="0" w:after="0"/>
              <w:jc w:val="left"/>
              <w:rPr>
                <w:rFonts w:ascii="Times New Roman" w:hAnsi="Times New Roman"/>
                <w:sz w:val="20"/>
              </w:rPr>
            </w:pPr>
            <w:r>
              <w:rPr>
                <w:rFonts w:ascii="Times New Roman" w:hAnsi="Times New Roman"/>
                <w:sz w:val="20"/>
              </w:rPr>
              <w:t>Average daily rate (3)</w:t>
            </w:r>
          </w:p>
        </w:tc>
        <w:tc>
          <w:tcPr>
            <w:tcW w:w="2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28" w:type="dxa"/>
            <w:tcBorders/>
            <w:vAlign w:val="bottom"/>
          </w:tcPr>
          <w:p>
            <w:pPr>
              <w:pStyle w:val="TableContents"/>
              <w:bidi w:val="0"/>
              <w:spacing w:before="0" w:after="283"/>
              <w:jc w:val="right"/>
              <w:rPr/>
            </w:pPr>
            <w:r>
              <w:rPr/>
              <w:t>179</w:t>
            </w:r>
          </w:p>
        </w:tc>
        <w:tc>
          <w:tcPr>
            <w:tcW w:w="277"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28" w:type="dxa"/>
            <w:tcBorders/>
            <w:vAlign w:val="bottom"/>
          </w:tcPr>
          <w:p>
            <w:pPr>
              <w:pStyle w:val="TableContents"/>
              <w:bidi w:val="0"/>
              <w:spacing w:before="0" w:after="283"/>
              <w:jc w:val="right"/>
              <w:rPr/>
            </w:pPr>
            <w:r>
              <w:rPr/>
              <w:t>169</w:t>
            </w:r>
          </w:p>
        </w:tc>
        <w:tc>
          <w:tcPr>
            <w:tcW w:w="281" w:type="dxa"/>
            <w:tcBorders/>
            <w:vAlign w:val="bottom"/>
          </w:tcPr>
          <w:p>
            <w:pPr>
              <w:pStyle w:val="TableContents"/>
              <w:bidi w:val="0"/>
              <w:spacing w:before="0" w:after="283"/>
              <w:jc w:val="left"/>
              <w:rPr/>
            </w:pPr>
            <w:r>
              <w:rPr/>
              <w:t> </w:t>
            </w:r>
          </w:p>
        </w:tc>
      </w:tr>
      <w:tr>
        <w:trPr/>
        <w:tc>
          <w:tcPr>
            <w:tcW w:w="74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Occupancy per available room</w:t>
            </w:r>
          </w:p>
        </w:tc>
        <w:tc>
          <w:tcPr>
            <w:tcW w:w="2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bidi w:val="0"/>
              <w:spacing w:before="0" w:after="283"/>
              <w:jc w:val="right"/>
              <w:rPr/>
            </w:pPr>
            <w:r>
              <w:rPr/>
              <w:t>98</w:t>
            </w:r>
          </w:p>
        </w:tc>
        <w:tc>
          <w:tcPr>
            <w:tcW w:w="277"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bidi w:val="0"/>
              <w:spacing w:before="0" w:after="283"/>
              <w:jc w:val="right"/>
              <w:rPr/>
            </w:pPr>
            <w:r>
              <w:rPr/>
              <w:t>99</w:t>
            </w:r>
          </w:p>
        </w:tc>
        <w:tc>
          <w:tcPr>
            <w:tcW w:w="281" w:type="dxa"/>
            <w:tcBorders/>
            <w:shd w:fill="CCEEFF" w:val="clear"/>
            <w:vAlign w:val="bottom"/>
          </w:tcPr>
          <w:p>
            <w:pPr>
              <w:pStyle w:val="TableContents"/>
              <w:bidi w:val="0"/>
              <w:spacing w:before="0" w:after="283"/>
              <w:jc w:val="left"/>
              <w:rPr/>
            </w:pPr>
            <w:r>
              <w:rPr/>
              <w:t>% </w:t>
            </w:r>
          </w:p>
        </w:tc>
      </w:tr>
      <w:tr>
        <w:trPr/>
        <w:tc>
          <w:tcPr>
            <w:tcW w:w="7470" w:type="dxa"/>
            <w:tcBorders/>
          </w:tcPr>
          <w:p>
            <w:pPr>
              <w:pStyle w:val="TableContents"/>
              <w:bidi w:val="0"/>
              <w:spacing w:before="0" w:after="0"/>
              <w:jc w:val="left"/>
              <w:rPr>
                <w:rFonts w:ascii="Times New Roman" w:hAnsi="Times New Roman"/>
                <w:sz w:val="20"/>
              </w:rPr>
            </w:pPr>
            <w:r>
              <w:rPr>
                <w:rFonts w:ascii="Times New Roman" w:hAnsi="Times New Roman"/>
                <w:sz w:val="20"/>
              </w:rPr>
              <w:t>Revenue per available room (4)</w:t>
            </w:r>
          </w:p>
        </w:tc>
        <w:tc>
          <w:tcPr>
            <w:tcW w:w="2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28" w:type="dxa"/>
            <w:tcBorders/>
            <w:vAlign w:val="bottom"/>
          </w:tcPr>
          <w:p>
            <w:pPr>
              <w:pStyle w:val="TableContents"/>
              <w:bidi w:val="0"/>
              <w:spacing w:before="0" w:after="283"/>
              <w:jc w:val="right"/>
              <w:rPr/>
            </w:pPr>
            <w:r>
              <w:rPr/>
              <w:t>176</w:t>
            </w:r>
          </w:p>
        </w:tc>
        <w:tc>
          <w:tcPr>
            <w:tcW w:w="277"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28" w:type="dxa"/>
            <w:tcBorders/>
            <w:vAlign w:val="bottom"/>
          </w:tcPr>
          <w:p>
            <w:pPr>
              <w:pStyle w:val="TableContents"/>
              <w:bidi w:val="0"/>
              <w:spacing w:before="0" w:after="283"/>
              <w:jc w:val="right"/>
              <w:rPr/>
            </w:pPr>
            <w:r>
              <w:rPr/>
              <w:t>166</w:t>
            </w:r>
          </w:p>
        </w:tc>
        <w:tc>
          <w:tcPr>
            <w:tcW w:w="281" w:type="dxa"/>
            <w:tcBorders/>
            <w:vAlign w:val="bottom"/>
          </w:tcPr>
          <w:p>
            <w:pPr>
              <w:pStyle w:val="TableContents"/>
              <w:bidi w:val="0"/>
              <w:spacing w:before="0" w:after="283"/>
              <w:jc w:val="left"/>
              <w:rPr/>
            </w:pPr>
            <w:r>
              <w:rPr/>
              <w:t> </w:t>
            </w:r>
          </w:p>
        </w:tc>
      </w:tr>
      <w:tr>
        <w:trPr>
          <w:trHeight w:val="120" w:hRule="atLeast"/>
        </w:trPr>
        <w:tc>
          <w:tcPr>
            <w:tcW w:w="7470" w:type="dxa"/>
            <w:tcBorders/>
            <w:vAlign w:val="center"/>
          </w:tcPr>
          <w:p>
            <w:pPr>
              <w:pStyle w:val="TableContents"/>
              <w:bidi w:val="0"/>
              <w:spacing w:before="0" w:after="283"/>
              <w:jc w:val="left"/>
              <w:rPr>
                <w:sz w:val="4"/>
                <w:szCs w:val="4"/>
              </w:rPr>
            </w:pPr>
            <w:r>
              <w:rPr>
                <w:sz w:val="4"/>
                <w:szCs w:val="4"/>
              </w:rPr>
            </w:r>
          </w:p>
        </w:tc>
        <w:tc>
          <w:tcPr>
            <w:tcW w:w="1387" w:type="dxa"/>
            <w:gridSpan w:val="4"/>
            <w:tcBorders/>
            <w:vAlign w:val="center"/>
          </w:tcPr>
          <w:p>
            <w:pPr>
              <w:pStyle w:val="TableContents"/>
              <w:bidi w:val="0"/>
              <w:spacing w:before="0" w:after="283"/>
              <w:jc w:val="left"/>
              <w:rPr>
                <w:sz w:val="4"/>
                <w:szCs w:val="4"/>
              </w:rPr>
            </w:pPr>
            <w:r>
              <w:rPr>
                <w:sz w:val="4"/>
                <w:szCs w:val="4"/>
              </w:rPr>
            </w:r>
          </w:p>
        </w:tc>
        <w:tc>
          <w:tcPr>
            <w:tcW w:w="1348" w:type="dxa"/>
            <w:gridSpan w:val="4"/>
            <w:tcBorders/>
            <w:vAlign w:val="center"/>
          </w:tcPr>
          <w:p>
            <w:pPr>
              <w:pStyle w:val="TableContents"/>
              <w:bidi w:val="0"/>
              <w:spacing w:before="0" w:after="283"/>
              <w:jc w:val="left"/>
              <w:rPr>
                <w:sz w:val="4"/>
                <w:szCs w:val="4"/>
              </w:rPr>
            </w:pPr>
            <w:r>
              <w:rPr>
                <w:sz w:val="4"/>
                <w:szCs w:val="4"/>
              </w:rPr>
            </w:r>
          </w:p>
        </w:tc>
      </w:tr>
      <w:tr>
        <w:trPr/>
        <w:tc>
          <w:tcPr>
            <w:tcW w:w="747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Other Information:</w:t>
            </w:r>
          </w:p>
        </w:tc>
        <w:tc>
          <w:tcPr>
            <w:tcW w:w="2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28" w:type="dxa"/>
            <w:tcBorders/>
            <w:shd w:fill="CCEEFF" w:val="clear"/>
            <w:vAlign w:val="bottom"/>
          </w:tcPr>
          <w:p>
            <w:pPr>
              <w:pStyle w:val="TableContents"/>
              <w:bidi w:val="0"/>
              <w:spacing w:before="0" w:after="283"/>
              <w:jc w:val="left"/>
              <w:rPr>
                <w:sz w:val="4"/>
                <w:szCs w:val="4"/>
              </w:rPr>
            </w:pPr>
            <w:r>
              <w:rPr>
                <w:sz w:val="4"/>
                <w:szCs w:val="4"/>
              </w:rPr>
            </w:r>
          </w:p>
        </w:tc>
        <w:tc>
          <w:tcPr>
            <w:tcW w:w="277" w:type="dxa"/>
            <w:tcBorders/>
            <w:shd w:fill="CCEEFF" w:val="clear"/>
            <w:vAlign w:val="bottom"/>
          </w:tcPr>
          <w:p>
            <w:pPr>
              <w:pStyle w:val="TableContents"/>
              <w:bidi w:val="0"/>
              <w:spacing w:before="0" w:after="283"/>
              <w:jc w:val="left"/>
              <w:rPr>
                <w:sz w:val="4"/>
                <w:szCs w:val="4"/>
              </w:rPr>
            </w:pPr>
            <w:r>
              <w:rPr>
                <w:sz w:val="4"/>
                <w:szCs w:val="4"/>
              </w:rPr>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28" w:type="dxa"/>
            <w:tcBorders/>
            <w:shd w:fill="CCEEFF" w:val="clear"/>
            <w:vAlign w:val="bottom"/>
          </w:tcPr>
          <w:p>
            <w:pPr>
              <w:pStyle w:val="TableContents"/>
              <w:bidi w:val="0"/>
              <w:spacing w:before="0" w:after="283"/>
              <w:jc w:val="left"/>
              <w:rPr>
                <w:sz w:val="4"/>
                <w:szCs w:val="4"/>
              </w:rPr>
            </w:pPr>
            <w:r>
              <w:rPr>
                <w:sz w:val="4"/>
                <w:szCs w:val="4"/>
              </w:rPr>
            </w:r>
          </w:p>
        </w:tc>
        <w:tc>
          <w:tcPr>
            <w:tcW w:w="281" w:type="dxa"/>
            <w:tcBorders/>
            <w:shd w:fill="CCEEFF" w:val="clear"/>
            <w:vAlign w:val="bottom"/>
          </w:tcPr>
          <w:p>
            <w:pPr>
              <w:pStyle w:val="TableContents"/>
              <w:bidi w:val="0"/>
              <w:spacing w:before="0" w:after="283"/>
              <w:jc w:val="left"/>
              <w:rPr>
                <w:sz w:val="4"/>
                <w:szCs w:val="4"/>
              </w:rPr>
            </w:pPr>
            <w:r>
              <w:rPr>
                <w:sz w:val="4"/>
                <w:szCs w:val="4"/>
              </w:rPr>
            </w:r>
          </w:p>
        </w:tc>
      </w:tr>
      <w:tr>
        <w:trPr/>
        <w:tc>
          <w:tcPr>
            <w:tcW w:w="7470" w:type="dxa"/>
            <w:tcBorders/>
          </w:tcPr>
          <w:p>
            <w:pPr>
              <w:pStyle w:val="TableContents"/>
              <w:bidi w:val="0"/>
              <w:spacing w:before="0" w:after="0"/>
              <w:jc w:val="left"/>
              <w:rPr>
                <w:rFonts w:ascii="Times New Roman" w:hAnsi="Times New Roman"/>
                <w:sz w:val="20"/>
              </w:rPr>
            </w:pPr>
            <w:r>
              <w:rPr>
                <w:rFonts w:ascii="Times New Roman" w:hAnsi="Times New Roman"/>
                <w:sz w:val="20"/>
              </w:rPr>
              <w:t>Average number of table games</w:t>
            </w:r>
          </w:p>
        </w:tc>
        <w:tc>
          <w:tcPr>
            <w:tcW w:w="2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283"/>
              <w:jc w:val="right"/>
              <w:rPr/>
            </w:pPr>
            <w:r>
              <w:rPr/>
              <w:t>253</w:t>
            </w:r>
          </w:p>
        </w:tc>
        <w:tc>
          <w:tcPr>
            <w:tcW w:w="277"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283"/>
              <w:jc w:val="right"/>
              <w:rPr/>
            </w:pPr>
            <w:r>
              <w:rPr/>
              <w:t>253</w:t>
            </w:r>
          </w:p>
        </w:tc>
        <w:tc>
          <w:tcPr>
            <w:tcW w:w="281" w:type="dxa"/>
            <w:tcBorders/>
            <w:vAlign w:val="bottom"/>
          </w:tcPr>
          <w:p>
            <w:pPr>
              <w:pStyle w:val="TableContents"/>
              <w:bidi w:val="0"/>
              <w:spacing w:before="0" w:after="283"/>
              <w:jc w:val="left"/>
              <w:rPr/>
            </w:pPr>
            <w:r>
              <w:rPr/>
              <w:t> </w:t>
            </w:r>
          </w:p>
        </w:tc>
      </w:tr>
      <w:tr>
        <w:trPr/>
        <w:tc>
          <w:tcPr>
            <w:tcW w:w="74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Average number of gaming machines</w:t>
            </w:r>
          </w:p>
        </w:tc>
        <w:tc>
          <w:tcPr>
            <w:tcW w:w="2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bidi w:val="0"/>
              <w:spacing w:before="0" w:after="283"/>
              <w:jc w:val="right"/>
              <w:rPr/>
            </w:pPr>
            <w:r>
              <w:rPr/>
              <w:t>964</w:t>
            </w:r>
          </w:p>
        </w:tc>
        <w:tc>
          <w:tcPr>
            <w:tcW w:w="277"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bidi w:val="0"/>
              <w:spacing w:before="0" w:after="283"/>
              <w:jc w:val="right"/>
              <w:rPr/>
            </w:pPr>
            <w:r>
              <w:rPr/>
              <w:t>797</w:t>
            </w:r>
          </w:p>
        </w:tc>
        <w:tc>
          <w:tcPr>
            <w:tcW w:w="281" w:type="dxa"/>
            <w:tcBorders/>
            <w:shd w:fill="CCEEFF" w:val="clear"/>
            <w:vAlign w:val="bottom"/>
          </w:tcPr>
          <w:p>
            <w:pPr>
              <w:pStyle w:val="TableContents"/>
              <w:bidi w:val="0"/>
              <w:spacing w:before="0" w:after="283"/>
              <w:jc w:val="left"/>
              <w:rPr/>
            </w:pPr>
            <w:r>
              <w:rPr/>
              <w:t> </w:t>
            </w:r>
          </w:p>
        </w:tc>
      </w:tr>
      <w:tr>
        <w:trPr/>
        <w:tc>
          <w:tcPr>
            <w:tcW w:w="7470" w:type="dxa"/>
            <w:tcBorders/>
          </w:tcPr>
          <w:p>
            <w:pPr>
              <w:pStyle w:val="TableContents"/>
              <w:bidi w:val="0"/>
              <w:spacing w:before="0" w:after="0"/>
              <w:jc w:val="left"/>
              <w:rPr>
                <w:rFonts w:ascii="Times New Roman" w:hAnsi="Times New Roman"/>
                <w:sz w:val="20"/>
              </w:rPr>
            </w:pPr>
            <w:r>
              <w:rPr>
                <w:rFonts w:ascii="Times New Roman" w:hAnsi="Times New Roman"/>
                <w:sz w:val="20"/>
              </w:rPr>
              <w:t>Table games win per unit per day (5)</w:t>
            </w:r>
          </w:p>
        </w:tc>
        <w:tc>
          <w:tcPr>
            <w:tcW w:w="2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28" w:type="dxa"/>
            <w:tcBorders/>
            <w:vAlign w:val="bottom"/>
          </w:tcPr>
          <w:p>
            <w:pPr>
              <w:pStyle w:val="TableContents"/>
              <w:bidi w:val="0"/>
              <w:spacing w:before="0" w:after="283"/>
              <w:jc w:val="right"/>
              <w:rPr/>
            </w:pPr>
            <w:r>
              <w:rPr/>
              <w:t>14,619</w:t>
            </w:r>
          </w:p>
        </w:tc>
        <w:tc>
          <w:tcPr>
            <w:tcW w:w="277"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28" w:type="dxa"/>
            <w:tcBorders/>
            <w:vAlign w:val="bottom"/>
          </w:tcPr>
          <w:p>
            <w:pPr>
              <w:pStyle w:val="TableContents"/>
              <w:bidi w:val="0"/>
              <w:spacing w:before="0" w:after="283"/>
              <w:jc w:val="right"/>
              <w:rPr/>
            </w:pPr>
            <w:r>
              <w:rPr/>
              <w:t>13,320</w:t>
            </w:r>
          </w:p>
        </w:tc>
        <w:tc>
          <w:tcPr>
            <w:tcW w:w="281" w:type="dxa"/>
            <w:tcBorders/>
            <w:vAlign w:val="bottom"/>
          </w:tcPr>
          <w:p>
            <w:pPr>
              <w:pStyle w:val="TableContents"/>
              <w:bidi w:val="0"/>
              <w:spacing w:before="0" w:after="283"/>
              <w:jc w:val="left"/>
              <w:rPr/>
            </w:pPr>
            <w:r>
              <w:rPr/>
              <w:t> </w:t>
            </w:r>
          </w:p>
        </w:tc>
      </w:tr>
      <w:tr>
        <w:trPr/>
        <w:tc>
          <w:tcPr>
            <w:tcW w:w="74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Gaming machines win per unit per day (6)</w:t>
            </w:r>
          </w:p>
        </w:tc>
        <w:tc>
          <w:tcPr>
            <w:tcW w:w="2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28" w:type="dxa"/>
            <w:tcBorders/>
            <w:shd w:fill="CCEEFF" w:val="clear"/>
            <w:vAlign w:val="bottom"/>
          </w:tcPr>
          <w:p>
            <w:pPr>
              <w:pStyle w:val="TableContents"/>
              <w:bidi w:val="0"/>
              <w:spacing w:before="0" w:after="283"/>
              <w:jc w:val="right"/>
              <w:rPr/>
            </w:pPr>
            <w:r>
              <w:rPr/>
              <w:t>468</w:t>
            </w:r>
          </w:p>
        </w:tc>
        <w:tc>
          <w:tcPr>
            <w:tcW w:w="277"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28" w:type="dxa"/>
            <w:tcBorders/>
            <w:shd w:fill="CCEEFF" w:val="clear"/>
            <w:vAlign w:val="bottom"/>
          </w:tcPr>
          <w:p>
            <w:pPr>
              <w:pStyle w:val="TableContents"/>
              <w:bidi w:val="0"/>
              <w:spacing w:before="0" w:after="283"/>
              <w:jc w:val="right"/>
              <w:rPr/>
            </w:pPr>
            <w:r>
              <w:rPr/>
              <w:t>458</w:t>
            </w:r>
          </w:p>
        </w:tc>
        <w:tc>
          <w:tcPr>
            <w:tcW w:w="281"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Average daily rate is calculated by dividing total room revenues including complimentary rooms (less service charges, if any) by total occupied rooms including complimentary rooms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Revenue per available room is calculated by dividing total room revenues including complimentary rooms (less service charges, if any) by total rooms available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Table games win per unit per day is shown before discounts, commissions, other incentives as administered by the Gaming Operator and allocating casino revenues related to goods and services provided to gaming patrons on a complimentary basis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(6)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Gaming machines win per unit per day is shown before other incentives as administered by the Gaming Operator and allocating casino revenues related to goods and services provided to gaming patrons on a complimentary basis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3007</Words>
  <Characters>17278</Characters>
  <CharactersWithSpaces>21000</CharactersWithSpaces>
  <Paragraphs>1461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Unaudited Results for First Quarter of 2026</dc:title>
</cp:coreProperties>
</file>